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Capstone Technical report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Introduction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Topic</w:t>
      </w:r>
      <w:r w:rsidDel="00000000" w:rsidR="00000000" w:rsidRPr="00000000">
        <w:rPr>
          <w:rtl w:val="0"/>
        </w:rPr>
        <w:t xml:space="preserve">: Analysis of Denmark’s residential housing market trends from 1992-2024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: The data captures 32 years of transactions, revealing urbanization effects and economic influences on housing prices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Importance:</w:t>
      </w:r>
      <w:r w:rsidDel="00000000" w:rsidR="00000000" w:rsidRPr="00000000">
        <w:rPr>
          <w:rtl w:val="0"/>
        </w:rPr>
        <w:t xml:space="preserve"> Provides actionable insights for investors and policymakers addressing regional affordability crises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Statement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Real estate stakeholders lack tools to: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undervalued municipalities and widening urban-rural price gaps 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 how macroeconomic shifts (interest rates, inflation) impact local markets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 investments across property types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Objectives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price/sqm variations across Denmark's 5 regions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Quantify correlations between interest rates and transaction volumes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property types with optimal ROI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Target Audience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Real Estate Investors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Municipal housing authorities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Mortgage lenders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Dataset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ind w:left="-40" w:right="-40" w:firstLine="0"/>
        <w:rPr/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Kaggle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40" w:right="-40" w:firstLine="0"/>
        <w:rPr/>
      </w:pPr>
      <w:r w:rsidDel="00000000" w:rsidR="00000000" w:rsidRPr="00000000">
        <w:rPr>
          <w:rtl w:val="0"/>
        </w:rPr>
        <w:t xml:space="preserve">Size - 100,000 Transactions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40" w:right="-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Handling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right="-40" w:hanging="360"/>
        <w:rPr>
          <w:u w:val="none"/>
        </w:rPr>
      </w:pPr>
      <w:r w:rsidDel="00000000" w:rsidR="00000000" w:rsidRPr="00000000">
        <w:rPr>
          <w:rtl w:val="0"/>
        </w:rPr>
        <w:t xml:space="preserve">Removed duplicates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right="-40" w:hanging="360"/>
        <w:rPr>
          <w:u w:val="none"/>
        </w:rPr>
      </w:pPr>
      <w:r w:rsidDel="00000000" w:rsidR="00000000" w:rsidRPr="00000000">
        <w:rPr>
          <w:rtl w:val="0"/>
        </w:rPr>
        <w:t xml:space="preserve">Standardized region names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right="-40" w:hanging="360"/>
        <w:rPr>
          <w:u w:val="none"/>
        </w:rPr>
      </w:pPr>
      <w:r w:rsidDel="00000000" w:rsidR="00000000" w:rsidRPr="00000000">
        <w:rPr>
          <w:rtl w:val="0"/>
        </w:rPr>
        <w:t xml:space="preserve">Calculated metrics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right="-40" w:hanging="360"/>
        <w:rPr>
          <w:u w:val="none"/>
        </w:rPr>
      </w:pPr>
      <w:r w:rsidDel="00000000" w:rsidR="00000000" w:rsidRPr="00000000">
        <w:rPr>
          <w:rtl w:val="0"/>
        </w:rPr>
        <w:t xml:space="preserve">Binded properties by size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right="-40" w:hanging="360"/>
        <w:rPr>
          <w:u w:val="none"/>
        </w:rPr>
      </w:pPr>
      <w:r w:rsidDel="00000000" w:rsidR="00000000" w:rsidRPr="00000000">
        <w:rPr>
          <w:rtl w:val="0"/>
        </w:rPr>
        <w:t xml:space="preserve">Looked at price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40" w:right="-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Analysis &amp; Findings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Key insights: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Price trends (230% Increase)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Regional disparities (16,847 sales in the capital, average price of 1,950,000 DKK)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Property Types(Highest yield 5-6% in cities)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Visuals: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series of price/sqm growth 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of regional price differences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180" w:lineRule="auto"/>
        <w:ind w:left="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Recommendations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Investors: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Target 1-2 bedroom apartments in the capital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Consider summerhouse for short-term appreciation 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Policymakers: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Incentives development is South Jutland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Limitations &amp; Assumptions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Limitations: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geocodes for rural properties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ends October 2024(excludes recent rate hikes)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 rate changes uniformly affect all regions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‘Summerhouse’ classification consistent across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References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Kaggle Dataset: Danish Residential Housing Prices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Danish Central Bank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Statistics Denmark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martinfrederiksen/danish-residential-housing-prices-1992-2024" TargetMode="External"/><Relationship Id="rId7" Type="http://schemas.openxmlformats.org/officeDocument/2006/relationships/hyperlink" Target="https://www.kaggle.com/datasets/martinfrederiksen/danish-residential-housing-prices-1992-202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