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71052ed702798de78611ed97ec6dcba4e4e0cc"/>
      <w:r>
        <w:t xml:space="preserve">Design Frameworks, Fall 2026 — Course Deployment Notes</w:t>
      </w:r>
      <w:bookmarkEnd w:id="20"/>
    </w:p>
    <w:p>
      <w:pPr>
        <w:pStyle w:val="FirstParagraph"/>
      </w:pPr>
      <w:r>
        <w:rPr>
          <w:i/>
        </w:rPr>
        <w:t xml:space="preserve">Living document. Pedagogy, staging, logistics, and governance for running Loom in DES INV 200. Revved over the semester and carried course-to-course.</w:t>
      </w:r>
    </w:p>
    <w:p>
      <w:pPr>
        <w:pStyle w:val="BodyText"/>
      </w:pPr>
      <w:r>
        <w:t xml:space="preserve">Draft · rev July 29 (folds in the July 28 Hugh/LX check-in and the July 29 Hugh/LX/TJ call). Home: the repo, beside the code, with a changelog — plus a shared Google Doc for live editing.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rovenance-the-technique-and-the-tool"/>
      <w:r>
        <w:t xml:space="preserve">1. Provenance: the technique and the tool</w:t>
      </w:r>
      <w:bookmarkEnd w:id="21"/>
    </w:p>
    <w:p>
      <w:pPr>
        <w:pStyle w:val="FirstParagraph"/>
      </w:pPr>
      <w:r>
        <w:rPr>
          <w:b/>
        </w:rPr>
        <w:t xml:space="preserve">Loom is not a new idea</w:t>
      </w:r>
      <w:r>
        <w:t xml:space="preserve">; it is the current embodiment of a long-running technique. Its lineage is stated here so it stays on the record as the tool passes through many hands.</w:t>
      </w:r>
    </w:p>
    <w:p>
      <w:pPr>
        <w:pStyle w:val="BodyText"/>
      </w:pPr>
      <w:r>
        <w:rPr>
          <w:b/>
        </w:rPr>
        <w:t xml:space="preserve">The technique.</w:t>
      </w:r>
      <w:r>
        <w:t xml:space="preserve"> </w:t>
      </w:r>
      <w:r>
        <w:t xml:space="preserve">Open-then-axial coding comes from grounded theory (Glaser &amp; Strauss, 1967): surface candidate codes from primary material (open coding), then relate the codes and name the relations (axial coding). For decades this was done by hand: cards, margins, and walls of paper.</w:t>
      </w:r>
    </w:p>
    <w:p>
      <w:pPr>
        <w:pStyle w:val="BodyText"/>
      </w:pPr>
      <w:r>
        <w:rPr>
          <w:b/>
        </w:rPr>
        <w:t xml:space="preserve">A short history of the tool.</w:t>
      </w:r>
      <w:r>
        <w:t xml:space="preserve"> </w:t>
      </w:r>
      <w:r>
        <w:t xml:space="preserve">At E-Lab, the design-research and strategy firm where a computer-supported, cooperative version of this work took shape in the 1990s, the technique was given a dedicated tool:</w:t>
      </w:r>
      <w:r>
        <w:t xml:space="preserve"> </w:t>
      </w:r>
      <w:r>
        <w:rPr>
          <w:b/>
        </w:rPr>
        <w:t xml:space="preserve">CAVEAT</w:t>
      </w:r>
      <w:r>
        <w:t xml:space="preserve"> </w:t>
      </w:r>
      <w:r>
        <w:t xml:space="preserve">(Coding And Video Analysis Tool). Its contribution was the</w:t>
      </w:r>
      <w:r>
        <w:t xml:space="preserve"> </w:t>
      </w:r>
      <w:r>
        <w:rPr>
          <w:i/>
        </w:rPr>
        <w:t xml:space="preserve">technique</w:t>
      </w:r>
      <w:r>
        <w:t xml:space="preserve">, not the medium: though it cut its teeth on video, the same open-then-axial move — capture a datum (a</w:t>
      </w:r>
      <w:r>
        <w:t xml:space="preserve"> </w:t>
      </w:r>
      <w:r>
        <w:t xml:space="preserve">“</w:t>
      </w:r>
      <w:r>
        <w:t xml:space="preserve">byte</w:t>
      </w:r>
      <w:r>
        <w:t xml:space="preserve">”</w:t>
      </w:r>
      <w:r>
        <w:t xml:space="preserve">), name what it evidences, then relate the codes — was applied across field data of every kind. CAVEAT, together with E-Lab’s companion practices (the AEIOU observation frame, and Rosebud, the cross-project library that promoted recurring findings into reusable, named units), is the direct ancestor of what Loom does with a student and a reading.</w:t>
      </w:r>
    </w:p>
    <w:p>
      <w:pPr>
        <w:pStyle w:val="BodyText"/>
      </w:pPr>
      <w:r>
        <w:rPr>
          <w:b/>
        </w:rPr>
        <w:t xml:space="preserve">Loom.</w:t>
      </w:r>
      <w:r>
        <w:t xml:space="preserve"> </w:t>
      </w:r>
      <w:r>
        <w:t xml:space="preserve">Loom is that same tool-embodiment of open-then-axial coding, carried from field ethnography into scholarly reading. Its v1 was conceived, named (</w:t>
      </w:r>
      <w:r>
        <w:t xml:space="preserve">“</w:t>
      </w:r>
      <w:r>
        <w:t xml:space="preserve">Loom</w:t>
      </w:r>
      <w:r>
        <w:t xml:space="preserve">”</w:t>
      </w:r>
      <w:r>
        <w:t xml:space="preserve">), and designed by</w:t>
      </w:r>
      <w:r>
        <w:t xml:space="preserve"> </w:t>
      </w:r>
      <w:r>
        <w:rPr>
          <w:b/>
        </w:rPr>
        <w:t xml:space="preserve">John Cain</w:t>
      </w:r>
      <w:r>
        <w:t xml:space="preserve"> </w:t>
      </w:r>
      <w:r>
        <w:t xml:space="preserve">(E-Lab co-founder) out of the lineage above. The byte as a first-class object, the coined-and-promoted relation vocabulary, and the by-hand red line are its originating design.</w:t>
      </w:r>
    </w:p>
    <w:p>
      <w:pPr>
        <w:pStyle w:val="BodyText"/>
      </w:pPr>
      <w:r>
        <w:rPr>
          <w:b/>
        </w:rPr>
        <w:t xml:space="preserve">Authorship as the tool evolves.</w:t>
      </w:r>
      <w:r>
        <w:t xml:space="preserve"> </w:t>
      </w:r>
      <w:r>
        <w:t xml:space="preserve">Loom is meant to be built on; colleagues will add functions, views, hosting, and features, and that work is welcome and credited. The tool’s originating design, however — how it embodies its technique, its object model, and its name — originates with Cain and E-Lab. New features extend Loom; they do not redefine it. (This is why design changes should route through a single design authority.)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looms-place-in-the-course"/>
      <w:r>
        <w:t xml:space="preserve">2. Loom’s place in the course</w:t>
      </w:r>
      <w:bookmarkEnd w:id="22"/>
    </w:p>
    <w:p>
      <w:pPr>
        <w:pStyle w:val="FirstParagraph"/>
      </w:pPr>
      <w:r>
        <w:t xml:space="preserve">The course enacts a chain of transformations (HD), each step handing off to the next: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text</w:t>
      </w:r>
      <w:r>
        <w:t xml:space="preserve"> </w:t>
      </w:r>
      <w:r>
        <w:t xml:space="preserve">— the primary reading: the paper, article, book, chapter, passage, etc.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notes</w:t>
      </w:r>
      <w:r>
        <w:t xml:space="preserve"> </w:t>
      </w:r>
      <w:r>
        <w:t xml:space="preserve">— marks (</w:t>
      </w:r>
      <w:r>
        <w:rPr>
          <w:b/>
        </w:rPr>
        <w:t xml:space="preserve">bytes</w:t>
      </w:r>
      <w:r>
        <w:t xml:space="preserve">) made while reading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concepts</w:t>
      </w:r>
      <w:r>
        <w:t xml:space="preserve"> </w:t>
      </w:r>
      <w:r>
        <w:t xml:space="preserve">— ideas named as short noun phrases, glossed in your own words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weave</w:t>
      </w:r>
      <w:r>
        <w:t xml:space="preserve"> </w:t>
      </w:r>
      <w:r>
        <w:t xml:space="preserve">— concepts linked by named relations ·</w:t>
      </w:r>
      <w:r>
        <w:t xml:space="preserve"> </w:t>
      </w:r>
      <w:r>
        <w:rPr>
          <w:i/>
        </w:rPr>
        <w:t xml:space="preserve">Loom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concept map</w:t>
      </w:r>
      <w:r>
        <w:t xml:space="preserve"> </w:t>
      </w:r>
      <w:r>
        <w:t xml:space="preserve">— staged on Loom’s Map tab (sort · arrange), then drawn by hand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chalk talk</w:t>
      </w:r>
      <w:r>
        <w:t xml:space="preserve"> </w:t>
      </w:r>
      <w:r>
        <w:t xml:space="preserve">— the map built live, aloud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questions</w:t>
      </w:r>
      <w:r>
        <w:t xml:space="preserve"> </w:t>
      </w:r>
      <w:r>
        <w:t xml:space="preserve">— what the map provokes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discussion</w:t>
      </w:r>
      <w:r>
        <w:t xml:space="preserve"> </w:t>
      </w:r>
      <w:r>
        <w:t xml:space="preserve">— the seminar works it through</w:t>
      </w:r>
    </w:p>
    <w:p>
      <w:pPr>
        <w:pStyle w:val="FirstParagraph"/>
      </w:pPr>
      <w:r>
        <w:t xml:space="preserve">Loom is the</w:t>
      </w:r>
      <w:r>
        <w:t xml:space="preserve"> </w:t>
      </w:r>
      <w:r>
        <w:rPr>
          <w:b/>
        </w:rPr>
        <w:t xml:space="preserve">weave</w:t>
      </w:r>
      <w:r>
        <w:t xml:space="preserve"> </w:t>
      </w:r>
      <w:r>
        <w:t xml:space="preserve">step (and now stages the map step), the structured middle. At each arrow the standing question is:</w:t>
      </w:r>
      <w:r>
        <w:t xml:space="preserve"> </w:t>
      </w:r>
      <w:r>
        <w:rPr>
          <w:i/>
        </w:rPr>
        <w:t xml:space="preserve">does the tool help here, or must hands do this work?</w:t>
      </w:r>
      <w:r>
        <w:t xml:space="preserve"> </w:t>
      </w:r>
      <w:r>
        <w:t xml:space="preserve">Reading, the final drawn map, and the synthesis stay in human hands.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cope-of-the-instrumented-activity"/>
      <w:r>
        <w:t xml:space="preserve">3. Scope of the instrumented activity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In:</w:t>
      </w:r>
      <w:r>
        <w:t xml:space="preserve"> </w:t>
      </w:r>
      <w:r>
        <w:t xml:space="preserve">the 26 core readings only. Each student graphs both weekly core readings in Loom, individually, weeks 2–13.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Out (happens, not standardized):</w:t>
      </w:r>
      <w:r>
        <w:t xml:space="preserve"> </w:t>
      </w:r>
      <w:r>
        <w:t xml:space="preserve">supplemental / expert territories, self-found readings, the final synthesis.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staging"/>
      <w:r>
        <w:t xml:space="preserve">4. Staging</w:t>
      </w:r>
      <w:bookmarkEnd w:id="24"/>
    </w:p>
    <w:p>
      <w:pPr>
        <w:pStyle w:val="FirstParagraph"/>
      </w:pPr>
      <w:r>
        <w:rPr>
          <w:b/>
        </w:rPr>
        <w:t xml:space="preserve">Weeks 2–6 — individual.</w:t>
      </w:r>
      <w:r>
        <w:t xml:space="preserve"> </w:t>
      </w:r>
      <w:r>
        <w:t xml:space="preserve">Two graphs per week. Week 2 is Loom onboarding (John’s visit 1) — students will have read Novak &amp; Gowin first; week 1 concept maps are hand-drawn, then Loom arrives as</w:t>
      </w:r>
      <w:r>
        <w:t xml:space="preserve"> </w:t>
      </w:r>
      <w:r>
        <w:t xml:space="preserve">“</w:t>
      </w:r>
      <w:r>
        <w:t xml:space="preserve">what you did by hand, now computer-supported and cooperative.</w:t>
      </w:r>
      <w:r>
        <w:t xml:space="preserve">”</w:t>
      </w:r>
    </w:p>
    <w:p>
      <w:pPr>
        <w:pStyle w:val="BodyText"/>
      </w:pPr>
      <w:r>
        <w:rPr>
          <w:b/>
        </w:rPr>
        <w:t xml:space="preserve">Weekly section ritual — the chalk talk.</w:t>
      </w:r>
      <w:r>
        <w:t xml:space="preserve"> </w:t>
      </w:r>
      <w:r>
        <w:t xml:space="preserve">The designated student opens discussion by building a small map at the board, one idea at a time (~7 concepts, max 9). It is a</w:t>
      </w:r>
      <w:r>
        <w:t xml:space="preserve"> </w:t>
      </w:r>
      <w:r>
        <w:rPr>
          <w:i/>
        </w:rPr>
        <w:t xml:space="preserve">derivative</w:t>
      </w:r>
      <w:r>
        <w:t xml:space="preserve"> </w:t>
      </w:r>
      <w:r>
        <w:t xml:space="preserve">of their Loom graph, not a redraw — Loom’s Map tab (sort · arrange · check) is the staging ground, and its mirror echoes the rubric: list = 1 point; sub-points = 2; connections across branches = 3. Explicitly discourage re-drawing the whole map.</w:t>
      </w:r>
    </w:p>
    <w:p>
      <w:pPr>
        <w:pStyle w:val="BodyText"/>
      </w:pPr>
      <w:r>
        <w:rPr>
          <w:b/>
        </w:rPr>
        <w:t xml:space="preserve">Weeks 6–11 — individual + pair critique.</w:t>
      </w:r>
      <w:r>
        <w:t xml:space="preserve"> </w:t>
      </w:r>
      <w:r>
        <w:t xml:space="preserve">Partners swap graphs before class, red-line each other’s, and turn in the red-lined version. The critique is on paper or in conversation. Week 11: mine your graph for final-project themes.</w:t>
      </w:r>
    </w:p>
    <w:p>
      <w:pPr>
        <w:pStyle w:val="BodyText"/>
      </w:pPr>
      <w:r>
        <w:rPr>
          <w:b/>
        </w:rPr>
        <w:t xml:space="preserve">Weeks 12–14 — group quilts.</w:t>
      </w:r>
      <w:r>
        <w:t xml:space="preserve"> </w:t>
      </w:r>
      <w:r>
        <w:t xml:space="preserve">Each section (not the whole class) weaves a shared graph from its members’ individual graphs. Identity reconciliation (same concept under three names) is negotiated by the students; a</w:t>
      </w:r>
      <w:r>
        <w:t xml:space="preserve"> </w:t>
      </w:r>
      <w:r>
        <w:rPr>
          <w:b/>
        </w:rPr>
        <w:t xml:space="preserve">steward per section owns the merge</w:t>
      </w:r>
      <w:r>
        <w:t xml:space="preserve"> </w:t>
      </w:r>
      <w:r>
        <w:t xml:space="preserve">— the negotiation is the pedagogy. The quilt is the final.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ssignments"/>
      <w:r>
        <w:t xml:space="preserve">5. Assignments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Read 2 core readings/week for 13 weeks; graph both in Loom.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LLM policy:</w:t>
      </w:r>
      <w:r>
        <w:t xml:space="preserve"> </w:t>
      </w:r>
      <w:r>
        <w:t xml:space="preserve">students may export their weave and experiment with an LLM on it — but turn in the full conversation with the resulting map (continues the 2025 disclosure policy). No AI inside the tool; AI outside it, disclosed.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Commonplace books:</w:t>
      </w:r>
      <w:r>
        <w:t xml:space="preserve"> </w:t>
      </w:r>
      <w:r>
        <w:t xml:space="preserve">paper notebooks provided; journaling on paper runs alongside Loom as a complementary layer.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Final = the quilt.</w:t>
      </w:r>
      <w:r>
        <w:t xml:space="preserve"> </w:t>
      </w:r>
      <w:r>
        <w:t xml:space="preserve">No standard exam. No open-topic poster (dropped — the old failure mode was topic drift). The Showcase can hang the weekly maps and/or printed quilt views.</w:t>
      </w:r>
    </w:p>
    <w:p>
      <w:pPr>
        <w:numPr>
          <w:ilvl w:val="0"/>
          <w:numId w:val="1003"/>
        </w:numPr>
        <w:pStyle w:val="Compact"/>
      </w:pPr>
      <w:r>
        <w:t xml:space="preserve">Chalk talk replaces the old history/theory slide presentations.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section-logistics"/>
      <w:r>
        <w:t xml:space="preserve">6. Section logistics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~65 students,</w:t>
      </w:r>
      <w:r>
        <w:t xml:space="preserve"> </w:t>
      </w:r>
      <w:r>
        <w:rPr>
          <w:b/>
        </w:rPr>
        <w:t xml:space="preserve">5 sections</w:t>
      </w:r>
      <w:r>
        <w:t xml:space="preserve"> </w:t>
      </w:r>
      <w:r>
        <w:t xml:space="preserve">(~14 each). Section leads: John + Kevin, Eric R, Ben S, Hugh.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John is remote</w:t>
      </w:r>
      <w:r>
        <w:t xml:space="preserve"> </w:t>
      </w:r>
      <w:r>
        <w:t xml:space="preserve">except ~3–4 visits (visit 1 = week 2, Loom onboarding). In-room he is paired with</w:t>
      </w:r>
      <w:r>
        <w:t xml:space="preserve"> </w:t>
      </w:r>
      <w:r>
        <w:rPr>
          <w:b/>
        </w:rPr>
        <w:t xml:space="preserve">Kevin</w:t>
      </w:r>
      <w:r>
        <w:t xml:space="preserve">; he sidecars remotely for discussion.</w:t>
      </w:r>
    </w:p>
    <w:p>
      <w:pPr>
        <w:numPr>
          <w:ilvl w:val="0"/>
          <w:numId w:val="1004"/>
        </w:numPr>
        <w:pStyle w:val="Compact"/>
      </w:pPr>
      <w:r>
        <w:t xml:space="preserve">Lecture is plenary; exercises break out into small groups with a compressed share-back at the end.</w:t>
      </w:r>
    </w:p>
    <w:p>
      <w:pPr>
        <w:numPr>
          <w:ilvl w:val="0"/>
          <w:numId w:val="1004"/>
        </w:numPr>
        <w:pStyle w:val="Compact"/>
      </w:pPr>
      <w:r>
        <w:t xml:space="preserve">Session recording / transcription (Kevin to arrange) helps note-taking — and raises a</w:t>
      </w:r>
      <w:r>
        <w:t xml:space="preserve"> </w:t>
      </w:r>
      <w:r>
        <w:rPr>
          <w:b/>
        </w:rPr>
        <w:t xml:space="preserve">consent question</w:t>
      </w:r>
      <w:r>
        <w:t xml:space="preserve"> </w:t>
      </w:r>
      <w:r>
        <w:t xml:space="preserve">(see §7).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hosting-data-and-governance"/>
      <w:r>
        <w:t xml:space="preserve">7. Hosting, data, and governance</w:t>
      </w:r>
      <w:bookmarkEnd w:id="2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Hosting / auth (settled 7/29):</w:t>
      </w:r>
      <w:r>
        <w:t xml:space="preserve"> </w:t>
      </w:r>
      <w:r>
        <w:t xml:space="preserve">TJ hosts (Vercel + backend); persistence</w:t>
      </w:r>
      <w:r>
        <w:t xml:space="preserve"> </w:t>
      </w:r>
      <w:r>
        <w:rPr>
          <w:b/>
        </w:rPr>
        <w:t xml:space="preserve">per signed-in student in the database</w:t>
      </w:r>
      <w:r>
        <w:t xml:space="preserve"> </w:t>
      </w:r>
      <w:r>
        <w:t xml:space="preserve">(Postgres/Neon) — no session-loss; sign-in via</w:t>
      </w:r>
      <w:r>
        <w:t xml:space="preserve"> </w:t>
      </w:r>
      <w:r>
        <w:rPr>
          <w:b/>
        </w:rPr>
        <w:t xml:space="preserve">GitHub</w:t>
      </w:r>
      <w:r>
        <w:t xml:space="preserve"> </w:t>
      </w:r>
      <w:r>
        <w:t xml:space="preserve">(</w:t>
      </w:r>
      <w:r>
        <w:t xml:space="preserve">“</w:t>
      </w:r>
      <w:r>
        <w:t xml:space="preserve">like asking them to get a phone number</w:t>
      </w:r>
      <w:r>
        <w:t xml:space="preserve">”</w:t>
      </w:r>
      <w:r>
        <w:t xml:space="preserve"> </w:t>
      </w:r>
      <w:r>
        <w:t xml:space="preserve">— the concurrent TDF course already requires GitHub; no student issues historically).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Data minimization:</w:t>
      </w:r>
      <w:r>
        <w:t xml:space="preserve"> </w:t>
      </w:r>
      <w:r>
        <w:t xml:space="preserve">student</w:t>
      </w:r>
      <w:r>
        <w:t xml:space="preserve"> </w:t>
      </w:r>
      <w:r>
        <w:rPr>
          <w:b/>
        </w:rPr>
        <w:t xml:space="preserve">name + graphs, nothing else.</w:t>
      </w:r>
      <w:r>
        <w:t xml:space="preserve"> </w:t>
      </w:r>
      <w:r>
        <w:t xml:space="preserve">Work is exportable (JSON + markdown) so students keep full control of their own data.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IRB posture (settled 7/29, on the record):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</w:rPr>
        <w:t xml:space="preserve">course deployment, not an experiment</w:t>
      </w:r>
      <w:r>
        <w:t xml:space="preserve"> </w:t>
      </w:r>
      <w:r>
        <w:t xml:space="preserve">— a demo students work with, like any class demo (TJ). No IRB filing is being made; the question was raised, discussed deliberately, and decided — not overlooked. If anyone later wants to publish, that is a separate, prior IRB conversation.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Storage stance:</w:t>
      </w:r>
      <w:r>
        <w:t xml:space="preserve"> </w:t>
      </w:r>
      <w:r>
        <w:t xml:space="preserve">keep data off bCourses (HD preference); store with the hosted tool, exportable and minimal. Weekly class export remains available as a fallback if governance ever demands it.</w:t>
      </w:r>
    </w:p>
    <w:p>
      <w:pPr>
        <w:numPr>
          <w:ilvl w:val="0"/>
          <w:numId w:val="1005"/>
        </w:numPr>
        <w:pStyle w:val="Compact"/>
      </w:pPr>
      <w:r>
        <w:t xml:space="preserve">Recording/transcription consent folds into the same conversation.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f1d2d8785031a97b00017b6cf44103676f5322e"/>
      <w:r>
        <w:t xml:space="preserve">8. Teaching reflection (not research instrumentation)</w:t>
      </w:r>
      <w:bookmarkEnd w:id="28"/>
    </w:p>
    <w:p>
      <w:pPr>
        <w:pStyle w:val="FirstParagraph"/>
      </w:pPr>
      <w:r>
        <w:t xml:space="preserve">Light-touch, from artifacts already collected — used to teach, not to publish:</w:t>
      </w:r>
    </w:p>
    <w:p>
      <w:pPr>
        <w:numPr>
          <w:ilvl w:val="0"/>
          <w:numId w:val="1006"/>
        </w:numPr>
        <w:pStyle w:val="Compact"/>
      </w:pPr>
      <w:r>
        <w:t xml:space="preserve">Vocabulary growth: terms a student reuses over time; register spread (does a mech-E acquire</w:t>
      </w:r>
      <w:r>
        <w:t xml:space="preserve"> </w:t>
      </w:r>
      <w:r>
        <w:t xml:space="preserve">“</w:t>
      </w:r>
      <w:r>
        <w:t xml:space="preserve">presupposes</w:t>
      </w:r>
      <w:r>
        <w:t xml:space="preserve">”</w:t>
      </w:r>
      <w:r>
        <w:t xml:space="preserve">?).</w:t>
      </w:r>
    </w:p>
    <w:p>
      <w:pPr>
        <w:numPr>
          <w:ilvl w:val="0"/>
          <w:numId w:val="1006"/>
        </w:numPr>
        <w:pStyle w:val="Compact"/>
      </w:pPr>
      <w:r>
        <w:t xml:space="preserve">Island-bridging: cross-week edges connecting this week’s concepts to prior weeks’.</w:t>
      </w:r>
    </w:p>
    <w:p>
      <w:pPr>
        <w:numPr>
          <w:ilvl w:val="0"/>
          <w:numId w:val="1006"/>
        </w:numPr>
        <w:pStyle w:val="Compact"/>
      </w:pPr>
      <w:r>
        <w:t xml:space="preserve">Legible-failure states: evidence-less concepts and sentence-only edges over time (should fall).</w:t>
      </w:r>
    </w:p>
    <w:p>
      <w:pPr>
        <w:numPr>
          <w:ilvl w:val="0"/>
          <w:numId w:val="1006"/>
        </w:numPr>
        <w:pStyle w:val="Compact"/>
      </w:pPr>
      <w:r>
        <w:t xml:space="preserve">Pair-critique red-lines: what colleagues catch.</w:t>
      </w:r>
    </w:p>
    <w:p>
      <w:pPr>
        <w:numPr>
          <w:ilvl w:val="0"/>
          <w:numId w:val="1006"/>
        </w:numPr>
        <w:pStyle w:val="Compact"/>
      </w:pPr>
      <w:r>
        <w:t xml:space="preserve">Check-in presentations + a mid-term survey (continues HD’s 2025 practice).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working-agreements-july-2829"/>
      <w:r>
        <w:t xml:space="preserve">9. Working agreements (July 28–29)</w:t>
      </w:r>
      <w:bookmarkEnd w:id="29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Single source of truth:</w:t>
      </w:r>
      <w:r>
        <w:t xml:space="preserve"> </w:t>
      </w:r>
      <w:r>
        <w:t xml:space="preserve">TJ’s GitHub repo holds the code, this document, and the spec, with a changelog; versions travel by check-in, not email. (JC’s v10 committed 7/28; v14 to follow.)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Ratified into production v1:</w:t>
      </w:r>
      <w:r>
        <w:t xml:space="preserve"> </w:t>
      </w:r>
      <w:r>
        <w:t xml:space="preserve">the reading library (preloaded, standardized</w:t>
      </w:r>
      <w:r>
        <w:t xml:space="preserve"> </w:t>
      </w:r>
      <w:r>
        <w:t xml:space="preserve">“</w:t>
      </w:r>
      <w:r>
        <w:t xml:space="preserve">gold</w:t>
      </w:r>
      <w:r>
        <w:t xml:space="preserve">”</w:t>
      </w:r>
      <w:r>
        <w:t xml:space="preserve"> </w:t>
      </w:r>
      <w:r>
        <w:t xml:space="preserve">texts approved by HD/JC; students may add papers, with dedupe-and-redirect), in-tool highlights → bytes, and highlight heat maps (subject to the spec’s timing red line). OCR quality must be checked before release — several course PDFs are scans.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Daily 3 pm PT calls this week</w:t>
      </w:r>
      <w:r>
        <w:t xml:space="preserve"> </w:t>
      </w:r>
      <w:r>
        <w:t xml:space="preserve">to close the spec.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Homework (LX):</w:t>
      </w:r>
      <w:r>
        <w:t xml:space="preserve"> </w:t>
      </w:r>
      <w:r>
        <w:t xml:space="preserve">take the E-Lab field guide’s CAVEAT method and make a loom from a reading; read Novak &amp; Gowin and compare/contrast. JC to gather the field guide and a</w:t>
      </w:r>
      <w:r>
        <w:t xml:space="preserve"> </w:t>
      </w:r>
      <w:r>
        <w:t xml:space="preserve">“</w:t>
      </w:r>
      <w:r>
        <w:t xml:space="preserve">paper of record</w:t>
      </w:r>
      <w:r>
        <w:t xml:space="preserve">”</w:t>
      </w:r>
      <w:r>
        <w:t xml:space="preserve"> </w:t>
      </w:r>
      <w:r>
        <w:t xml:space="preserve">for axial coding (Glaser ch. 1).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Examples to produce (TJ):</w:t>
      </w:r>
      <w:r>
        <w:t xml:space="preserve"> </w:t>
      </w:r>
      <w:r>
        <w:t xml:space="preserve">worked examples that show the</w:t>
      </w:r>
      <w:r>
        <w:t xml:space="preserve"> </w:t>
      </w:r>
      <w:r>
        <w:rPr>
          <w:i/>
        </w:rPr>
        <w:t xml:space="preserve">journey</w:t>
      </w:r>
      <w:r>
        <w:t xml:space="preserve">, not just the product — readings → highlights → bytes → threads — including good and bad practice (Goofus &amp; Gallant).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open-questions-parking-lot"/>
      <w:r>
        <w:t xml:space="preserve">10. Open questions (parking lot)</w:t>
      </w:r>
      <w:bookmarkEnd w:id="30"/>
    </w:p>
    <w:p>
      <w:pPr>
        <w:numPr>
          <w:ilvl w:val="0"/>
          <w:numId w:val="1008"/>
        </w:numPr>
        <w:pStyle w:val="Compact"/>
      </w:pPr>
      <w:r>
        <w:t xml:space="preserve">Freeze date for</w:t>
      </w:r>
      <w:r>
        <w:t xml:space="preserve"> </w:t>
      </w:r>
      <w:r>
        <w:rPr>
          <w:rStyle w:val="VerbatimChar"/>
        </w:rPr>
        <w:t xml:space="preserve">Loom_spec_v1.md</w:t>
      </w:r>
      <w:r>
        <w:t xml:space="preserve"> </w:t>
      </w:r>
      <w:r>
        <w:t xml:space="preserve">(~1 week per HD/JC); production v1 ~2 weeks (TJ).</w:t>
      </w:r>
    </w:p>
    <w:p>
      <w:pPr>
        <w:numPr>
          <w:ilvl w:val="0"/>
          <w:numId w:val="1008"/>
        </w:numPr>
        <w:pStyle w:val="Compact"/>
      </w:pPr>
      <w:r>
        <w:t xml:space="preserve">Reviewer fallback if TJ is unavailable mid-semester (Pete? Kevin?).</w:t>
      </w:r>
    </w:p>
    <w:p>
      <w:pPr>
        <w:numPr>
          <w:ilvl w:val="0"/>
          <w:numId w:val="1008"/>
        </w:numPr>
        <w:pStyle w:val="Compact"/>
      </w:pPr>
      <w:r>
        <w:t xml:space="preserve">Markdown export lives in Lingxiu’s fork — reconcile into the production build.</w:t>
      </w:r>
    </w:p>
    <w:p>
      <w:pPr>
        <w:numPr>
          <w:ilvl w:val="0"/>
          <w:numId w:val="1008"/>
        </w:numPr>
        <w:pStyle w:val="Compact"/>
      </w:pPr>
      <w:r>
        <w:t xml:space="preserve">Formal term</w:t>
      </w:r>
      <w:r>
        <w:t xml:space="preserve"> </w:t>
      </w:r>
      <w:r>
        <w:t xml:space="preserve">“</w:t>
      </w:r>
      <w:r>
        <w:t xml:space="preserve">promotion</w:t>
      </w:r>
      <w:r>
        <w:t xml:space="preserve">”</w:t>
      </w:r>
      <w:r>
        <w:t xml:space="preserve"> </w:t>
      </w:r>
      <w:r>
        <w:t xml:space="preserve">— needed, or is recurrence-surfacing enough? (Currently v2.)</w:t>
      </w:r>
    </w:p>
    <w:p>
      <w:pPr>
        <w:numPr>
          <w:ilvl w:val="0"/>
          <w:numId w:val="1008"/>
        </w:numPr>
        <w:pStyle w:val="Compact"/>
      </w:pPr>
      <w:r>
        <w:t xml:space="preserve">Naming of the register menus:</w:t>
      </w:r>
      <w:r>
        <w:t xml:space="preserve"> </w:t>
      </w:r>
      <w:r>
        <w:t xml:space="preserve">“</w:t>
      </w:r>
      <w:r>
        <w:t xml:space="preserve">tongues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paradigms</w:t>
      </w:r>
      <w:r>
        <w:t xml:space="preserve">”</w:t>
      </w:r>
      <w:r>
        <w:t xml:space="preserve"> </w:t>
      </w:r>
      <w:r>
        <w:t xml:space="preserve">vs. plain</w:t>
      </w:r>
      <w:r>
        <w:t xml:space="preserve"> </w:t>
      </w:r>
      <w:r>
        <w:t xml:space="preserve">“</w:t>
      </w:r>
      <w:r>
        <w:t xml:space="preserve">vocabularies.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Grading weight: graphs vs. maps-as-before; whether the Figma</w:t>
      </w:r>
      <w:r>
        <w:t xml:space="preserve"> </w:t>
      </w:r>
      <w:r>
        <w:t xml:space="preserve">“</w:t>
      </w:r>
      <w:r>
        <w:t xml:space="preserve">Concept Map Obeya</w:t>
      </w:r>
      <w:r>
        <w:t xml:space="preserve">”</w:t>
      </w:r>
      <w:r>
        <w:t xml:space="preserve"> </w:t>
      </w:r>
      <w:r>
        <w:t xml:space="preserve">wall continues in parallel.</w:t>
      </w:r>
    </w:p>
    <w:p>
      <w:pPr>
        <w:numPr>
          <w:ilvl w:val="0"/>
          <w:numId w:val="1008"/>
        </w:numPr>
        <w:pStyle w:val="Compact"/>
      </w:pPr>
      <w:r>
        <w:t xml:space="preserve">Cross-year quilt archive — the</w:t>
      </w:r>
      <w:r>
        <w:t xml:space="preserve"> </w:t>
      </w:r>
      <w:r>
        <w:t xml:space="preserve">“</w:t>
      </w:r>
      <w:r>
        <w:t xml:space="preserve">quilt barn</w:t>
      </w:r>
      <w:r>
        <w:t xml:space="preserve">”</w:t>
      </w:r>
      <w:r>
        <w:t xml:space="preserve"> </w:t>
      </w:r>
      <w:r>
        <w:t xml:space="preserve">idea. A 2027 question.</w:t>
      </w:r>
    </w:p>
    <w:p>
      <w:pPr>
        <w:numPr>
          <w:ilvl w:val="0"/>
          <w:numId w:val="1008"/>
        </w:numPr>
        <w:pStyle w:val="Compact"/>
      </w:pPr>
      <w:r>
        <w:t xml:space="preserve">Admin: John’s fellowship appointment (William) still not issued.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2026-07-29T17:37:41Z</dcterms:created>
  <dcterms:modified xsi:type="dcterms:W3CDTF">2026-07-29T17:37:41Z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