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f2d3d"/>
          <w:sz w:val="36"/>
          <w:szCs w:val="36"/>
        </w:rPr>
        <w:t xml:space="preserve">Job Hunting Tool Suite</w:t>
      </w:r>
    </w:p>
    <w:p>
      <w:pPr>
        <w:spacing w:after="240"/>
      </w:pPr>
      <w:r>
        <w:rPr>
          <w:rFonts w:ascii="Arial" w:cs="Arial" w:eastAsia="Arial" w:hAnsi="Arial"/>
          <w:i/>
          <w:iCs/>
          <w:color w:val="444444"/>
          <w:sz w:val="24"/>
          <w:szCs w:val="24"/>
        </w:rPr>
        <w:t xml:space="preserve">Overview Guide</w:t>
      </w:r>
    </w:p>
    <w:p>
      <w:pPr>
        <w:spacing w:after="200"/>
      </w:pPr>
      <w:r>
        <w:rPr>
          <w:rFonts w:ascii="Arial" w:cs="Arial" w:eastAsia="Arial" w:hAnsi="Arial"/>
          <w:color w:val="444444"/>
          <w:sz w:val="20"/>
          <w:szCs w:val="20"/>
        </w:rPr>
        <w:t xml:space="preserve">Four standalone tools cover a full job search, each solving a distinct stage, designed to work together but each fully independent — any one can be used on its own. Two additional tools sit outside that job-search funnel entirely: LinkedIn Article Share Builder, for staying visible on LinkedIn whether or not you're actively job hunting, and Recruiter Message Sanity Check, for screening suspicious recruiter outreach — both covered separately near the end of this guide. This guide covers what each tool does and how they fit together. For how to actually use each one, see that tool's own User Guide or Sale Fish combined guide, linked at the bottom.</w:t>
      </w:r>
    </w:p>
    <w:p>
      <w:pPr>
        <w:pStyle w:val="Heading1"/>
        <w:spacing w:after="120" w:before="280"/>
      </w:pPr>
      <w:r>
        <w:rPr>
          <w:rFonts w:ascii="Arial" w:cs="Arial" w:eastAsia="Arial" w:hAnsi="Arial"/>
          <w:b/>
          <w:bCs/>
          <w:color w:val="0f2d3d"/>
          <w:sz w:val="26"/>
          <w:szCs w:val="26"/>
        </w:rPr>
        <w:t xml:space="preserve">The Four Job-Search Tools At a Glance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900"/>
        <w:gridCol w:w="3000"/>
      </w:tblGrid>
      <w:tr>
        <w:tc>
          <w:tcPr>
            <w:tcW w:type="dxa" w:w="2400"/>
            <w:shd w:fill="1B6FA8" w:val="clear"/>
            <w:tcMar>
              <w:top w:type="dxa" w:w="90"/>
              <w:left w:type="dxa" w:w="100"/>
              <w:bottom w:type="dxa" w:w="90"/>
              <w:right w:type="dxa" w:w="100"/>
            </w:tcMar>
          </w:tcPr>
          <w:p>
            <w:r>
              <w:rPr>
                <w:rFonts w:ascii="Arial" w:cs="Arial" w:eastAsia="Arial" w:hAnsi="Arial"/>
                <w:b/>
                <w:bCs/>
                <w:color w:val="FFFFFF"/>
                <w:sz w:val="18"/>
                <w:szCs w:val="18"/>
              </w:rPr>
              <w:t xml:space="preserve">Tool</w:t>
            </w:r>
          </w:p>
        </w:tc>
        <w:tc>
          <w:tcPr>
            <w:tcW w:type="dxa" w:w="3200"/>
            <w:shd w:fill="1B6FA8" w:val="clear"/>
            <w:tcMar>
              <w:top w:type="dxa" w:w="90"/>
              <w:left w:type="dxa" w:w="100"/>
              <w:bottom w:type="dxa" w:w="90"/>
              <w:right w:type="dxa" w:w="100"/>
            </w:tcMar>
          </w:tcPr>
          <w:p>
            <w:r>
              <w:rPr>
                <w:rFonts w:ascii="Arial" w:cs="Arial" w:eastAsia="Arial" w:hAnsi="Arial"/>
                <w:b/>
                <w:bCs/>
                <w:color w:val="FFFFFF"/>
                <w:sz w:val="18"/>
                <w:szCs w:val="18"/>
              </w:rPr>
              <w:t xml:space="preserve">Solves</w:t>
            </w:r>
          </w:p>
        </w:tc>
        <w:tc>
          <w:tcPr>
            <w:tcW w:type="dxa" w:w="2900"/>
            <w:shd w:fill="1B6FA8" w:val="clear"/>
            <w:tcMar>
              <w:top w:type="dxa" w:w="90"/>
              <w:left w:type="dxa" w:w="100"/>
              <w:bottom w:type="dxa" w:w="90"/>
              <w:right w:type="dxa" w:w="100"/>
            </w:tcMar>
          </w:tcPr>
          <w:p>
            <w:r>
              <w:rPr>
                <w:rFonts w:ascii="Arial" w:cs="Arial" w:eastAsia="Arial" w:hAnsi="Arial"/>
                <w:b/>
                <w:bCs/>
                <w:color w:val="FFFFFF"/>
                <w:sz w:val="18"/>
                <w:szCs w:val="18"/>
              </w:rPr>
              <w:t xml:space="preserve">Core Input</w:t>
            </w:r>
          </w:p>
        </w:tc>
        <w:tc>
          <w:tcPr>
            <w:tcW w:type="dxa" w:w="3000"/>
            <w:shd w:fill="1B6FA8" w:val="clear"/>
            <w:tcMar>
              <w:top w:type="dxa" w:w="90"/>
              <w:left w:type="dxa" w:w="100"/>
              <w:bottom w:type="dxa" w:w="90"/>
              <w:right w:type="dxa" w:w="100"/>
            </w:tcMar>
          </w:tcPr>
          <w:p>
            <w:r>
              <w:rPr>
                <w:rFonts w:ascii="Arial" w:cs="Arial" w:eastAsia="Arial" w:hAnsi="Arial"/>
                <w:b/>
                <w:bCs/>
                <w:color w:val="FFFFFF"/>
                <w:sz w:val="18"/>
                <w:szCs w:val="18"/>
              </w:rPr>
              <w:t xml:space="preserve">Output</w:t>
            </w:r>
          </w:p>
        </w:tc>
      </w:tr>
      <w:tr>
        <w:tc>
          <w:tcPr>
            <w:tcW w:type="dxa" w:w="24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Target Company Prompt Builder</w:t>
            </w:r>
          </w:p>
        </w:tc>
        <w:tc>
          <w:tcPr>
            <w:tcW w:type="dxa" w:w="32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Researches and ranks companies — builds a formatted tracker with a computed Suggested Priority Rank</w:t>
            </w:r>
          </w:p>
        </w:tc>
        <w:tc>
          <w:tcPr>
            <w:tcW w:type="dxa" w:w="2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A company, industry, or NAICS code you already know</w:t>
            </w:r>
          </w:p>
        </w:tc>
        <w:tc>
          <w:tcPr>
            <w:tcW w:type="dxa" w:w="30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Prompt text — paste into a new Claude chat to generate the .xlsx tracker</w:t>
            </w:r>
          </w:p>
        </w:tc>
      </w:tr>
      <w:tr>
        <w:tc>
          <w:tcPr>
            <w:tcW w:type="dxa" w:w="24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Job Posting Finder</w:t>
            </w:r>
          </w:p>
        </w:tc>
        <w:tc>
          <w:tcPr>
            <w:tcW w:type="dxa" w:w="32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Checks who's actively hiring, right now, with real postings and real URLs</w:t>
            </w:r>
          </w:p>
        </w:tc>
        <w:tc>
          <w:tcPr>
            <w:tcW w:type="dxa" w:w="2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A shortlist of companies and/or job titles</w:t>
            </w:r>
          </w:p>
        </w:tc>
        <w:tc>
          <w:tcPr>
            <w:tcW w:type="dxa" w:w="30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Prompt text — paste into a new Claude chat to generate the postings list</w:t>
            </w:r>
          </w:p>
        </w:tc>
      </w:tr>
      <w:tr>
        <w:tc>
          <w:tcPr>
            <w:tcW w:type="dxa" w:w="24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Resume &amp; Cover Letter Tailoring</w:t>
            </w:r>
          </w:p>
        </w:tc>
        <w:tc>
          <w:tcPr>
            <w:tcW w:type="dxa" w:w="32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Tailors your actual application to a specific posting</w:t>
            </w:r>
          </w:p>
        </w:tc>
        <w:tc>
          <w:tcPr>
            <w:tcW w:type="dxa" w:w="2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A real job posting's text, plus your resume</w:t>
            </w:r>
          </w:p>
        </w:tc>
        <w:tc>
          <w:tcPr>
            <w:tcW w:type="dxa" w:w="30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Prompt text — paste into a new Claude chat to generate the tailored documents</w:t>
            </w:r>
          </w:p>
        </w:tc>
      </w:tr>
      <w:tr>
        <w:tc>
          <w:tcPr>
            <w:tcW w:type="dxa" w:w="24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Outreach Message Builder</w:t>
            </w:r>
          </w:p>
        </w:tc>
        <w:tc>
          <w:tcPr>
            <w:tcW w:type="dxa" w:w="32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Drafts the messages you send to actually reach someone</w:t>
            </w:r>
          </w:p>
        </w:tc>
        <w:tc>
          <w:tcPr>
            <w:tcW w:type="dxa" w:w="2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Company, contact, and connection-type data from your tracker</w:t>
            </w:r>
          </w:p>
        </w:tc>
        <w:tc>
          <w:tcPr>
            <w:tcW w:type="dxa" w:w="30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Prompt text — paste into a new Claude chat to generate the draft messages</w:t>
            </w:r>
          </w:p>
        </w:tc>
      </w:tr>
    </w:tbl>
    <w:p>
      <w:pPr>
        <w:spacing w:after="200" w:before="160"/>
      </w:pPr>
      <w:r>
        <w:rPr>
          <w:rFonts w:ascii="Arial" w:cs="Arial" w:eastAsia="Arial" w:hAnsi="Arial"/>
          <w:color w:val="444444"/>
          <w:sz w:val="20"/>
          <w:szCs w:val="20"/>
        </w:rPr>
        <w:t xml:space="preserve">Note the Output column above: none of these four tools produce a finished document by themselves. Each one builds a prompt that you copy into a separate Claude conversation, where the actual research, writing, or file generation happens. That's a deliberate design choice, not a missing feature — see "What's Consistent Across All Four Tools" below.</w:t>
      </w:r>
    </w:p>
    <w:p>
      <w:pPr>
        <w:pStyle w:val="Heading1"/>
        <w:spacing w:after="120" w:before="280"/>
      </w:pPr>
      <w:r>
        <w:rPr>
          <w:rFonts w:ascii="Arial" w:cs="Arial" w:eastAsia="Arial" w:hAnsi="Arial"/>
          <w:b/>
          <w:bCs/>
          <w:color w:val="0f2d3d"/>
          <w:sz w:val="26"/>
          <w:szCs w:val="26"/>
        </w:rPr>
        <w:t xml:space="preserve">How They Fit Together</w:t>
      </w:r>
    </w:p>
    <w:p>
      <w:pPr>
        <w:spacing w:after="200"/>
      </w:pPr>
      <w:r>
        <w:rPr>
          <w:rFonts w:ascii="Arial" w:cs="Arial" w:eastAsia="Arial" w:hAnsi="Arial"/>
          <w:b/>
          <w:bCs/>
          <w:color w:val="444444"/>
          <w:sz w:val="20"/>
          <w:szCs w:val="20"/>
        </w:rPr>
        <w:t xml:space="preserve">1. Target Company Prompt Builder → 2. Job Posting Finder</w:t>
      </w:r>
      <w:r>
        <w:rPr>
          <w:rFonts w:ascii="Arial" w:cs="Arial" w:eastAsia="Arial" w:hAnsi="Arial"/>
          <w:color w:val="444444"/>
          <w:sz w:val="20"/>
          <w:szCs w:val="20"/>
        </w:rPr>
        <w:t xml:space="preserve"> is a fixed sequence. The second tool needs your Suggested Priority Rank to know which companies are worth checking — that data doesn't exist until the first tool has already run.</w:t>
      </w:r>
    </w:p>
    <w:p>
      <w:pPr>
        <w:spacing w:after="200"/>
      </w:pPr>
      <w:r>
        <w:rPr>
          <w:rFonts w:ascii="Arial" w:cs="Arial" w:eastAsia="Arial" w:hAnsi="Arial"/>
          <w:b/>
          <w:bCs/>
          <w:color w:val="444444"/>
          <w:sz w:val="20"/>
          <w:szCs w:val="20"/>
        </w:rPr>
        <w:t xml:space="preserve">3. Outreach Message Builder and 4. Resume &amp; Cover Letter Tailoring</w:t>
      </w:r>
      <w:r>
        <w:rPr>
          <w:rFonts w:ascii="Arial" w:cs="Arial" w:eastAsia="Arial" w:hAnsi="Arial"/>
          <w:color w:val="444444"/>
          <w:sz w:val="20"/>
          <w:szCs w:val="20"/>
        </w:rPr>
        <w:t xml:space="preserve"> don't have one correct order — it depends on your situation:</w:t>
      </w:r>
    </w:p>
    <w:p>
      <w:pPr>
        <w:pStyle w:val="ListParagraph"/>
        <w:numPr>
          <w:ilvl w:val="0"/>
          <w:numId w:val="2"/>
        </w:numPr>
        <w:spacing w:after="100"/>
      </w:pPr>
      <w:r>
        <w:rPr>
          <w:rFonts w:ascii="Arial" w:cs="Arial" w:eastAsia="Arial" w:hAnsi="Arial"/>
          <w:b/>
          <w:bCs/>
          <w:color w:val="444444"/>
          <w:sz w:val="20"/>
          <w:szCs w:val="20"/>
        </w:rPr>
        <w:t xml:space="preserve">Networking first: </w:t>
      </w:r>
      <w:r>
        <w:rPr>
          <w:rFonts w:ascii="Arial" w:cs="Arial" w:eastAsia="Arial" w:hAnsi="Arial"/>
          <w:color w:val="444444"/>
          <w:sz w:val="20"/>
          <w:szCs w:val="20"/>
        </w:rPr>
        <w:t xml:space="preserve">open a warm conversation before a specific posting is even in play, then tailor your resume once an actual opening exists.</w:t>
      </w:r>
    </w:p>
    <w:p>
      <w:pPr>
        <w:pStyle w:val="ListParagraph"/>
        <w:numPr>
          <w:ilvl w:val="0"/>
          <w:numId w:val="2"/>
        </w:numPr>
        <w:spacing w:after="100"/>
      </w:pPr>
      <w:r>
        <w:rPr>
          <w:rFonts w:ascii="Arial" w:cs="Arial" w:eastAsia="Arial" w:hAnsi="Arial"/>
          <w:b/>
          <w:bCs/>
          <w:color w:val="444444"/>
          <w:sz w:val="20"/>
          <w:szCs w:val="20"/>
        </w:rPr>
        <w:t xml:space="preserve">Posting first: </w:t>
      </w:r>
      <w:r>
        <w:rPr>
          <w:rFonts w:ascii="Arial" w:cs="Arial" w:eastAsia="Arial" w:hAnsi="Arial"/>
          <w:color w:val="444444"/>
          <w:sz w:val="20"/>
          <w:szCs w:val="20"/>
        </w:rPr>
        <w:t xml:space="preserve">find a real opening, tailor your application immediately, then follow up with a contact after applying.</w:t>
      </w:r>
    </w:p>
    <w:p>
      <w:pPr>
        <w:spacing w:after="200"/>
      </w:pPr>
      <w:r>
        <w:rPr>
          <w:rFonts w:ascii="Arial" w:cs="Arial" w:eastAsia="Arial" w:hAnsi="Arial"/>
          <w:color w:val="444444"/>
          <w:sz w:val="20"/>
          <w:szCs w:val="20"/>
        </w:rPr>
        <w:t xml:space="preserve">Both are legitimate strategies. The tools don't force either order — they're built to be used independently, in whatever sequence matches how you're actually approaching a given company.</w:t>
      </w:r>
    </w:p>
    <w:p>
      <w:pPr>
        <w:pStyle w:val="Heading1"/>
        <w:spacing w:after="120" w:before="280"/>
      </w:pPr>
      <w:r>
        <w:rPr>
          <w:rFonts w:ascii="Arial" w:cs="Arial" w:eastAsia="Arial" w:hAnsi="Arial"/>
          <w:b/>
          <w:bCs/>
          <w:color w:val="0f2d3d"/>
          <w:sz w:val="26"/>
          <w:szCs w:val="26"/>
        </w:rPr>
        <w:t xml:space="preserve">What's Consistent Across All Four Tools</w:t>
      </w:r>
    </w:p>
    <w:p>
      <w:pPr>
        <w:pStyle w:val="ListParagraph"/>
        <w:numPr>
          <w:ilvl w:val="0"/>
          <w:numId w:val="2"/>
        </w:numPr>
        <w:spacing w:after="100"/>
      </w:pPr>
      <w:r>
        <w:rPr>
          <w:rFonts w:ascii="Arial" w:cs="Arial" w:eastAsia="Arial" w:hAnsi="Arial"/>
          <w:b/>
          <w:bCs/>
          <w:color w:val="444444"/>
          <w:sz w:val="20"/>
          <w:szCs w:val="20"/>
        </w:rPr>
        <w:t xml:space="preserve">No install, no account, no server. </w:t>
      </w:r>
      <w:r>
        <w:rPr>
          <w:rFonts w:ascii="Arial" w:cs="Arial" w:eastAsia="Arial" w:hAnsi="Arial"/>
          <w:color w:val="444444"/>
          <w:sz w:val="20"/>
          <w:szCs w:val="20"/>
        </w:rPr>
        <w:t xml:space="preserve">Every tool is a single self-contained HTML file.</w:t>
      </w:r>
    </w:p>
    <w:p>
      <w:pPr>
        <w:pStyle w:val="ListParagraph"/>
        <w:numPr>
          <w:ilvl w:val="0"/>
          <w:numId w:val="2"/>
        </w:numPr>
        <w:spacing w:after="100"/>
      </w:pPr>
      <w:r>
        <w:rPr>
          <w:rFonts w:ascii="Arial" w:cs="Arial" w:eastAsia="Arial" w:hAnsi="Arial"/>
          <w:b/>
          <w:bCs/>
          <w:color w:val="444444"/>
          <w:sz w:val="20"/>
          <w:szCs w:val="20"/>
        </w:rPr>
        <w:t xml:space="preserve">Each tool generates a prompt — it doesn't do the work itself. </w:t>
      </w:r>
      <w:r>
        <w:rPr>
          <w:rFonts w:ascii="Arial" w:cs="Arial" w:eastAsia="Arial" w:hAnsi="Arial"/>
          <w:color w:val="444444"/>
          <w:sz w:val="20"/>
          <w:szCs w:val="20"/>
        </w:rPr>
        <w:t xml:space="preserve">Claude, in a separate chat, does the actual research, writing, or drafting once you paste it in.</w:t>
      </w:r>
    </w:p>
    <w:p>
      <w:pPr>
        <w:pStyle w:val="ListParagraph"/>
        <w:numPr>
          <w:ilvl w:val="0"/>
          <w:numId w:val="2"/>
        </w:numPr>
        <w:spacing w:after="100"/>
      </w:pPr>
      <w:r>
        <w:rPr>
          <w:rFonts w:ascii="Arial" w:cs="Arial" w:eastAsia="Arial" w:hAnsi="Arial"/>
          <w:b/>
          <w:bCs/>
          <w:color w:val="444444"/>
          <w:sz w:val="20"/>
          <w:szCs w:val="20"/>
        </w:rPr>
        <w:t xml:space="preserve">Every tool has an honesty guardrail suited to what it produces: </w:t>
      </w:r>
      <w:r>
        <w:rPr>
          <w:rFonts w:ascii="Arial" w:cs="Arial" w:eastAsia="Arial" w:hAnsi="Arial"/>
          <w:color w:val="444444"/>
          <w:sz w:val="20"/>
          <w:szCs w:val="20"/>
        </w:rPr>
        <w:t xml:space="preserve">the Prompt Builder won't fabricate company data; the Posting Finder won't fabricate postings; the Tailoring tool won't fabricate resume content or a recruiter's identity; the Message Builder won't fabricate a relationship.</w:t>
      </w:r>
    </w:p>
    <w:p>
      <w:pPr>
        <w:pStyle w:val="ListParagraph"/>
        <w:numPr>
          <w:ilvl w:val="0"/>
          <w:numId w:val="2"/>
        </w:numPr>
        <w:spacing w:after="100"/>
      </w:pPr>
      <w:r>
        <w:rPr>
          <w:rFonts w:ascii="Arial" w:cs="Arial" w:eastAsia="Arial" w:hAnsi="Arial"/>
          <w:b/>
          <w:bCs/>
          <w:color w:val="444444"/>
          <w:sz w:val="20"/>
          <w:szCs w:val="20"/>
        </w:rPr>
        <w:t xml:space="preserve">“Your background” is a shared, reusable field </w:t>
      </w:r>
      <w:r>
        <w:rPr>
          <w:rFonts w:ascii="Arial" w:cs="Arial" w:eastAsia="Arial" w:hAnsi="Arial"/>
          <w:color w:val="444444"/>
          <w:sz w:val="20"/>
          <w:szCs w:val="20"/>
        </w:rPr>
        <w:t xml:space="preserve">across every tool that uses it, rather than each tool asking for a differently-shaped version of the same information.</w:t>
      </w:r>
    </w:p>
    <w:p>
      <w:pPr>
        <w:pStyle w:val="ListParagraph"/>
        <w:numPr>
          <w:ilvl w:val="0"/>
          <w:numId w:val="2"/>
        </w:numPr>
        <w:spacing w:after="100"/>
      </w:pPr>
      <w:r>
        <w:rPr>
          <w:rFonts w:ascii="Arial" w:cs="Arial" w:eastAsia="Arial" w:hAnsi="Arial"/>
          <w:b/>
          <w:bCs/>
          <w:color w:val="444444"/>
          <w:sz w:val="20"/>
          <w:szCs w:val="20"/>
        </w:rPr>
        <w:t xml:space="preserve">Claude Settings requirements vary by tool, </w:t>
      </w:r>
      <w:r>
        <w:rPr>
          <w:rFonts w:ascii="Arial" w:cs="Arial" w:eastAsia="Arial" w:hAnsi="Arial"/>
          <w:color w:val="444444"/>
          <w:sz w:val="20"/>
          <w:szCs w:val="20"/>
        </w:rPr>
        <w:t xml:space="preserve">and each guide states them plainly up front — see the table below.</w:t>
      </w:r>
    </w:p>
    <w:p>
      <w:pPr>
        <w:pStyle w:val="Heading1"/>
        <w:spacing w:after="120" w:before="280"/>
      </w:pPr>
      <w:r>
        <w:rPr>
          <w:rFonts w:ascii="Arial" w:cs="Arial" w:eastAsia="Arial" w:hAnsi="Arial"/>
          <w:b/>
          <w:bCs/>
          <w:color w:val="0f2d3d"/>
          <w:sz w:val="26"/>
          <w:szCs w:val="26"/>
        </w:rPr>
        <w:t xml:space="preserve">Quick Reference: Claude Settings Needed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100"/>
        <w:gridCol w:w="3700"/>
        <w:gridCol w:w="3700"/>
      </w:tblGrid>
      <w:tr>
        <w:tc>
          <w:tcPr>
            <w:tcW w:type="dxa" w:w="3100"/>
            <w:shd w:fill="1B6FA8" w:val="clear"/>
            <w:tcMar>
              <w:top w:type="dxa" w:w="90"/>
              <w:left w:type="dxa" w:w="100"/>
              <w:bottom w:type="dxa" w:w="90"/>
              <w:right w:type="dxa" w:w="100"/>
            </w:tcMar>
          </w:tcPr>
          <w:p>
            <w:r>
              <w:rPr>
                <w:rFonts w:ascii="Arial" w:cs="Arial" w:eastAsia="Arial" w:hAnsi="Arial"/>
                <w:b/>
                <w:bCs/>
                <w:color w:val="FFFFFF"/>
                <w:sz w:val="18"/>
                <w:szCs w:val="18"/>
              </w:rPr>
              <w:t xml:space="preserve">Tool</w:t>
            </w:r>
          </w:p>
        </w:tc>
        <w:tc>
          <w:tcPr>
            <w:tcW w:type="dxa" w:w="3700"/>
            <w:shd w:fill="1B6FA8" w:val="clear"/>
            <w:tcMar>
              <w:top w:type="dxa" w:w="90"/>
              <w:left w:type="dxa" w:w="100"/>
              <w:bottom w:type="dxa" w:w="90"/>
              <w:right w:type="dxa" w:w="100"/>
            </w:tcMar>
          </w:tcPr>
          <w:p>
            <w:r>
              <w:rPr>
                <w:rFonts w:ascii="Arial" w:cs="Arial" w:eastAsia="Arial" w:hAnsi="Arial"/>
                <w:b/>
                <w:bCs/>
                <w:color w:val="FFFFFF"/>
                <w:sz w:val="18"/>
                <w:szCs w:val="18"/>
              </w:rPr>
              <w:t xml:space="preserve">Web Search</w:t>
            </w:r>
          </w:p>
        </w:tc>
        <w:tc>
          <w:tcPr>
            <w:tcW w:type="dxa" w:w="3700"/>
            <w:shd w:fill="1B6FA8" w:val="clear"/>
            <w:tcMar>
              <w:top w:type="dxa" w:w="90"/>
              <w:left w:type="dxa" w:w="100"/>
              <w:bottom w:type="dxa" w:w="90"/>
              <w:right w:type="dxa" w:w="100"/>
            </w:tcMar>
          </w:tcPr>
          <w:p>
            <w:r>
              <w:rPr>
                <w:rFonts w:ascii="Arial" w:cs="Arial" w:eastAsia="Arial" w:hAnsi="Arial"/>
                <w:b/>
                <w:bCs/>
                <w:color w:val="FFFFFF"/>
                <w:sz w:val="18"/>
                <w:szCs w:val="18"/>
              </w:rPr>
              <w:t xml:space="preserve">Code Execution &amp; File Creation</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Target Company Prompt Builder</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Required — the entire tool depends on live research</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Required for the .xlsx tracker output</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Job Posting Finder</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Required — the entire tool depends on live search</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Only if you choose Excel output</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Resume &amp; Cover Letter Tailoring</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Only if recruiter identification is on (default: on)</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Only if you choose Word document output</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Outreach Message Builder</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Not required</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Only if you choose Word document output</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LinkedIn Article Share Builder</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Required — depends on live search for real articles</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Only if you choose to generate matching artwork</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Recruiter Message Sanity Check</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Not required</w:t>
            </w:r>
          </w:p>
        </w:tc>
        <w:tc>
          <w:tcPr>
            <w:tcW w:type="dxa" w:w="37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Not required — runs entirely in your browser, no Claude chat needed</w:t>
            </w:r>
          </w:p>
        </w:tc>
      </w:tr>
    </w:tbl>
    <w:p>
      <w:pPr>
        <w:spacing w:after="200" w:before="160"/>
      </w:pPr>
      <w:r>
        <w:rPr>
          <w:rFonts w:ascii="Arial" w:cs="Arial" w:eastAsia="Arial" w:hAnsi="Arial"/>
          <w:color w:val="444444"/>
          <w:sz w:val="20"/>
          <w:szCs w:val="20"/>
        </w:rPr>
        <w:t xml:space="preserve">If a tool ever responds with an explanation of a missing capability instead of your actual output, this table is usually why.</w:t>
      </w:r>
    </w:p>
    <w:p>
      <w:pPr>
        <w:pStyle w:val="Heading1"/>
        <w:spacing w:after="120" w:before="280"/>
      </w:pPr>
      <w:r>
        <w:rPr>
          <w:rFonts w:ascii="Arial" w:cs="Arial" w:eastAsia="Arial" w:hAnsi="Arial"/>
          <w:b/>
          <w:bCs/>
          <w:color w:val="0f2d3d"/>
          <w:sz w:val="26"/>
          <w:szCs w:val="26"/>
        </w:rPr>
        <w:t xml:space="preserve">Where to Find the Details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100"/>
        <w:gridCol w:w="3500"/>
        <w:gridCol w:w="3900"/>
      </w:tblGrid>
      <w:tr>
        <w:tc>
          <w:tcPr>
            <w:tcW w:type="dxa" w:w="3100"/>
            <w:shd w:fill="1B6FA8" w:val="clear"/>
            <w:tcMar>
              <w:top w:type="dxa" w:w="90"/>
              <w:left w:type="dxa" w:w="100"/>
              <w:bottom w:type="dxa" w:w="90"/>
              <w:right w:type="dxa" w:w="100"/>
            </w:tcMar>
          </w:tcPr>
          <w:p>
            <w:r>
              <w:rPr>
                <w:rFonts w:ascii="Arial" w:cs="Arial" w:eastAsia="Arial" w:hAnsi="Arial"/>
                <w:b/>
                <w:bCs/>
                <w:color w:val="FFFFFF"/>
                <w:sz w:val="18"/>
                <w:szCs w:val="18"/>
              </w:rPr>
              <w:t xml:space="preserve">Tool</w:t>
            </w:r>
          </w:p>
        </w:tc>
        <w:tc>
          <w:tcPr>
            <w:tcW w:type="dxa" w:w="3500"/>
            <w:shd w:fill="1B6FA8" w:val="clear"/>
            <w:tcMar>
              <w:top w:type="dxa" w:w="90"/>
              <w:left w:type="dxa" w:w="100"/>
              <w:bottom w:type="dxa" w:w="90"/>
              <w:right w:type="dxa" w:w="100"/>
            </w:tcMar>
          </w:tcPr>
          <w:p>
            <w:r>
              <w:rPr>
                <w:rFonts w:ascii="Arial" w:cs="Arial" w:eastAsia="Arial" w:hAnsi="Arial"/>
                <w:b/>
                <w:bCs/>
                <w:color w:val="FFFFFF"/>
                <w:sz w:val="18"/>
                <w:szCs w:val="18"/>
              </w:rPr>
              <w:t xml:space="preserve">Standalone Guide</w:t>
            </w:r>
          </w:p>
        </w:tc>
        <w:tc>
          <w:tcPr>
            <w:tcW w:type="dxa" w:w="3900"/>
            <w:shd w:fill="1B6FA8" w:val="clear"/>
            <w:tcMar>
              <w:top w:type="dxa" w:w="90"/>
              <w:left w:type="dxa" w:w="100"/>
              <w:bottom w:type="dxa" w:w="90"/>
              <w:right w:type="dxa" w:w="100"/>
            </w:tcMar>
          </w:tcPr>
          <w:p>
            <w:r>
              <w:rPr>
                <w:rFonts w:ascii="Arial" w:cs="Arial" w:eastAsia="Arial" w:hAnsi="Arial"/>
                <w:b/>
                <w:bCs/>
                <w:color w:val="FFFFFF"/>
                <w:sz w:val="18"/>
                <w:szCs w:val="18"/>
              </w:rPr>
              <w:t xml:space="preserve">Sale Fish Combined Guide</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Target Company Prompt Builder</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Prompt_Builder_User_Guide.md/.docx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Sale_Fish_Prompt_Builder_Combined_Guide.docx</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Job Posting Finder</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Job_Posting_Finder_User_Guide.md/.docx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Sale_Fish_Job_Posting_Finder_Combined_Guide.docx</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Resume &amp; Cover Letter Tailoring</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Resume_Cover_Letter_Tailoring_User_Guide.md/.docx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Sale_Fish_Resume_Cover_Letter_Tailoring_Combined_Guide.docx</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Outreach Message Builder</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Outreach_Message_Builder_User_Guide.md/.docx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Sale_Fish_Outreach_Message_Builder_Combined_Guide.docx</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LinkedIn Article Share Builder</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LinkedIn_Article_Share_User_Guide.md/.docx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Sale_Fish_LinkedIn_Article_Share_Combined_Guide.docx</w:t>
            </w:r>
          </w:p>
        </w:tc>
      </w:tr>
      <w:tr>
        <w:tc>
          <w:tcPr>
            <w:tcW w:type="dxa" w:w="31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Recruiter Message Sanity Check</w:t>
            </w:r>
          </w:p>
        </w:tc>
        <w:tc>
          <w:tcPr>
            <w:tcW w:type="dxa" w:w="35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Recruiter_Message_Sanity_Check_User_Guide.md/.docx</w:t>
            </w:r>
          </w:p>
        </w:tc>
        <w:tc>
          <w:tcPr>
            <w:tcW w:type="dxa" w:w="3900"/>
            <w:shd w:fill="FAFCFF" w:val="clear"/>
            <w:tcMar>
              <w:top w:type="dxa" w:w="90"/>
              <w:left w:type="dxa" w:w="100"/>
              <w:bottom w:type="dxa" w:w="90"/>
              <w:right w:type="dxa" w:w="100"/>
            </w:tcMar>
          </w:tcPr>
          <w:p>
            <w:r>
              <w:rPr>
                <w:rFonts w:ascii="Arial" w:cs="Arial" w:eastAsia="Arial" w:hAnsi="Arial"/>
                <w:b w:val="false"/>
                <w:bCs w:val="false"/>
                <w:color w:val="444444"/>
                <w:sz w:val="18"/>
                <w:szCs w:val="18"/>
              </w:rPr>
              <w:t xml:space="preserve">Sale_Fish_Recruiter_Message_Sanity_Check_Combined_Guide.docx</w:t>
            </w:r>
          </w:p>
        </w:tc>
      </w:tr>
    </w:tbl>
    <w:p>
      <w:pPr>
        <w:spacing w:after="200" w:before="160"/>
      </w:pPr>
      <w:r>
        <w:rPr>
          <w:rFonts w:ascii="Arial" w:cs="Arial" w:eastAsia="Arial" w:hAnsi="Arial"/>
          <w:color w:val="444444"/>
          <w:sz w:val="20"/>
          <w:szCs w:val="20"/>
        </w:rPr>
        <w:t xml:space="preserve">Each tool's own guide is the authoritative source for its specific fields, toggles, and output formats — this overview intentionally stays at the "what and why" level so it doesn't drift out of sync as individual tools evolve.</w:t>
      </w:r>
    </w:p>
    <w:p>
      <w:pPr>
        <w:pStyle w:val="Heading1"/>
        <w:spacing w:after="120" w:before="280"/>
      </w:pPr>
      <w:r>
        <w:rPr>
          <w:rFonts w:ascii="Arial" w:cs="Arial" w:eastAsia="Arial" w:hAnsi="Arial"/>
          <w:b/>
          <w:bCs/>
          <w:color w:val="0f2d3d"/>
          <w:sz w:val="26"/>
          <w:szCs w:val="26"/>
        </w:rPr>
        <w:t xml:space="preserve">A Fifth Tool, Outside the Funnel: LinkedIn Article Share Builder</w:t>
      </w:r>
    </w:p>
    <w:p>
      <w:pPr>
        <w:spacing w:after="200"/>
      </w:pPr>
      <w:r>
        <w:rPr>
          <w:rFonts w:ascii="Arial" w:cs="Arial" w:eastAsia="Arial" w:hAnsi="Arial"/>
          <w:color w:val="444444"/>
          <w:sz w:val="20"/>
          <w:szCs w:val="20"/>
        </w:rPr>
        <w:t xml:space="preserve">Everything above is a linear (or semi-linear) job-search funnel. This fifth tool isn't part of that funnel at all — it's for staying visible on LinkedIn consistently, whether or not you're actively job hunting. It finds real, recent, on-brand articles worth sharing, presents the top 3 with reasoning for each, and drafts the actual post (personal hook, summary, hashtags) plus optional matching artwork for whichever one you pick.</w:t>
      </w:r>
    </w:p>
    <w:p>
      <w:pPr>
        <w:spacing w:after="200"/>
      </w:pPr>
      <w:r>
        <w:rPr>
          <w:rFonts w:ascii="Arial" w:cs="Arial" w:eastAsia="Arial" w:hAnsi="Arial"/>
          <w:color w:val="444444"/>
          <w:sz w:val="20"/>
          <w:szCs w:val="20"/>
        </w:rPr>
        <w:t xml:space="preserve">It shares the same design discipline as the other four — an honesty guardrail suited to what it produces, and the same “set once, reuse every time” pattern for your name and tagline rather than retyping your brand identity for every post. Like the four funnel tools, it generates a prompt for a separate Claude conversation — it doesn't draft the post itself.</w:t>
      </w:r>
    </w:p>
    <w:p>
      <w:pPr>
        <w:spacing w:after="200"/>
      </w:pPr>
      <w:r>
        <w:rPr>
          <w:rFonts w:ascii="Arial" w:cs="Arial" w:eastAsia="Arial" w:hAnsi="Arial"/>
          <w:color w:val="444444"/>
          <w:sz w:val="20"/>
          <w:szCs w:val="20"/>
        </w:rPr>
        <w:t xml:space="preserve">One thing worth knowing if you ever consider automating it: running it manually through a Claude chat is free, same as every other prompt-generating tool in this suite. A fully automated version requires the Anthropic API directly and small ongoing costs — a genuinely separate consideration from the free, manual tool described here.</w:t>
      </w:r>
    </w:p>
    <w:p>
      <w:pPr>
        <w:pStyle w:val="Heading1"/>
        <w:spacing w:after="120" w:before="280"/>
      </w:pPr>
      <w:r>
        <w:rPr>
          <w:rFonts w:ascii="Arial" w:cs="Arial" w:eastAsia="Arial" w:hAnsi="Arial"/>
          <w:b/>
          <w:bCs/>
          <w:color w:val="0f2d3d"/>
          <w:sz w:val="26"/>
          <w:szCs w:val="26"/>
        </w:rPr>
        <w:t xml:space="preserve">A Sixth Tool, Also Outside the Funnel: Recruiter Message Sanity Check</w:t>
      </w:r>
    </w:p>
    <w:p>
      <w:pPr>
        <w:spacing w:after="200"/>
      </w:pPr>
      <w:r>
        <w:rPr>
          <w:rFonts w:ascii="Arial" w:cs="Arial" w:eastAsia="Arial" w:hAnsi="Arial"/>
          <w:color w:val="444444"/>
          <w:sz w:val="20"/>
          <w:szCs w:val="20"/>
        </w:rPr>
        <w:t xml:space="preserve">Fake recruiter messages on LinkedIn and email have become common enough to warrant their own tool. Paste in a suspicious message, optionally note the claimed company and sender's email, and check off any red flags visible on the sender's profile — the tool scores the message against a fixed list of known scam patterns and hands back a verdict (Low / Caution / High) with every flagged phrase highlighted in place.</w:t>
      </w:r>
    </w:p>
    <w:p>
      <w:pPr>
        <w:spacing w:after="200"/>
      </w:pPr>
      <w:r>
        <w:rPr>
          <w:rFonts w:ascii="Arial" w:cs="Arial" w:eastAsia="Arial" w:hAnsi="Arial"/>
          <w:color w:val="444444"/>
          <w:sz w:val="20"/>
          <w:szCs w:val="20"/>
        </w:rPr>
        <w:t xml:space="preserve">Unlike the five tools above, this one does not generate a prompt for a separate Claude conversation. It's a self-contained scanner — the entire check runs in your browser, and the finished result appears immediately. No Claude chat, no copy-paste step, no Claude Settings requirements at all.</w:t>
      </w:r>
    </w:p>
    <w:p>
      <w:pPr>
        <w:spacing w:after="200"/>
      </w:pPr>
      <w:r>
        <w:rPr>
          <w:rFonts w:ascii="Arial" w:cs="Arial" w:eastAsia="Arial" w:hAnsi="Arial"/>
          <w:color w:val="444444"/>
          <w:sz w:val="20"/>
          <w:szCs w:val="20"/>
        </w:rPr>
        <w:t xml:space="preserve">It carries the same honesty discipline as the rest of the suite, adapted to what it produces: the score is explicitly labeled “pattern match strength,” not a statistical probability of fraud, since no dataset exists to calculate a true probability honestly. A clean result never implies a message is confirmed legitimate, and a flagged one is never treated as proof of a scam — both push the user back toward verifying independently.</w:t>
      </w:r>
    </w:p>
    <w:sectPr>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rPr>
        <w:rFonts w:ascii="Arial" w:cs="Arial" w:eastAsia="Arial" w:hAnsi="Arial"/>
        <w:b/>
        <w:bCs/>
        <w:color w:val="1b6f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2026-07-15T20:02:28.297Z</dcterms:created>
  <dcterms:modified xsi:type="dcterms:W3CDTF">2026-07-15T20:02:28.298Z</dcterms:modified>
</cp:coreProperties>
</file>

<file path=docProps/custom.xml><?xml version="1.0" encoding="utf-8"?>
<Properties xmlns="http://schemas.openxmlformats.org/officeDocument/2006/custom-properties" xmlns:vt="http://schemas.openxmlformats.org/officeDocument/2006/docPropsVTypes"/>
</file>