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LinkedIn Article Share Builder — Example Output</w:t>
      </w:r>
    </w:p>
    <w:p>
      <w:pPr>
        <w:pStyle w:val="BodyText"/>
      </w:pPr>
      <w:r>
        <w:rPr>
          <w:bCs/>
          <w:b/>
        </w:rPr>
        <w:t xml:space="preserve">A note on what’s real here:</w:t>
      </w:r>
      <w:r>
        <w:t xml:space="preserve"> </w:t>
      </w:r>
      <w:r>
        <w:t xml:space="preserve">The article below is genuinely real — found and read via live web search on August 13, 2026, with its actual URL, headline, publication date, and content. The two posts that follow were written by Claude directly for this example (in the same design conversation that built this tool), grounded in that real article and in Tom Jackson’s actual, previously-documented professional background — they were</w:t>
      </w:r>
      <w:r>
        <w:t xml:space="preserve"> </w:t>
      </w:r>
      <w:r>
        <w:rPr>
          <w:bCs/>
          <w:b/>
        </w:rPr>
        <w:t xml:space="preserve">not</w:t>
      </w:r>
      <w:r>
        <w:t xml:space="preserve"> </w:t>
      </w:r>
      <w:r>
        <w:t xml:space="preserve">generated by an end-to-end run of the live tool’s prompt through a separate Claude conversation. Treat the article and its facts as real and verifiable; treat the specific phrasing of the two posts as a representative illustration of the tool’s intended output shape, not a literal transcript of a tool run.</w:t>
      </w:r>
    </w:p>
    <w:p>
      <w:r>
        <w:pict>
          <v:rect style="width:0;height:1.5pt" o:hralign="center" o:hrstd="t" o:hr="t"/>
        </w:pict>
      </w:r>
    </w:p>
    <w:bookmarkStart w:id="22" w:name="Xdacf289aea6ac5c19849e42a039d5fda064869a"/>
    <w:p>
      <w:pPr>
        <w:pStyle w:val="Heading1"/>
      </w:pPr>
      <w:r>
        <w:t xml:space="preserve">Article: Dozens of Minnesota Water Utilities Targeted in Coordinated OT Attacks</w:t>
      </w:r>
    </w:p>
    <w:p>
      <w:pPr>
        <w:pStyle w:val="FirstParagraph"/>
      </w:pPr>
      <w:r>
        <w:rPr>
          <w:bCs/>
          <w:b/>
        </w:rPr>
        <w:t xml:space="preserve">Source:</w:t>
      </w:r>
      <w:r>
        <w:t xml:space="preserve"> </w:t>
      </w:r>
      <w:r>
        <w:t xml:space="preserve">SecurityWeek, by Eduard Kovacs |</w:t>
      </w:r>
      <w:r>
        <w:t xml:space="preserve"> </w:t>
      </w:r>
      <w:r>
        <w:rPr>
          <w:bCs/>
          <w:b/>
        </w:rPr>
        <w:t xml:space="preserve">Published:</w:t>
      </w:r>
      <w:r>
        <w:t xml:space="preserve"> </w:t>
      </w:r>
      <w:r>
        <w:t xml:space="preserve">July 29, 2026</w:t>
      </w:r>
      <w:r>
        <w:t xml:space="preserve"> </w:t>
      </w:r>
      <w:r>
        <w:rPr>
          <w:bCs/>
          <w:b/>
        </w:rPr>
        <w:t xml:space="preserve">URL:</w:t>
      </w:r>
      <w:r>
        <w:t xml:space="preserve"> </w:t>
      </w:r>
      <w:r>
        <w:t xml:space="preserve">https://www.securityweek.com/dozens-of-minnesota-water-utilities-targeted-in-coordinated-ot-attacks/</w:t>
      </w:r>
      <w:r>
        <w:t xml:space="preserve"> </w:t>
      </w:r>
      <w:r>
        <w:rPr>
          <w:bCs/>
          <w:b/>
        </w:rPr>
        <w:t xml:space="preserve">Free to read:</w:t>
      </w:r>
      <w:r>
        <w:t xml:space="preserve"> </w:t>
      </w:r>
      <w:r>
        <w:t xml:space="preserve">Likely free (SecurityWeek is ad-supported, no paywall encountered)</w:t>
      </w:r>
    </w:p>
    <w:p>
      <w:pPr>
        <w:pStyle w:val="BodyText"/>
      </w:pPr>
      <w:r>
        <w:rPr>
          <w:iCs/>
          <w:i/>
        </w:rPr>
        <w:t xml:space="preserve">Why it ranked here: directly on-topic for OT/ICS/critical infrastructure keywords, published within the last 3 days at time of search, from a credible dedicated ICS security outlet, and distinct from the earlier (also real) SecurityWeek story about a US government advisory on Iran-linked attacks targeting Siemens/Rockwell/Schneider Electric devices — this is a specific, separate, more recent incident rather than the same story.</w:t>
      </w:r>
    </w:p>
    <w:p>
      <w:r>
        <w:pict>
          <v:rect style="width:0;height:1.5pt" o:hralign="center" o:hrstd="t" o:hr="t"/>
        </w:pict>
      </w:r>
    </w:p>
    <w:bookmarkStart w:id="20" w:name="variant-a-informational-share"/>
    <w:p>
      <w:pPr>
        <w:pStyle w:val="Heading2"/>
      </w:pPr>
      <w:r>
        <w:t xml:space="preserve">Variant A — Informational Share</w:t>
      </w:r>
    </w:p>
    <w:p>
      <w:pPr>
        <w:pStyle w:val="FirstParagraph"/>
      </w:pPr>
      <w:r>
        <w:rPr>
          <w:bCs/>
          <w:b/>
        </w:rPr>
        <w:t xml:space="preserve">URL:</w:t>
      </w:r>
      <w:r>
        <w:t xml:space="preserve"> </w:t>
      </w:r>
      <w:r>
        <w:t xml:space="preserve">https://www.securityweek.com/dozens-of-minnesota-water-utilities-targeted-in-coordinated-ot-attacks/</w:t>
      </w:r>
    </w:p>
    <w:p>
      <w:pPr>
        <w:pStyle w:val="BodyText"/>
      </w:pPr>
      <w:r>
        <w:rPr>
          <w:bCs/>
          <w:b/>
        </w:rPr>
        <w:t xml:space="preserve">Post:</w:t>
      </w:r>
      <w:r>
        <w:t xml:space="preserve"> </w:t>
      </w:r>
      <w:r>
        <w:t xml:space="preserve">State and federal agencies are investigating a coordinated attack that hit automated controls at more than 30 Minnesota water utilities in late July — one city briefly took its treatment plant offline, and early reporting points to cellular-connected remote equipment as the likely entry point, though no formal attribution has been made yet.</w:t>
      </w:r>
    </w:p>
    <w:p>
      <w:pPr>
        <w:pStyle w:val="BodyText"/>
      </w:pPr>
      <w:r>
        <w:rPr>
          <w:bCs/>
          <w:b/>
        </w:rPr>
        <w:t xml:space="preserve">Hashtags:</w:t>
      </w:r>
      <w:r>
        <w:t xml:space="preserve"> </w:t>
      </w:r>
      <w:r>
        <w:t xml:space="preserve">#OTSecurity #ICSSecurity #CriticalInfrastructure #WaterSecurity #SCADA</w:t>
      </w:r>
    </w:p>
    <w:p>
      <w:r>
        <w:pict>
          <v:rect style="width:0;height:1.5pt" o:hralign="center" o:hrstd="t" o:hr="t"/>
        </w:pict>
      </w:r>
    </w:p>
    <w:bookmarkEnd w:id="20"/>
    <w:bookmarkStart w:id="21" w:name="variant-b-positionstance"/>
    <w:p>
      <w:pPr>
        <w:pStyle w:val="Heading2"/>
      </w:pPr>
      <w:r>
        <w:t xml:space="preserve">Variant B — Position/Stance</w:t>
      </w:r>
    </w:p>
    <w:p>
      <w:pPr>
        <w:pStyle w:val="FirstParagraph"/>
      </w:pPr>
      <w:r>
        <w:rPr>
          <w:bCs/>
          <w:b/>
        </w:rPr>
        <w:t xml:space="preserve">URL:</w:t>
      </w:r>
      <w:r>
        <w:t xml:space="preserve"> </w:t>
      </w:r>
      <w:r>
        <w:t xml:space="preserve">https://www.securityweek.com/dozens-of-minnesota-water-utilities-targeted-in-coordinated-ot-attacks/</w:t>
      </w:r>
    </w:p>
    <w:p>
      <w:pPr>
        <w:pStyle w:val="BodyText"/>
      </w:pPr>
      <w:r>
        <w:rPr>
          <w:bCs/>
          <w:b/>
        </w:rPr>
        <w:t xml:space="preserve">Post:</w:t>
      </w:r>
      <w:r>
        <w:t xml:space="preserve"> </w:t>
      </w:r>
      <w:r>
        <w:t xml:space="preserve">The detail that stands out to me in the Minnesota water utility attacks isn’t the incident itself — it’s that the likely entry point was cellular-connected remote equipment, exactly the kind of asset a vulnerability study can miss entirely if it was built out by an integrator years ago and never revisited. I’ve seen this blind spot repeatedly while building OT security practices at EY, Schneider Electric, and Accenture: the assets everyone assumes are covered by</w:t>
      </w:r>
      <w:r>
        <w:t xml:space="preserve"> </w:t>
      </w:r>
      <w:r>
        <w:t xml:space="preserve">“</w:t>
      </w:r>
      <w:r>
        <w:t xml:space="preserve">the network diagram</w:t>
      </w:r>
      <w:r>
        <w:t xml:space="preserve">”</w:t>
      </w:r>
      <w:r>
        <w:t xml:space="preserve"> </w:t>
      </w:r>
      <w:r>
        <w:t xml:space="preserve">are often the ones nobody’s actually walked the plant floor to verify. A resilience program is only as strong as its asset inventory, and an inventory built once for a compliance audit isn’t the same as one that gets revisited as connectivity actually changes. Worth asking your own team directly: when was the last time someone physically confirmed what’s actually talking to your SCADA network, not just what’s on the diagram?</w:t>
      </w:r>
    </w:p>
    <w:p>
      <w:pPr>
        <w:pStyle w:val="BodyText"/>
      </w:pPr>
      <w:r>
        <w:rPr>
          <w:bCs/>
          <w:b/>
        </w:rPr>
        <w:t xml:space="preserve">Hashtags:</w:t>
      </w:r>
      <w:r>
        <w:t xml:space="preserve"> </w:t>
      </w:r>
      <w:r>
        <w:t xml:space="preserve">#OTSecurity #ICSSecurity #CriticalInfrastructure #AssetInventory #OperationalResilience</w:t>
      </w:r>
    </w:p>
    <w:p>
      <w:r>
        <w:pict>
          <v:rect style="width:0;height:1.5pt" o:hralign="center" o:hrstd="t" o:hr="t"/>
        </w:pict>
      </w:r>
    </w:p>
    <w:p>
      <w:pPr>
        <w:pStyle w:val="FirstParagraph"/>
      </w:pPr>
      <w:r>
        <w:rPr>
          <w:iCs/>
          <w:i/>
        </w:rPr>
        <w:t xml:space="preserve">Reasoning: Variant A stays strictly factual — a one-sentence recap of what happened, no personal commentary, safe to post frequently. Variant B takes an actual position (compliance-driven asset inventories miss real-world connectivity changes) grounded specifically in Tom’s documented practice-building background at EY, Schneider Electric, and Accenture — not a generic reaction to the news, and not a fabricated anecdote beyond what his real background already establishes. It closes on a direct question aimed at the reader’s own team, judged as the stronger move for this specific take since the whole point is prompting readers to actually go check something. Hashtags on Variant B pull from both the article’s specific subject (asset inventory, resilience) and Tom’s broader OT security positioning, rather than just re-tagging the news story.</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pPr>
    <w:rPr>
      <w:color w:val="0F2D3D"/>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color w:val="1B6FA8"/>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color w:val="1B6FA8"/>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color w:val="0F9B8E"/>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D7E0E5" w:space="0" w:sz="4" w:val="single"/>
        <w:left w:color="D7E0E5" w:space="0" w:sz="4" w:val="single"/>
        <w:bottom w:color="D7E0E5" w:space="0" w:sz="4" w:val="single"/>
        <w:right w:color="D7E0E5" w:space="0" w:sz="4" w:val="single"/>
        <w:insideH w:color="D7E0E5" w:space="0" w:sz="4" w:val="single"/>
        <w:insideV w:color="D7E0E5" w:space="0" w:sz="4" w:val="single"/>
      </w:tblBorders>
      <w:tblCellMar>
        <w:top w:type="dxa" w:w="0"/>
        <w:left w:type="dxa" w:w="108"/>
        <w:bottom w:type="dxa" w:w="0"/>
        <w:right w:type="dxa" w:w="108"/>
      </w:tblCellMar>
    </w:tblPr>
    <w:tblStylePr w:type="firstRow">
      <w:tblPr>
        <w:jc w:val="left"/>
        <w:tblInd w:type="dxa" w:w="0"/>
      </w:tblPr>
      <w:trPr>
        <w:jc w:val="left"/>
      </w:trPr>
      <w:rPr>
        <w:b/>
        <w:color w:val="FFFFFF"/>
      </w:rPr>
      <w:tcPr>
        <w:shd w:color="auto" w:fill="0F2D3D" w:val="clea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2026-08-13T16:46:50Z</dcterms:created>
  <dcterms:modified xsi:type="dcterms:W3CDTF">2026-08-13T16:46:50Z</dcterms:modified>
</cp:coreProperties>
</file>

<file path=docProps/custom.xml><?xml version="1.0" encoding="utf-8"?>
<Properties xmlns="http://schemas.openxmlformats.org/officeDocument/2006/custom-properties" xmlns:vt="http://schemas.openxmlformats.org/officeDocument/2006/docPropsVTypes"/>
</file>