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b/>
          <w:bCs/>
        </w:rPr>
        <w:t>Outreach Message Builder — Sample Output</w:t>
      </w:r>
    </w:p>
    <w:p>
      <w:pPr>
        <w:pStyle w:val="BodyText"/>
        <w:rPr/>
      </w:pPr>
      <w:r>
        <w:rPr>
          <w:i/>
        </w:rPr>
        <w:t>Four companies, showing the tool's differentiation logic across connection type, audience, and message goal. Message Goal and Channel are both global settings that apply to a whole batch in one generated prompt, so a single run can't mix a First-outreach Email with a Follow-up LinkedIn message the way this document does across all four companies below — these four examples represent four separate tool runs (four separate generated prompts, each with its own Goal/Channel/Tone settings), assembled together here to show the range of what the tool produces, not one single prompt's output.</w:t>
      </w:r>
    </w:p>
    <w:p>
      <w:pPr>
        <w:pStyle w:val="BodyText"/>
        <w:rPr/>
      </w:pPr>
      <w:r>
        <w:rPr>
          <w:b/>
          <w:bCs/>
        </w:rPr>
        <w:t>Company 1: Schneider Electric</w:t>
      </w:r>
    </w:p>
    <w:p>
      <w:pPr>
        <w:pStyle w:val="BodyText"/>
        <w:rPr/>
      </w:pPr>
      <w:r>
        <w:rPr>
          <w:i/>
          <w:iCs/>
        </w:rPr>
        <w:t>Warm Introduction Path: Direct — Tom held Director-level P&amp;L accountability, founded the global OT cybersecurity advisory practice there. | Target Audience: Hiring Manager | Channel: Email | Message Goal: First outreach</w:t>
      </w:r>
    </w:p>
    <w:p>
      <w:pPr>
        <w:pStyle w:val="BodyText"/>
        <w:rPr/>
      </w:pPr>
      <w:r>
        <w:rPr>
          <w:b/>
          <w:bCs/>
        </w:rPr>
        <w:t>Variant A</w:t>
      </w:r>
    </w:p>
    <w:p>
      <w:pPr>
        <w:pStyle w:val="BodyText"/>
        <w:rPr/>
      </w:pPr>
      <w:r>
        <w:rPr>
          <w:b/>
          <w:bCs/>
        </w:rPr>
        <w:t>Subject:</w:t>
      </w:r>
      <w:r>
        <w:rPr/>
        <w:t xml:space="preserve"> Reconnecting on SE Advisory Services — OT Cybersecurity Leadership</w:t>
      </w:r>
    </w:p>
    <w:p>
      <w:pPr>
        <w:pStyle w:val="BodyText"/>
        <w:rPr/>
      </w:pPr>
      <w:r>
        <w:rPr/>
        <w:t>Hi [Name],</w:t>
      </w:r>
    </w:p>
    <w:p>
      <w:pPr>
        <w:pStyle w:val="BodyText"/>
        <w:rPr/>
      </w:pPr>
      <w:r>
        <w:rPr/>
        <w:t>I built and led Schneider Electric’s global OT cybersecurity advisory practice as Principal Consultant, and was later promoted to Director with full P&amp;L accountability over a $10M+ advisory portfolio. I’ve been following the launch of SE Advisory Services and wanted to reconnect directly, given the timing.</w:t>
      </w:r>
    </w:p>
    <w:p>
      <w:pPr>
        <w:pStyle w:val="BodyText"/>
        <w:rPr/>
      </w:pPr>
      <w:r>
        <w:rPr/>
        <w:t>I’d welcome a conversation about where the OT cybersecurity practice is headed next and whether there’s a fit for me to contribute to that growth.</w:t>
      </w:r>
    </w:p>
    <w:p>
      <w:pPr>
        <w:pStyle w:val="BodyText"/>
        <w:rPr/>
      </w:pPr>
      <w:r>
        <w:rPr/>
        <w:t>Best, Tom</w:t>
      </w:r>
    </w:p>
    <w:p>
      <w:pPr>
        <w:pStyle w:val="BodyText"/>
        <w:rPr/>
      </w:pPr>
      <w:r>
        <w:rPr>
          <w:b/>
          <w:bCs/>
        </w:rPr>
        <w:t>Variant B</w:t>
      </w:r>
    </w:p>
    <w:p>
      <w:pPr>
        <w:pStyle w:val="BodyText"/>
        <w:rPr/>
      </w:pPr>
      <w:r>
        <w:rPr>
          <w:b/>
          <w:bCs/>
        </w:rPr>
        <w:t>Subject:</w:t>
      </w:r>
      <w:r>
        <w:rPr/>
        <w:t xml:space="preserve"> Former Director, OT Cybersecurity Advisory — Reaching Out</w:t>
      </w:r>
    </w:p>
    <w:p>
      <w:pPr>
        <w:pStyle w:val="BodyText"/>
        <w:rPr/>
      </w:pPr>
      <w:r>
        <w:rPr/>
        <w:t>Hi [Name],</w:t>
      </w:r>
    </w:p>
    <w:p>
      <w:pPr>
        <w:pStyle w:val="BodyText"/>
        <w:rPr/>
      </w:pPr>
      <w:r>
        <w:rPr/>
        <w:t>With the recent launch of SE Advisory Services, I wanted to reach out directly. I’m the person who originally built Schneider Electric’s global OT cybersecurity advisory practice from the ground up, and I’d genuinely like to explore whether there’s a role for me in what you’re building now.</w:t>
      </w:r>
    </w:p>
    <w:p>
      <w:pPr>
        <w:pStyle w:val="BodyText"/>
        <w:rPr/>
      </w:pPr>
      <w:r>
        <w:rPr/>
        <w:t>Happy to find time to talk whenever works for you.</w:t>
      </w:r>
    </w:p>
    <w:p>
      <w:pPr>
        <w:pStyle w:val="BodyText"/>
        <w:rPr/>
      </w:pPr>
      <w:r>
        <w:rPr/>
        <w:t>Tom</w:t>
      </w:r>
    </w:p>
    <w:p>
      <w:pPr>
        <w:pStyle w:val="BodyText"/>
        <w:rPr/>
      </w:pPr>
      <w:r>
        <w:rPr>
          <w:i/>
          <w:iCs/>
        </w:rPr>
        <w:t>Reasoning: Both variants lean directly on Tom’s documented history founding and leading this exact practice — a genuine former-employer relationship, not an inferred one — and reference the real, recent SE Advisory Services launch as the specific reason for reconnecting now. Framed for a Hiring Manager (team/practice-building focus), not a Recruiter (which would lean more on fit-across-roles).</w:t>
      </w:r>
    </w:p>
    <w:p>
      <w:pPr>
        <w:pStyle w:val="BodyText"/>
        <w:rPr/>
      </w:pPr>
      <w:r>
        <w:rPr>
          <w:b/>
          <w:bCs/>
        </w:rPr>
        <w:t>Company 2: KPMG</w:t>
      </w:r>
    </w:p>
    <w:p>
      <w:pPr>
        <w:pStyle w:val="BodyText"/>
        <w:rPr/>
      </w:pPr>
      <w:r>
        <w:rPr>
          <w:i/>
          <w:iCs/>
        </w:rPr>
        <w:t>Warm Introduction Path: No direct alumni connection — executive search firm. | Target Audience: Recruiter | Channel: LinkedIn Connection Request | Message Goal: First outreach</w:t>
      </w:r>
    </w:p>
    <w:p>
      <w:pPr>
        <w:pStyle w:val="BodyText"/>
        <w:rPr/>
      </w:pPr>
      <w:r>
        <w:rPr>
          <w:b/>
          <w:bCs/>
        </w:rPr>
        <w:t>Variant A</w:t>
      </w:r>
    </w:p>
    <w:p>
      <w:pPr>
        <w:pStyle w:val="BodyText"/>
        <w:rPr/>
      </w:pPr>
      <w:r>
        <w:rPr/>
        <w:t>Hi [Name] — I lead OT/ICS cybersecurity practice-building (built EY’s from zero to $10-30M pipeline). Noticed KPMG doesn’t yet have a branded OT practice — genuinely interesting gap. Would welcome connecting to learn more about where cybersecurity hiring is headed at KPMG.</w:t>
      </w:r>
    </w:p>
    <w:p>
      <w:pPr>
        <w:pStyle w:val="BodyText"/>
        <w:rPr/>
      </w:pPr>
      <w:r>
        <w:rPr>
          <w:i/>
          <w:iCs/>
        </w:rPr>
        <w:t>287 characters — within LinkedIn’s ~300-character connection request limit</w:t>
      </w:r>
    </w:p>
    <w:p>
      <w:pPr>
        <w:pStyle w:val="BodyText"/>
        <w:rPr/>
      </w:pPr>
      <w:r>
        <w:rPr>
          <w:b/>
          <w:bCs/>
        </w:rPr>
        <w:t>Variant B</w:t>
      </w:r>
    </w:p>
    <w:p>
      <w:pPr>
        <w:pStyle w:val="BodyText"/>
        <w:rPr/>
      </w:pPr>
      <w:r>
        <w:rPr/>
        <w:t>Hi [Name] — 20+ years building OT cybersecurity practices (EY, Schneider Electric, Accenture). Saw KPMG’s cyber practice is growing fast this year and wanted to connect directly.</w:t>
      </w:r>
    </w:p>
    <w:p>
      <w:pPr>
        <w:pStyle w:val="BodyText"/>
        <w:rPr/>
      </w:pPr>
      <w:r>
        <w:rPr>
          <w:i/>
          <w:iCs/>
        </w:rPr>
        <w:t>213 characters — within LinkedIn’s ~300-character connection request limit</w:t>
      </w:r>
    </w:p>
    <w:p>
      <w:pPr>
        <w:pStyle w:val="BodyText"/>
        <w:rPr/>
      </w:pPr>
      <w:r>
        <w:rPr>
          <w:i/>
          <w:iCs/>
        </w:rPr>
        <w:t>Reasoning: No shared history exists here, so both variants open with relevance (practice-building credentials, a real observation about KPMG’s practice) rather than pretending a connection — honestly cold, not falsely warm. Framed for a Recruiter (fit-across-roles framing) rather than a specific team. Both variants stay under LinkedIn’s ~300-character limit, counted exactly, not estimated.</w:t>
      </w:r>
    </w:p>
    <w:p>
      <w:pPr>
        <w:pStyle w:val="BodyText"/>
        <w:rPr/>
      </w:pPr>
      <w:r>
        <w:rPr>
          <w:b/>
          <w:bCs/>
        </w:rPr>
        <w:t>Company 3: Dragos</w:t>
      </w:r>
    </w:p>
    <w:p>
      <w:pPr>
        <w:pStyle w:val="BodyText"/>
        <w:rPr/>
      </w:pPr>
      <w:r>
        <w:rPr>
          <w:i/>
          <w:iCs/>
        </w:rPr>
        <w:t>Warm Introduction Path: No direct alumni connection — hands-on platform familiarity from deploying Dragos at Accenture. | Target Audience: Hiring Manager | Channel: LinkedIn Message | Message Goal: Follow-up (no response yet) | Context Notes: “Sent a LinkedIn connection request Aug 1, no response yet”</w:t>
      </w:r>
    </w:p>
    <w:p>
      <w:pPr>
        <w:pStyle w:val="BodyText"/>
        <w:rPr/>
      </w:pPr>
      <w:r>
        <w:rPr>
          <w:b/>
          <w:bCs/>
        </w:rPr>
        <w:t>Variant A</w:t>
      </w:r>
    </w:p>
    <w:p>
      <w:pPr>
        <w:pStyle w:val="BodyText"/>
        <w:rPr/>
      </w:pPr>
      <w:r>
        <w:rPr/>
        <w:t>Hi [Name] — following up briefly on the connection request I sent a couple weeks back. I’ve deployed Dragos hands-on in past OT security engagements and have real interest in the professional services side of what you’re building. No pressure at all if the timing isn’t right — happy to reconnect down the road if that’s easier.</w:t>
      </w:r>
    </w:p>
    <w:p>
      <w:pPr>
        <w:pStyle w:val="BodyText"/>
        <w:rPr/>
      </w:pPr>
      <w:r>
        <w:rPr>
          <w:b/>
          <w:bCs/>
        </w:rPr>
        <w:t>Variant B</w:t>
      </w:r>
    </w:p>
    <w:p>
      <w:pPr>
        <w:pStyle w:val="BodyText"/>
        <w:rPr/>
      </w:pPr>
      <w:r>
        <w:rPr/>
        <w:t>Hi [Name] — wanted to circle back on my note from a couple weeks ago. Given my hands-on experience with the Dragos platform, I’d still welcome a conversation about the Professional Services team whenever it’s convenient on your end.</w:t>
      </w:r>
    </w:p>
    <w:p>
      <w:pPr>
        <w:pStyle w:val="BodyText"/>
        <w:rPr/>
      </w:pPr>
      <w:r>
        <w:rPr>
          <w:i/>
          <w:iCs/>
        </w:rPr>
        <w:t>Reasoning: This is a follow-up, not a first message, so neither variant re-introduces Tom or repeats the original pitch at length — both acknowledge the earlier outreach briefly and move on. Context Notes didn’t provide a new angle (no news, no update), so the tool kept both variants short and low-pressure rather than manufacturing a reason to reconnect — an honest “just following up” is the correct output here, not a flaw.</w:t>
      </w:r>
    </w:p>
    <w:p>
      <w:pPr>
        <w:pStyle w:val="BodyText"/>
        <w:rPr/>
      </w:pPr>
      <w:r>
        <w:rPr>
          <w:b/>
          <w:bCs/>
        </w:rPr>
        <w:t>Company 4: Booz Allen Hamilton</w:t>
      </w:r>
    </w:p>
    <w:p>
      <w:pPr>
        <w:pStyle w:val="BodyText"/>
        <w:rPr/>
      </w:pPr>
      <w:r>
        <w:rPr>
          <w:i/>
          <w:iCs/>
        </w:rPr>
        <w:t>Warm Introduction Path: Direct — current/most recent employer, internal network. | Target Audience: Hiring Manager | Channel: Email | Message Goal: Thank-you (after a call/interview) | Context Notes: “45-min call Aug 5 with Jane Doe, discussed OT team’s 2027 hiring plans and Q4 budget approval timeline”</w:t>
      </w:r>
    </w:p>
    <w:p>
      <w:pPr>
        <w:pStyle w:val="BodyText"/>
        <w:rPr/>
      </w:pPr>
      <w:r>
        <w:rPr>
          <w:b/>
          <w:bCs/>
        </w:rPr>
        <w:t>Variant A</w:t>
      </w:r>
    </w:p>
    <w:p>
      <w:pPr>
        <w:pStyle w:val="BodyText"/>
        <w:rPr/>
      </w:pPr>
      <w:r>
        <w:rPr>
          <w:b/>
          <w:bCs/>
        </w:rPr>
        <w:t>Subject:</w:t>
      </w:r>
      <w:r>
        <w:rPr/>
        <w:t xml:space="preserve"> Thank You — Great Conversation on the OT Team’s 2027 Plans</w:t>
      </w:r>
    </w:p>
    <w:p>
      <w:pPr>
        <w:pStyle w:val="BodyText"/>
        <w:rPr/>
      </w:pPr>
      <w:r>
        <w:rPr/>
        <w:t>Hi Jane,</w:t>
      </w:r>
    </w:p>
    <w:p>
      <w:pPr>
        <w:pStyle w:val="BodyText"/>
        <w:rPr/>
      </w:pPr>
      <w:r>
        <w:rPr/>
        <w:t>Thank you for taking the time to talk yesterday — I really enjoyed hearing more about the OT team’s 2027 hiring plans and where things stand with the Q4 budget approval. It reinforced how well this aligns with the direction I’d like to keep growing in.</w:t>
      </w:r>
    </w:p>
    <w:p>
      <w:pPr>
        <w:pStyle w:val="BodyText"/>
        <w:rPr/>
      </w:pPr>
      <w:r>
        <w:rPr/>
        <w:t>I’m looking forward to whatever the next step looks like, and please don’t hesitate to reach out if anything else would be useful from my end in the meantime.</w:t>
      </w:r>
    </w:p>
    <w:p>
      <w:pPr>
        <w:pStyle w:val="BodyText"/>
        <w:rPr/>
      </w:pPr>
      <w:r>
        <w:rPr/>
        <w:t>Best, Tom</w:t>
      </w:r>
    </w:p>
    <w:p>
      <w:pPr>
        <w:pStyle w:val="BodyText"/>
        <w:rPr/>
      </w:pPr>
      <w:r>
        <w:rPr>
          <w:b/>
          <w:bCs/>
        </w:rPr>
        <w:t>Variant B</w:t>
      </w:r>
    </w:p>
    <w:p>
      <w:pPr>
        <w:pStyle w:val="BodyText"/>
        <w:rPr/>
      </w:pPr>
      <w:r>
        <w:rPr>
          <w:b/>
          <w:bCs/>
        </w:rPr>
        <w:t>Subject:</w:t>
      </w:r>
      <w:r>
        <w:rPr/>
        <w:t xml:space="preserve"> Following Up After Our Call</w:t>
      </w:r>
    </w:p>
    <w:p>
      <w:pPr>
        <w:pStyle w:val="BodyText"/>
        <w:rPr/>
      </w:pPr>
      <w:r>
        <w:rPr/>
        <w:t>Hi Jane,</w:t>
      </w:r>
    </w:p>
    <w:p>
      <w:pPr>
        <w:pStyle w:val="BodyText"/>
        <w:rPr/>
      </w:pPr>
      <w:r>
        <w:rPr/>
        <w:t>Really appreciated our conversation Tuesday — the details on the OT team’s 2027 roadmap and the Q4 budget timeline were genuinely helpful context. It’s exactly the kind of growth I’d want to be part of.</w:t>
      </w:r>
    </w:p>
    <w:p>
      <w:pPr>
        <w:pStyle w:val="BodyText"/>
        <w:rPr/>
      </w:pPr>
      <w:r>
        <w:rPr/>
        <w:t>Happy to answer anything further while the budget approval works its way through — just let me know.</w:t>
      </w:r>
    </w:p>
    <w:p>
      <w:pPr>
        <w:pStyle w:val="BodyText"/>
        <w:rPr/>
      </w:pPr>
      <w:r>
        <w:rPr/>
        <w:t>Tom</w:t>
      </w:r>
    </w:p>
    <w:p>
      <w:pPr>
        <w:pStyle w:val="BodyText"/>
        <w:rPr/>
      </w:pPr>
      <w:r>
        <w:rPr>
          <w:i/>
          <w:iCs/>
        </w:rPr>
        <w:t>Reasoning: Both variants reference the specific details given in Context Notes — the 2027 hiring plans and the Q4 budget approval timeline — rather than a generic “thank you for your time,” which is what the grounding guardrail requires once real specifics are provided. Because Context Notes named a concrete next step in motion (budget approval), both variants reference it naturally instead of ignoring it.</w:t>
      </w:r>
    </w:p>
    <w:p>
      <w:pPr>
        <w:pStyle w:val="BodyText"/>
        <w:spacing w:lineRule="auto" w:line="276" w:before="0" w:after="140"/>
        <w:rPr/>
      </w:pPr>
      <w:r>
        <w:rPr>
          <w:i/>
          <w:iCs/>
        </w:rPr>
        <w:t>If Context Notes had been left blank for this company, the tool would have produced an honestly general thank-you instead — appreciative but without invented specifics about what was discussed. That’s the correct fallback, not a lesser result.</w:t>
      </w:r>
    </w:p>
    <w:sectPr>
      <w:type w:val="nextPage"/>
      <w:pgSz w:w="11906" w:h="16838"/>
      <w:pgMar w:left="1000" w:right="1000" w:gutter="0" w:header="0" w:top="900" w:footer="0" w:bottom="9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5"/>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FreeSans"/>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FreeSan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KeywordTok" w:customStyle="1">
    <w:name w:val="KeywordTok"/>
    <w:qFormat/>
    <w:rPr>
      <w:b/>
      <w:color w:val="007020"/>
    </w:rPr>
  </w:style>
  <w:style w:type="character" w:styleId="DataTypeTok" w:customStyle="1">
    <w:name w:val="DataTypeTok"/>
    <w:qFormat/>
    <w:rPr>
      <w:color w:val="902000"/>
    </w:rPr>
  </w:style>
  <w:style w:type="character" w:styleId="DecValTok" w:customStyle="1">
    <w:name w:val="DecValTok"/>
    <w:qFormat/>
    <w:rPr>
      <w:color w:val="40A070"/>
    </w:rPr>
  </w:style>
  <w:style w:type="character" w:styleId="BaseNTok" w:customStyle="1">
    <w:name w:val="BaseNTok"/>
    <w:qFormat/>
    <w:rPr>
      <w:color w:val="40A070"/>
    </w:rPr>
  </w:style>
  <w:style w:type="character" w:styleId="FloatTok" w:customStyle="1">
    <w:name w:val="FloatTok"/>
    <w:qFormat/>
    <w:rPr>
      <w:color w:val="40A070"/>
    </w:rPr>
  </w:style>
  <w:style w:type="character" w:styleId="ConstantTok" w:customStyle="1">
    <w:name w:val="ConstantTok"/>
    <w:qFormat/>
    <w:rPr>
      <w:color w:val="880000"/>
    </w:rPr>
  </w:style>
  <w:style w:type="character" w:styleId="CharTok" w:customStyle="1">
    <w:name w:val="CharTok"/>
    <w:qFormat/>
    <w:rPr>
      <w:color w:val="4070A0"/>
    </w:rPr>
  </w:style>
  <w:style w:type="character" w:styleId="SpecialCharTok" w:customStyle="1">
    <w:name w:val="SpecialCharTok"/>
    <w:qFormat/>
    <w:rPr>
      <w:color w:val="4070A0"/>
    </w:rPr>
  </w:style>
  <w:style w:type="character" w:styleId="StringTok" w:customStyle="1">
    <w:name w:val="StringTok"/>
    <w:qFormat/>
    <w:rPr>
      <w:color w:val="4070A0"/>
    </w:rPr>
  </w:style>
  <w:style w:type="character" w:styleId="VerbatimStringTok" w:customStyle="1">
    <w:name w:val="VerbatimStringTok"/>
    <w:qFormat/>
    <w:rPr>
      <w:color w:val="4070A0"/>
    </w:rPr>
  </w:style>
  <w:style w:type="character" w:styleId="SpecialStringTok" w:customStyle="1">
    <w:name w:val="SpecialStringTok"/>
    <w:qFormat/>
    <w:rPr>
      <w:color w:val="BB6688"/>
    </w:rPr>
  </w:style>
  <w:style w:type="character" w:styleId="ImportTok" w:customStyle="1">
    <w:name w:val="ImportTok"/>
    <w:qFormat/>
    <w:rPr>
      <w:b/>
      <w:color w:val="008000"/>
    </w:rPr>
  </w:style>
  <w:style w:type="character" w:styleId="CommentTok" w:customStyle="1">
    <w:name w:val="CommentTok"/>
    <w:qFormat/>
    <w:rPr>
      <w:i/>
      <w:color w:val="60A0B0"/>
    </w:rPr>
  </w:style>
  <w:style w:type="character" w:styleId="DocumentationTok" w:customStyle="1">
    <w:name w:val="DocumentationTok"/>
    <w:qFormat/>
    <w:rPr>
      <w:i/>
      <w:color w:val="BA2121"/>
    </w:rPr>
  </w:style>
  <w:style w:type="character" w:styleId="AnnotationTok" w:customStyle="1">
    <w:name w:val="AnnotationTok"/>
    <w:qFormat/>
    <w:rPr>
      <w:b/>
      <w:i/>
      <w:color w:val="60A0B0"/>
    </w:rPr>
  </w:style>
  <w:style w:type="character" w:styleId="CommentVarTok" w:customStyle="1">
    <w:name w:val="CommentVarTok"/>
    <w:qFormat/>
    <w:rPr>
      <w:b/>
      <w:i/>
      <w:color w:val="60A0B0"/>
    </w:rPr>
  </w:style>
  <w:style w:type="character" w:styleId="OtherTok" w:customStyle="1">
    <w:name w:val="OtherTok"/>
    <w:qFormat/>
    <w:rPr>
      <w:color w:val="007020"/>
    </w:rPr>
  </w:style>
  <w:style w:type="character" w:styleId="FunctionTok" w:customStyle="1">
    <w:name w:val="FunctionTok"/>
    <w:qFormat/>
    <w:rPr>
      <w:color w:val="06287E"/>
    </w:rPr>
  </w:style>
  <w:style w:type="character" w:styleId="VariableTok" w:customStyle="1">
    <w:name w:val="VariableTok"/>
    <w:qFormat/>
    <w:rPr>
      <w:color w:val="19177C"/>
    </w:rPr>
  </w:style>
  <w:style w:type="character" w:styleId="ControlFlowTok" w:customStyle="1">
    <w:name w:val="ControlFlowTok"/>
    <w:qFormat/>
    <w:rPr>
      <w:b/>
      <w:color w:val="007020"/>
    </w:rPr>
  </w:style>
  <w:style w:type="character" w:styleId="OperatorTok" w:customStyle="1">
    <w:name w:val="OperatorTok"/>
    <w:qFormat/>
    <w:rPr>
      <w:color w:val="666666"/>
    </w:rPr>
  </w:style>
  <w:style w:type="character" w:styleId="BuiltInTok" w:customStyle="1">
    <w:name w:val="BuiltInTok"/>
    <w:qFormat/>
    <w:rPr>
      <w:color w:val="008000"/>
    </w:rPr>
  </w:style>
  <w:style w:type="character" w:styleId="ExtensionTok" w:customStyle="1">
    <w:name w:val="ExtensionTok"/>
    <w:qFormat/>
    <w:rPr/>
  </w:style>
  <w:style w:type="character" w:styleId="PreprocessorTok" w:customStyle="1">
    <w:name w:val="PreprocessorTok"/>
    <w:qFormat/>
    <w:rPr>
      <w:color w:val="BC7A00"/>
    </w:rPr>
  </w:style>
  <w:style w:type="character" w:styleId="AttributeTok" w:customStyle="1">
    <w:name w:val="AttributeTok"/>
    <w:qFormat/>
    <w:rPr>
      <w:color w:val="7D9029"/>
    </w:rPr>
  </w:style>
  <w:style w:type="character" w:styleId="RegionMarkerTok" w:customStyle="1">
    <w:name w:val="RegionMarkerTok"/>
    <w:qFormat/>
    <w:rPr/>
  </w:style>
  <w:style w:type="character" w:styleId="InformationTok" w:customStyle="1">
    <w:name w:val="InformationTok"/>
    <w:qFormat/>
    <w:rPr>
      <w:b/>
      <w:i/>
      <w:color w:val="60A0B0"/>
    </w:rPr>
  </w:style>
  <w:style w:type="character" w:styleId="WarningTok" w:customStyle="1">
    <w:name w:val="WarningTok"/>
    <w:qFormat/>
    <w:rPr>
      <w:b/>
      <w:i/>
      <w:color w:val="60A0B0"/>
    </w:rPr>
  </w:style>
  <w:style w:type="character" w:styleId="AlertTok" w:customStyle="1">
    <w:name w:val="AlertTok"/>
    <w:qFormat/>
    <w:rPr>
      <w:b/>
      <w:color w:val="FF0000"/>
    </w:rPr>
  </w:style>
  <w:style w:type="character" w:styleId="ErrorTok" w:customStyle="1">
    <w:name w:val="ErrorTok"/>
    <w:qFormat/>
    <w:rPr>
      <w:b/>
      <w:color w:val="FF0000"/>
    </w:rPr>
  </w:style>
  <w:style w:type="character" w:styleId="NormalTok" w:customStyle="1">
    <w:name w:val="NormalTo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FreeSans"/>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Noto Serif CJK SC" w:cs="FreeSan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ourceCode" w:customStyle="1">
    <w:name w:val="Source Code"/>
    <w:qFormat/>
    <w:pPr>
      <w:widowControl/>
      <w:bidi w:val="0"/>
      <w:spacing w:before="0" w:after="0"/>
      <w:jc w:val="start"/>
    </w:pPr>
    <w:rPr>
      <w:rFonts w:ascii="Times New Roman" w:hAnsi="Times New Roman" w:eastAsia="Noto Serif CJK SC" w:cs="FreeSans"/>
      <w:color w:val="auto"/>
      <w:kern w:val="0"/>
      <w:sz w:val="20"/>
      <w:szCs w:val="20"/>
      <w:lang w:val="en-US" w:eastAsia="zh-CN" w:bidi="hi-IN"/>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2026-08-12T21:22:20Z</dcterms:created>
  <dc:creator/>
  <dc:description/>
  <dc:language>en-US</dc:language>
  <cp:lastModifiedBy/>
  <dcterms:modified xsi:type="dcterms:W3CDTF">2026-08-12T21:22:20Z</dcterms:modified>
  <cp:revision>0</cp:revision>
  <dc:subject/>
  <dc:title/>
</cp:coreProperties>
</file>