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outreach-message-builder-user-guide"/>
    <w:p>
      <w:pPr>
        <w:pStyle w:val="Heading1"/>
      </w:pPr>
      <w:r>
        <w:t xml:space="preserve">Outreach Message Builder — User Guide</w:t>
      </w:r>
    </w:p>
    <w:p>
      <w:pPr>
        <w:pStyle w:val="FirstParagraph"/>
      </w:pPr>
      <w:r>
        <w:t xml:space="preserve">This tool is a single web page (</w:t>
      </w:r>
      <w:r>
        <w:rPr>
          <w:rStyle w:val="VerbatimChar"/>
        </w:rPr>
        <w:t xml:space="preserve">outreach_message_builder.html</w:t>
      </w:r>
      <w:r>
        <w:t xml:space="preserve">) that turns your already-researched tracker rows into ready-to-send outreach message drafts. Like the other tools in this family, it runs entirely in your browser: no install, no account, nothing sent anywhere until you copy the prompt and paste it into a Claude chat yourself.</w:t>
      </w:r>
    </w:p>
    <w:p>
      <w:r>
        <w:pict>
          <v:rect style="width:0;height:1.5pt" o:hralign="center" o:hrstd="t" o:hr="t"/>
        </w:pict>
      </w:r>
    </w:p>
    <w:bookmarkStart w:id="20" w:name="X2256d5ee9e51d3651c583bbbbfb6abba52cd9c7"/>
    <w:p>
      <w:pPr>
        <w:pStyle w:val="Heading2"/>
      </w:pPr>
      <w:r>
        <w:t xml:space="preserve">Claude Settings You’ll Need Before You Start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you need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execution and file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needed if you choose the downloadable Word document output format — lets Claude build and hand you a real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instead of a table in chat.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Settings → Capabilities</w:t>
            </w:r>
            <w:r>
              <w:t xml:space="preserve">, toggle it on.</w:t>
            </w:r>
          </w:p>
        </w:tc>
      </w:tr>
    </w:tbl>
    <w:p>
      <w:pPr>
        <w:pStyle w:val="BodyText"/>
      </w:pPr>
      <w:r>
        <w:t xml:space="preserve">Unlike the other two tools in this family, this one doesn’t strictly require</w:t>
      </w:r>
      <w:r>
        <w:t xml:space="preserve"> </w:t>
      </w:r>
      <w:r>
        <w:rPr>
          <w:bCs/>
          <w:b/>
        </w:rPr>
        <w:t xml:space="preserve">Web search</w:t>
      </w:r>
      <w:r>
        <w:t xml:space="preserve"> </w:t>
      </w:r>
      <w:r>
        <w:t xml:space="preserve">— it’s drafting messages from research you’ve already provided, not looking anything up live. If you want Claude to double-check a detail (like confirming a contact’s current title) while drafting, Web search would help, but it’s optional here, not load-bearing the way it is for the Job Posting Finder.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fits-with-the-other-two-tools"/>
    <w:p>
      <w:pPr>
        <w:pStyle w:val="Heading2"/>
      </w:pPr>
      <w:r>
        <w:t xml:space="preserve">1. How This Fits With the Other Two Tools</w:t>
      </w:r>
    </w:p>
    <w:p>
      <w:pPr>
        <w:pStyle w:val="FirstParagraph"/>
      </w:pPr>
      <w:r>
        <w:t xml:space="preserve">Three tools now, each solving a different stage of the same job-hunting workflow: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Company Prompt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Researches and ranks companies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Posting Finder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who’s actively hiring, right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Outreach Message Builder</w:t>
            </w:r>
            <w:r>
              <w:t xml:space="preserve"> </w:t>
            </w:r>
            <w:r>
              <w:t xml:space="preserve">(this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the actual messages to send</w:t>
            </w:r>
          </w:p>
        </w:tc>
      </w:tr>
    </w:tbl>
    <w:p>
      <w:pPr>
        <w:pStyle w:val="BodyText"/>
      </w:pPr>
      <w:r>
        <w:t xml:space="preserve">Same reasoning as the other two: this couldn’t be baked into the original research prompt, because it needs data (Key Contacts, Warm Introduction Path, Category) that only exists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that research is done.</w:t>
      </w:r>
    </w:p>
    <w:p>
      <w:r>
        <w:pict>
          <v:rect style="width:0;height:1.5pt" o:hralign="center" o:hrstd="t" o:hr="t"/>
        </w:pict>
      </w:r>
    </w:p>
    <w:bookmarkEnd w:id="21"/>
    <w:bookmarkStart w:id="24" w:name="building-your-row-list"/>
    <w:p>
      <w:pPr>
        <w:pStyle w:val="Heading2"/>
      </w:pPr>
      <w:r>
        <w:t xml:space="preserve">2. Building Your Row List</w:t>
      </w:r>
    </w:p>
    <w:bookmarkStart w:id="22" w:name="bulk-paste-from-your-tracker"/>
    <w:p>
      <w:pPr>
        <w:pStyle w:val="Heading3"/>
      </w:pPr>
      <w:r>
        <w:t xml:space="preserve">Bulk paste from your tracker</w:t>
      </w:r>
    </w:p>
    <w:p>
      <w:pPr>
        <w:pStyle w:val="FirstParagraph"/>
      </w:pPr>
      <w:r>
        <w:t xml:space="preserve">The tracker’s relevant columns — Company, Key Contacts / Priority Titles, Warm Introduction Path, Category — aren’t adjacent to each other in the sheet. To copy them together anyway:</w:t>
      </w:r>
    </w:p>
    <w:p>
      <w:pPr>
        <w:numPr>
          <w:ilvl w:val="0"/>
          <w:numId w:val="1001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Company</w:t>
      </w:r>
      <w:r>
        <w:t xml:space="preserve"> </w:t>
      </w:r>
      <w:r>
        <w:t xml:space="preserve">column header.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Ctrl+click</w:t>
      </w:r>
      <w:r>
        <w:t xml:space="preserve"> </w:t>
      </w:r>
      <w:r>
        <w:t xml:space="preserve">(Cmd+click on Mac) the</w:t>
      </w:r>
      <w:r>
        <w:t xml:space="preserve"> </w:t>
      </w:r>
      <w:r>
        <w:rPr>
          <w:bCs/>
          <w:b/>
        </w:rPr>
        <w:t xml:space="preserve">Key Contacts / Priority Titles</w:t>
      </w:r>
      <w:r>
        <w:t xml:space="preserve">,</w:t>
      </w:r>
      <w:r>
        <w:t xml:space="preserve"> </w:t>
      </w:r>
      <w:r>
        <w:rPr>
          <w:bCs/>
          <w:b/>
        </w:rPr>
        <w:t xml:space="preserve">Warm Introduction Path</w:t>
      </w:r>
      <w:r>
        <w:t xml:space="preserve">, and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column headers, in that order.</w:t>
      </w:r>
    </w:p>
    <w:p>
      <w:pPr>
        <w:numPr>
          <w:ilvl w:val="0"/>
          <w:numId w:val="1001"/>
        </w:numPr>
        <w:pStyle w:val="Compact"/>
      </w:pPr>
      <w:r>
        <w:t xml:space="preserve">Copy (</w:t>
      </w:r>
      <w:r>
        <w:rPr>
          <w:bCs/>
          <w:b/>
        </w:rPr>
        <w:t xml:space="preserve">Ctrl/Cmd+C</w:t>
      </w:r>
      <w:r>
        <w:t xml:space="preserve">) — Excel copies multi-selected non-adjacent columns together, tab-separated, in the order you clicked them.</w:t>
      </w:r>
    </w:p>
    <w:p>
      <w:pPr>
        <w:numPr>
          <w:ilvl w:val="0"/>
          <w:numId w:val="1001"/>
        </w:numPr>
        <w:pStyle w:val="Compact"/>
      </w:pPr>
      <w:r>
        <w:t xml:space="preserve">Paste into the</w:t>
      </w:r>
      <w:r>
        <w:t xml:space="preserve"> </w:t>
      </w:r>
      <w:r>
        <w:rPr>
          <w:bCs/>
          <w:b/>
        </w:rPr>
        <w:t xml:space="preserve">Bulk paste</w:t>
      </w:r>
      <w:r>
        <w:t xml:space="preserve"> </w:t>
      </w:r>
      <w:r>
        <w:t xml:space="preserve">box.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Parse rows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Check the parsed list that appears — every field is editable inline, and any row can be removed with the</w:t>
      </w:r>
      <w:r>
        <w:t xml:space="preserve"> </w:t>
      </w:r>
      <w:r>
        <w:rPr>
          <w:bCs/>
          <w:b/>
        </w:rPr>
        <w:t xml:space="preserve">×</w:t>
      </w:r>
      <w:r>
        <w:t xml:space="preserve"> </w:t>
      </w:r>
      <w:r>
        <w:t xml:space="preserve">button. A</w:t>
      </w:r>
      <w:r>
        <w:t xml:space="preserve"> </w:t>
      </w:r>
      <w:r>
        <w:rPr>
          <w:bCs/>
          <w:b/>
        </w:rPr>
        <w:t xml:space="preserve">Target Audience</w:t>
      </w:r>
      <w:r>
        <w:t xml:space="preserve"> </w:t>
      </w:r>
      <w:r>
        <w:t xml:space="preserve">dropdown appears next to each row — this isn’t part of the bulk paste itself, so set it manually per row after parsing if you want it. If</w:t>
      </w:r>
      <w:r>
        <w:t xml:space="preserve"> </w:t>
      </w:r>
      <w:r>
        <w:rPr>
          <w:bCs/>
          <w:b/>
        </w:rPr>
        <w:t xml:space="preserve">Message Goal</w:t>
      </w:r>
      <w:r>
        <w:t xml:space="preserve"> </w:t>
      </w:r>
      <w:r>
        <w:t xml:space="preserve">(see Section 5) is set to anything other than</w:t>
      </w:r>
      <w:r>
        <w:t xml:space="preserve"> </w:t>
      </w:r>
      <w:r>
        <w:t xml:space="preserve">“</w:t>
      </w:r>
      <w:r>
        <w:t xml:space="preserve">First outreach,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Context Notes</w:t>
      </w:r>
      <w:r>
        <w:t xml:space="preserve"> </w:t>
      </w:r>
      <w:r>
        <w:t xml:space="preserve">field also appears per row — see Section 5.</w:t>
      </w:r>
    </w:p>
    <w:bookmarkEnd w:id="22"/>
    <w:bookmarkStart w:id="23" w:name="adding-rows-manually"/>
    <w:p>
      <w:pPr>
        <w:pStyle w:val="Heading3"/>
      </w:pPr>
      <w:r>
        <w:t xml:space="preserve">Adding rows manually</w:t>
      </w:r>
    </w:p>
    <w:p>
      <w:pPr>
        <w:pStyle w:val="FirstParagraph"/>
      </w:pPr>
      <w:r>
        <w:t xml:space="preserve">No paste at all? Click</w:t>
      </w:r>
      <w:r>
        <w:t xml:space="preserve"> </w:t>
      </w:r>
      <w:r>
        <w:rPr>
          <w:bCs/>
          <w:b/>
        </w:rPr>
        <w:t xml:space="preserve">+ Add row manually</w:t>
      </w:r>
      <w:r>
        <w:t xml:space="preserve"> </w:t>
      </w:r>
      <w:r>
        <w:t xml:space="preserve">to build a row from scratch — company, contact, warm intro path, category, target audience, and (if applicable) context notes, one at a time.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message-settings"/>
    <w:p>
      <w:pPr>
        <w:pStyle w:val="Heading2"/>
      </w:pPr>
      <w:r>
        <w:t xml:space="preserve">3. Message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Message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outreach, Follow-up, Thank-you, or Staying in touch. See Section 5 — this changes the actual instructions Claude gets, not just the wording of one instruction. Applies to the whole batch, like Channel and Tone.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 connection request, LinkedIn InMail/message, or Email. LinkedIn connection requests get a strict ~300-character limit enforced automatically in the generated prompt — Claude is told to count characters, not estimate.</w:t>
            </w:r>
            <w:r>
              <w:t xml:space="preserve"> </w:t>
            </w:r>
            <w:r>
              <w:rPr>
                <w:bCs/>
                <w:b/>
              </w:rPr>
              <w:t xml:space="preserve">Email</w:t>
            </w:r>
            <w:r>
              <w:t xml:space="preserve"> </w:t>
            </w:r>
            <w:r>
              <w:t xml:space="preserve">additionally requires a specific Subject line for every variant, tied to the actual company/role/connection point — not a generic</w:t>
            </w:r>
            <w:r>
              <w:t xml:space="preserve"> </w:t>
            </w:r>
            <w:r>
              <w:t xml:space="preserve">“</w:t>
            </w:r>
            <w:r>
              <w:t xml:space="preserve">Reaching out.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Warm/casual, Formal/executive, or Direct/concise.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same field as the other two tools — paste resume, CV, bio, or a few lines of relevant experience. Grounds the message in something real rather than generic filler.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target-audience-per-row-optional"/>
    <w:p>
      <w:pPr>
        <w:pStyle w:val="Heading2"/>
      </w:pPr>
      <w:r>
        <w:t xml:space="preserve">4. Target Audience (Per Row, Optional)</w:t>
      </w:r>
    </w:p>
    <w:p>
      <w:pPr>
        <w:pStyle w:val="FirstParagraph"/>
      </w:pPr>
      <w:r>
        <w:t xml:space="preserve">Each parsed or manually-added row gets a</w:t>
      </w:r>
      <w:r>
        <w:t xml:space="preserve"> </w:t>
      </w:r>
      <w:r>
        <w:rPr>
          <w:bCs/>
          <w:b/>
        </w:rPr>
        <w:t xml:space="preserve">Target Audience</w:t>
      </w:r>
      <w:r>
        <w:t xml:space="preserve"> </w:t>
      </w:r>
      <w:r>
        <w:t xml:space="preserve">dropdown:</w:t>
      </w:r>
      <w:r>
        <w:t xml:space="preserve"> </w:t>
      </w:r>
      <w:r>
        <w:rPr>
          <w:iCs/>
          <w:i/>
        </w:rPr>
        <w:t xml:space="preserve">(auto-detect)</w:t>
      </w:r>
      <w:r>
        <w:t xml:space="preserve">,</w:t>
      </w:r>
      <w:r>
        <w:t xml:space="preserve"> </w:t>
      </w:r>
      <w:r>
        <w:rPr>
          <w:bCs/>
          <w:b/>
        </w:rPr>
        <w:t xml:space="preserve">Recruiter</w:t>
      </w:r>
      <w:r>
        <w:t xml:space="preserve">,</w:t>
      </w:r>
      <w:r>
        <w:t xml:space="preserve"> </w:t>
      </w:r>
      <w:r>
        <w:rPr>
          <w:bCs/>
          <w:b/>
        </w:rPr>
        <w:t xml:space="preserve">Hiring Manager</w:t>
      </w:r>
      <w:r>
        <w:t xml:space="preserve">,</w:t>
      </w:r>
      <w:r>
        <w:t xml:space="preserve"> </w:t>
      </w:r>
      <w:r>
        <w:rPr>
          <w:bCs/>
          <w:b/>
        </w:rPr>
        <w:t xml:space="preserve">Cold Outreach</w:t>
      </w:r>
      <w:r>
        <w:t xml:space="preserve">, or</w:t>
      </w:r>
      <w:r>
        <w:t xml:space="preserve"> </w:t>
      </w:r>
      <w:r>
        <w:rPr>
          <w:bCs/>
          <w:b/>
        </w:rPr>
        <w:t xml:space="preserve">Warm Outreach (referral / existing connection)</w:t>
      </w:r>
      <w:r>
        <w:t xml:space="preserve">.</w:t>
      </w:r>
    </w:p>
    <w:p>
      <w:pPr>
        <w:pStyle w:val="BodyText"/>
      </w:pPr>
      <w:r>
        <w:t xml:space="preserve">This is a separate dimension from Warm Introduction Path, not a replacement for it. Warm Introduction Path carries the specific narrative detail (e.g. </w:t>
      </w:r>
      <w:r>
        <w:t xml:space="preserve">“</w:t>
      </w:r>
      <w:r>
        <w:t xml:space="preserve">former colleague, John Smith, now at this company</w:t>
      </w:r>
      <w:r>
        <w:t xml:space="preserve">”</w:t>
      </w:r>
      <w:r>
        <w:t xml:space="preserve">). Target Audience gives Claude an explicit, structured signal about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the message is going to and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it should be framed — a Recruiter is typically screening for fit across many roles, while a Hiring Manager cares more about the specific team and work; Cold Outreach has to establish relevance from scratch, while Warm Outreach can lean on an existing connection.</w:t>
      </w:r>
    </w:p>
    <w:p>
      <w:pPr>
        <w:pStyle w:val="BodyText"/>
      </w:pPr>
      <w:r>
        <w:t xml:space="preserve">Leave it on</w:t>
      </w:r>
      <w:r>
        <w:t xml:space="preserve"> </w:t>
      </w:r>
      <w:r>
        <w:rPr>
          <w:iCs/>
          <w:i/>
        </w:rPr>
        <w:t xml:space="preserve">(auto-detect)</w:t>
      </w:r>
      <w:r>
        <w:t xml:space="preserve"> </w:t>
      </w:r>
      <w:r>
        <w:t xml:space="preserve">and Claude infers the closest fit from Warm Introduction Path instead — this field is there for when you want to be explicit rather than leave it to inference.</w:t>
      </w:r>
    </w:p>
    <w:p>
      <w:r>
        <w:pict>
          <v:rect style="width:0;height:1.5pt" o:hralign="center" o:hrstd="t" o:hr="t"/>
        </w:pict>
      </w:r>
    </w:p>
    <w:bookmarkEnd w:id="26"/>
    <w:bookmarkStart w:id="27" w:name="message-goal-context-notes"/>
    <w:p>
      <w:pPr>
        <w:pStyle w:val="Heading2"/>
      </w:pPr>
      <w:r>
        <w:t xml:space="preserve">5. Message Goal &amp; Context Notes</w:t>
      </w:r>
    </w:p>
    <w:p>
      <w:pPr>
        <w:pStyle w:val="FirstParagraph"/>
      </w:pPr>
      <w:r>
        <w:rPr>
          <w:bCs/>
          <w:b/>
        </w:rPr>
        <w:t xml:space="preserve">Message Goal</w:t>
      </w:r>
      <w:r>
        <w:t xml:space="preserve"> </w:t>
      </w:r>
      <w:r>
        <w:t xml:space="preserve">is a global setting (applies to the whole batch, like Channel and Tone) with four options, each producing genuinely different instructions rather than a reworded version of the same one: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outreach</w:t>
            </w:r>
            <w:r>
              <w:t xml:space="preserve"> </w:t>
            </w:r>
            <w:r>
              <w:rPr>
                <w:iCs/>
                <w:i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behavior — each message shaped by that company’s Warm Introduction Path and Target Audience, as described in Section 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when you already sent a first message and haven’t heard back. Claude is told explicitly not to re-introduce yourself or repeat the original pitch, to acknowledge the earlier message without sounding anxious or guilt-tripping about the silence, and to lead with a genuinely new angle if Context Notes gives one — a follow-up with real news reads very differently from a bare</w:t>
            </w:r>
            <w:r>
              <w:t xml:space="preserve"> </w:t>
            </w:r>
            <w:r>
              <w:t xml:space="preserve">“</w:t>
            </w:r>
            <w:r>
              <w:t xml:space="preserve">just checking in.</w:t>
            </w:r>
            <w:r>
              <w:t xml:space="preserve">”</w:t>
            </w:r>
            <w:r>
              <w:t xml:space="preserve"> </w:t>
            </w:r>
            <w:r>
              <w:t xml:space="preserve">Messages are kept noticeably shorter than a first-touch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Thank-you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after an actual call or interview happened. The message must reference specifics from that company’s Context Notes — what was actually discussed — rather than a generic</w:t>
            </w:r>
            <w:r>
              <w:t xml:space="preserve"> </w:t>
            </w:r>
            <w:r>
              <w:t xml:space="preserve">“</w:t>
            </w:r>
            <w:r>
              <w:t xml:space="preserve">thank you for your time.</w:t>
            </w:r>
            <w:r>
              <w:t xml:space="preserve">”</w:t>
            </w:r>
            <w:r>
              <w:t xml:space="preserve"> </w:t>
            </w:r>
            <w:r>
              <w:t xml:space="preserve">If Context Notes is thin or blank for a company, the message stays honestly general instead of inventing details about what was supposedly discussed. If Context Notes mentions an agreed next step, it’s referenced naturally.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Staying in 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explicit ask, no disguised pitch. Uses a real reason from Context Notes if you give one (news, a shared connection, something relevant to them); otherwise stays a genuine, low-pressure check-in rather than manufacturing a reason to reach out.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Context Notes</w:t>
      </w:r>
      <w:r>
        <w:t xml:space="preserve"> </w:t>
      </w:r>
      <w:r>
        <w:t xml:space="preserve">is a per-row field (unlike Message Goal, which applies to the whole batch) — it only appears in the row list once Message Goal is set to anything other than</w:t>
      </w:r>
      <w:r>
        <w:t xml:space="preserve"> </w:t>
      </w:r>
      <w:r>
        <w:t xml:space="preserve">“</w:t>
      </w:r>
      <w:r>
        <w:t xml:space="preserve">First outreach.</w:t>
      </w:r>
      <w:r>
        <w:t xml:space="preserve">”</w:t>
      </w:r>
      <w:r>
        <w:t xml:space="preserve"> </w:t>
      </w:r>
      <w:r>
        <w:t xml:space="preserve">Its label and placeholder text change to match the selected goal: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Follow-up:</w:t>
      </w:r>
      <w:r>
        <w:t xml:space="preserve"> </w:t>
      </w:r>
      <w:r>
        <w:t xml:space="preserve">“</w:t>
      </w:r>
      <w:r>
        <w:t xml:space="preserve">when you first reached out, and anything new to add</w:t>
      </w:r>
      <w:r>
        <w:t xml:space="preserve">”</w:t>
      </w:r>
      <w:r>
        <w:t xml:space="preserve"> </w:t>
      </w:r>
      <w:r>
        <w:t xml:space="preserve">— e.g. </w:t>
      </w:r>
      <w:r>
        <w:rPr>
          <w:iCs/>
          <w:i/>
        </w:rPr>
        <w:t xml:space="preserve">“</w:t>
      </w:r>
      <w:r>
        <w:rPr>
          <w:iCs/>
          <w:i/>
        </w:rPr>
        <w:t xml:space="preserve">Sent a LinkedIn connection request Aug 1, no response yet</w:t>
      </w:r>
      <w:r>
        <w:rPr>
          <w:iCs/>
          <w:i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Thank-you:</w:t>
      </w:r>
      <w:r>
        <w:t xml:space="preserve"> </w:t>
      </w:r>
      <w:r>
        <w:t xml:space="preserve">“</w:t>
      </w:r>
      <w:r>
        <w:t xml:space="preserve">what you actually discussed (be specific — grounds the message, prevents fabrication)</w:t>
      </w:r>
      <w:r>
        <w:t xml:space="preserve">”</w:t>
      </w:r>
      <w:r>
        <w:t xml:space="preserve"> </w:t>
      </w:r>
      <w:r>
        <w:t xml:space="preserve">— e.g. </w:t>
      </w:r>
      <w:r>
        <w:rPr>
          <w:iCs/>
          <w:i/>
        </w:rPr>
        <w:t xml:space="preserve">“</w:t>
      </w:r>
      <w:r>
        <w:rPr>
          <w:iCs/>
          <w:i/>
        </w:rPr>
        <w:t xml:space="preserve">45-min call Aug 5 with Jane Doe, discussed their OT team’s 2027 hiring plans and Q4 budget approval timeline</w:t>
      </w:r>
      <w:r>
        <w:rPr>
          <w:iCs/>
          <w:i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Staying in touch:</w:t>
      </w:r>
      <w:r>
        <w:t xml:space="preserve"> </w:t>
      </w:r>
      <w:r>
        <w:t xml:space="preserve">“</w:t>
      </w:r>
      <w:r>
        <w:t xml:space="preserve">reason for reaching out now (optional)</w:t>
      </w:r>
      <w:r>
        <w:t xml:space="preserve">”</w:t>
      </w:r>
      <w:r>
        <w:t xml:space="preserve"> </w:t>
      </w:r>
      <w:r>
        <w:t xml:space="preserve">— e.g. </w:t>
      </w:r>
      <w:r>
        <w:rPr>
          <w:iCs/>
          <w:i/>
        </w:rPr>
        <w:t xml:space="preserve">“</w:t>
      </w:r>
      <w:r>
        <w:rPr>
          <w:iCs/>
          <w:i/>
        </w:rPr>
        <w:t xml:space="preserve">Saw their Series C funding news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Leaving Context Notes blank is a legitimate choice, not an error — the message just stays appropriately general for that company rather than the tool inventing specifics to fill the gap.</w:t>
      </w:r>
    </w:p>
    <w:p>
      <w:pPr>
        <w:pStyle w:val="BodyText"/>
      </w:pPr>
      <w:r>
        <w:rPr>
          <w:bCs/>
          <w:b/>
        </w:rPr>
        <w:t xml:space="preserve">One setting per run, applied to the whole batch.</w:t>
      </w:r>
      <w:r>
        <w:t xml:space="preserve"> </w:t>
      </w:r>
      <w:r>
        <w:t xml:space="preserve">Message Goal, Channel, and Tone are all global — every company in a single generated prompt gets the same goal, channel, and tone. If you want a first-outreach email for some companies and a follow-up LinkedIn message for others, that’s two separate tool runs (two separate generated prompts), not one — see</w:t>
      </w:r>
      <w:r>
        <w:t xml:space="preserve"> </w:t>
      </w:r>
      <w:r>
        <w:rPr>
          <w:rStyle w:val="VerbatimChar"/>
        </w:rPr>
        <w:t xml:space="preserve">sample_prompt.txt</w:t>
      </w:r>
      <w:r>
        <w:t xml:space="preserve"> </w:t>
      </w:r>
      <w:r>
        <w:t xml:space="preserve">for what a single, real run actually looks like.</w:t>
      </w:r>
    </w:p>
    <w:p>
      <w:r>
        <w:pict>
          <v:rect style="width:0;height:1.5pt" o:hralign="center" o:hrstd="t" o:hr="t"/>
        </w:pict>
      </w:r>
    </w:p>
    <w:bookmarkEnd w:id="27"/>
    <w:bookmarkStart w:id="28" w:name="X3460dabe9a6c85ffe9e2090531f490d6defb955"/>
    <w:p>
      <w:pPr>
        <w:pStyle w:val="Heading2"/>
      </w:pPr>
      <w:r>
        <w:t xml:space="preserve">6. Why Every Company Gets a Different Message</w:t>
      </w:r>
    </w:p>
    <w:p>
      <w:pPr>
        <w:pStyle w:val="FirstParagraph"/>
      </w:pPr>
      <w:r>
        <w:t xml:space="preserve">The core design principle of this tool:</w:t>
      </w:r>
      <w:r>
        <w:t xml:space="preserve"> </w:t>
      </w:r>
      <w:r>
        <w:rPr>
          <w:bCs/>
          <w:b/>
        </w:rPr>
        <w:t xml:space="preserve">the same Warm Introduction Path value should produce a structurally different message, not just a name swap.</w:t>
      </w:r>
      <w:r>
        <w:t xml:space="preserve"> </w:t>
      </w:r>
      <w:r>
        <w:t xml:space="preserve">A company where Warm Introduction Path says</w:t>
      </w:r>
      <w:r>
        <w:t xml:space="preserve"> </w:t>
      </w:r>
      <w:r>
        <w:t xml:space="preserve">“</w:t>
      </w:r>
      <w:r>
        <w:t xml:space="preserve">direct — former colleagues</w:t>
      </w:r>
      <w:r>
        <w:t xml:space="preserve">”</w:t>
      </w:r>
      <w:r>
        <w:t xml:space="preserve"> </w:t>
      </w:r>
      <w:r>
        <w:t xml:space="preserve">should read differently from one where it says</w:t>
      </w:r>
      <w:r>
        <w:t xml:space="preserve"> </w:t>
      </w:r>
      <w:r>
        <w:t xml:space="preserve">“</w:t>
      </w:r>
      <w:r>
        <w:t xml:space="preserve">no direct connection — executive search firm.</w:t>
      </w:r>
      <w:r>
        <w:t xml:space="preserve">”</w:t>
      </w:r>
      <w:r>
        <w:t xml:space="preserve"> </w:t>
      </w:r>
      <w:r>
        <w:t xml:space="preserve">The first can lean on real shared history; the second has to establish relevance without pretending a relationship exists.</w:t>
      </w:r>
    </w:p>
    <w:p>
      <w:pPr>
        <w:pStyle w:val="BodyText"/>
      </w:pPr>
      <w:r>
        <w:t xml:space="preserve">This is why the bulk-paste columns matter — without Warm Introduction Path and Category, the tool would have nothing to differentiate on, and you’d get the same generic message with the company name changed each time.</w:t>
      </w:r>
    </w:p>
    <w:p>
      <w:r>
        <w:pict>
          <v:rect style="width:0;height:1.5pt" o:hralign="center" o:hrstd="t" o:hr="t"/>
        </w:pict>
      </w:r>
    </w:p>
    <w:bookmarkEnd w:id="28"/>
    <w:bookmarkStart w:id="29" w:name="the-reasoning-line-not-optional"/>
    <w:p>
      <w:pPr>
        <w:pStyle w:val="Heading2"/>
      </w:pPr>
      <w:r>
        <w:t xml:space="preserve">7. The Reasoning Line (Not Optional)</w:t>
      </w:r>
    </w:p>
    <w:p>
      <w:pPr>
        <w:pStyle w:val="FirstParagraph"/>
      </w:pPr>
      <w:r>
        <w:t xml:space="preserve">For every company, the output includes one line of visible reasoning explaining which approach was taken and why — referencing whichever of Warm Introduction Path, Target Audience, or Context Notes actually applies to the Message Goal selected — e.g. </w:t>
      </w:r>
      <w:r>
        <w:rPr>
          <w:iCs/>
          <w:i/>
        </w:rPr>
        <w:t xml:space="preserve">“</w:t>
      </w:r>
      <w:r>
        <w:rPr>
          <w:iCs/>
          <w:i/>
        </w:rPr>
        <w:t xml:space="preserve">Leans on shared history directly since this is a former-colleague connection</w:t>
      </w:r>
      <w:r>
        <w:rPr>
          <w:iCs/>
          <w:i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References the Q4 budget timeline mentioned on the call rather than a generic thank-you.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This is deliberately not something you can turn off. It’s how you catch it if a Warm Introduction Path (or Context Notes) got misread — before you’ve already sent the message. If the reasoning line says something that doesn’t match what you know about a company, that’s your signal to edit that specific message before using it, not a cosmetic detail to ignore.</w:t>
      </w:r>
    </w:p>
    <w:p>
      <w:r>
        <w:pict>
          <v:rect style="width:0;height:1.5pt" o:hralign="center" o:hrstd="t" o:hr="t"/>
        </w:pict>
      </w:r>
    </w:p>
    <w:bookmarkEnd w:id="29"/>
    <w:bookmarkStart w:id="30" w:name="the-grounding-guardrail"/>
    <w:p>
      <w:pPr>
        <w:pStyle w:val="Heading2"/>
      </w:pPr>
      <w:r>
        <w:t xml:space="preserve">8. The Grounding Guardrail</w:t>
      </w:r>
    </w:p>
    <w:p>
      <w:pPr>
        <w:pStyle w:val="FirstParagraph"/>
      </w:pPr>
      <w:r>
        <w:t xml:space="preserve">Same honesty philosophy as the rest of this toolkit, adapted to a different kind of risk. The other tools guard against fabricated</w:t>
      </w:r>
      <w:r>
        <w:t xml:space="preserve"> </w:t>
      </w:r>
      <w:r>
        <w:rPr>
          <w:iCs/>
          <w:i/>
        </w:rPr>
        <w:t xml:space="preserve">data</w:t>
      </w:r>
      <w:r>
        <w:t xml:space="preserve"> </w:t>
      </w:r>
      <w:r>
        <w:t xml:space="preserve">(a job posting that doesn’t exist, a company statistic that was never verified). This tool guards against fabricated</w:t>
      </w:r>
      <w:r>
        <w:t xml:space="preserve"> </w:t>
      </w:r>
      <w:r>
        <w:rPr>
          <w:iCs/>
          <w:i/>
        </w:rPr>
        <w:t xml:space="preserve">relationships</w:t>
      </w:r>
      <w:r>
        <w:t xml:space="preserve"> </w:t>
      </w:r>
      <w:r>
        <w:t xml:space="preserve">— the generated prompt explicitly tells Claude not to invent shared history, mutual connections, or personal specifics that weren’t actually provided, and — for Follow-up, Thank-you, and Staying in touch messages specifically — not to invent prior conversation details or a reason for reaching out that Context Notes didn’t actually give.</w:t>
      </w:r>
    </w:p>
    <w:p>
      <w:pPr>
        <w:pStyle w:val="BodyText"/>
      </w:pPr>
      <w:r>
        <w:t xml:space="preserve">If your Warm Introduction Path for a company is just</w:t>
      </w:r>
      <w:r>
        <w:t xml:space="preserve"> </w:t>
      </w:r>
      <w:r>
        <w:t xml:space="preserve">“</w:t>
      </w:r>
      <w:r>
        <w:t xml:space="preserve">recruiter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executive search firm,</w:t>
      </w:r>
      <w:r>
        <w:t xml:space="preserve">”</w:t>
      </w:r>
      <w:r>
        <w:t xml:space="preserve"> </w:t>
      </w:r>
      <w:r>
        <w:t xml:space="preserve">the message should stay appropriately general rather than manufacturing a false personal connection to sound warmer. An honestly generic message — or a thank-you that stays general because Context Notes was left blank — is the correct output in that case, not a flaw to fix.</w:t>
      </w:r>
    </w:p>
    <w:p>
      <w:r>
        <w:pict>
          <v:rect style="width:0;height:1.5pt" o:hralign="center" o:hrstd="t" o:hr="t"/>
        </w:pict>
      </w:r>
    </w:p>
    <w:bookmarkEnd w:id="30"/>
    <w:bookmarkStart w:id="31" w:name="output-format"/>
    <w:p>
      <w:pPr>
        <w:pStyle w:val="Heading2"/>
      </w:pPr>
      <w:r>
        <w:t xml:space="preserve">9. Output Format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in chat</w:t>
      </w:r>
      <w:r>
        <w:t xml:space="preserve"> </w:t>
      </w:r>
      <w:r>
        <w:t xml:space="preserve">(default) — one section per company, each message variant labeled (with its Subject line shown for Email), with the reasoning line visually set apart (italics or a blockquote) from the message text itself.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Downloadable Word document</w:t>
      </w:r>
      <w:r>
        <w:t xml:space="preserve"> </w:t>
      </w:r>
      <w:r>
        <w:t xml:space="preserve">— same structure, formatted 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with a heading per company.</w:t>
      </w:r>
    </w:p>
    <w:p>
      <w:r>
        <w:pict>
          <v:rect style="width:0;height:1.5pt" o:hralign="center" o:hrstd="t" o:hr="t"/>
        </w:pict>
      </w:r>
    </w:p>
    <w:bookmarkEnd w:id="31"/>
    <w:bookmarkStart w:id="32" w:name="typical-workflow-start-to-finish"/>
    <w:p>
      <w:pPr>
        <w:pStyle w:val="Heading2"/>
      </w:pPr>
      <w:r>
        <w:t xml:space="preserve">10. Typical Workflow, Start to Finish</w:t>
      </w:r>
    </w:p>
    <w:p>
      <w:pPr>
        <w:numPr>
          <w:ilvl w:val="0"/>
          <w:numId w:val="1004"/>
        </w:numPr>
        <w:pStyle w:val="Compact"/>
      </w:pPr>
      <w:r>
        <w:t xml:space="preserve">Run the Target Company Prompt Builder first; get your tracker with Key Contacts, Warm Introduction Path, and Category filled in.</w:t>
      </w:r>
    </w:p>
    <w:p>
      <w:pPr>
        <w:numPr>
          <w:ilvl w:val="0"/>
          <w:numId w:val="1004"/>
        </w:numPr>
        <w:pStyle w:val="Compact"/>
      </w:pPr>
      <w:r>
        <w:t xml:space="preserve">Ctrl+click the four relevant columns in your tracker, copy, and paste into this tool’s bulk-paste box.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Parse rows</w:t>
      </w:r>
      <w:r>
        <w:t xml:space="preserve">, check the preview.</w:t>
      </w:r>
    </w:p>
    <w:p>
      <w:pPr>
        <w:numPr>
          <w:ilvl w:val="0"/>
          <w:numId w:val="1004"/>
        </w:numPr>
        <w:pStyle w:val="Compact"/>
      </w:pPr>
      <w:r>
        <w:t xml:space="preserve">Set</w:t>
      </w:r>
      <w:r>
        <w:t xml:space="preserve"> </w:t>
      </w:r>
      <w:r>
        <w:rPr>
          <w:bCs/>
          <w:b/>
        </w:rPr>
        <w:t xml:space="preserve">Message Goal</w:t>
      </w:r>
      <w:r>
        <w:t xml:space="preserve">. If it’s anything other than</w:t>
      </w:r>
      <w:r>
        <w:t xml:space="preserve"> </w:t>
      </w:r>
      <w:r>
        <w:t xml:space="preserve">“</w:t>
      </w:r>
      <w:r>
        <w:t xml:space="preserve">First outreach,</w:t>
      </w:r>
      <w:r>
        <w:t xml:space="preserve">”</w:t>
      </w:r>
      <w:r>
        <w:t xml:space="preserve"> </w:t>
      </w:r>
      <w:r>
        <w:t xml:space="preserve">fill in</w:t>
      </w:r>
      <w:r>
        <w:t xml:space="preserve"> </w:t>
      </w:r>
      <w:r>
        <w:rPr>
          <w:bCs/>
          <w:b/>
        </w:rPr>
        <w:t xml:space="preserve">Context Notes</w:t>
      </w:r>
      <w:r>
        <w:t xml:space="preserve"> </w:t>
      </w:r>
      <w:r>
        <w:t xml:space="preserve">per row — specific beats vague, but blank is fine too.</w:t>
      </w:r>
    </w:p>
    <w:p>
      <w:pPr>
        <w:numPr>
          <w:ilvl w:val="0"/>
          <w:numId w:val="1004"/>
        </w:numPr>
        <w:pStyle w:val="Compact"/>
      </w:pPr>
      <w:r>
        <w:t xml:space="preserve">Set</w:t>
      </w:r>
      <w:r>
        <w:t xml:space="preserve"> </w:t>
      </w:r>
      <w:r>
        <w:rPr>
          <w:bCs/>
          <w:b/>
        </w:rPr>
        <w:t xml:space="preserve">Target Audience</w:t>
      </w:r>
      <w:r>
        <w:t xml:space="preserve"> </w:t>
      </w:r>
      <w:r>
        <w:t xml:space="preserve">per row if you want to be explicit, and set your channel and tone.</w:t>
      </w:r>
    </w:p>
    <w:p>
      <w:pPr>
        <w:numPr>
          <w:ilvl w:val="0"/>
          <w:numId w:val="1004"/>
        </w:numPr>
        <w:pStyle w:val="Compact"/>
      </w:pPr>
      <w:r>
        <w:t xml:space="preserve">Copy the generated prompt, paste into a new Claude chat.</w:t>
      </w:r>
    </w:p>
    <w:p>
      <w:pPr>
        <w:numPr>
          <w:ilvl w:val="0"/>
          <w:numId w:val="1004"/>
        </w:numPr>
        <w:pStyle w:val="Compact"/>
      </w:pPr>
      <w:r>
        <w:t xml:space="preserve">Review every message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reasoning line before sending anything — this tool drafts, it doesn’t send.</w:t>
      </w:r>
    </w:p>
    <w:p>
      <w:r>
        <w:pict>
          <v:rect style="width:0;height:1.5pt" o:hralign="center" o:hrstd="t" o:hr="t"/>
        </w:pict>
      </w:r>
    </w:p>
    <w:bookmarkEnd w:id="32"/>
    <w:bookmarkStart w:id="33" w:name="quick-troubleshooting"/>
    <w:p>
      <w:pPr>
        <w:pStyle w:val="Heading2"/>
      </w:pPr>
      <w:r>
        <w:t xml:space="preserve">11. Quick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paste didn’t split into 4 clean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likely copied adjacent columns instead of Ctrl+clicking the four specific ones — re-select using Ctrl+click in the exact order: Company, Key Contacts, Warm Introduction Path,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parsed row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any field directly in the preview list — Company, Key Contacts, Warm Introduction Path, and Category are all editable inline; Target Audience is a dropdown next to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panel just shows placeholder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at least one parsed or manually added row with a Company filled 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Messages feel 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whether Warm Introduction Path and Category actually came through in the paste — a blank Warm Introduction Path gives Claude nothing to differentiate on. Setting Target Audience explicitly per row can also sharpen this. For Follow-up/Thank-you/Staying in touch, also check whether Context Notes is filled in for that row.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Context Notes field appears next to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shows up when Message Goal is set to something other than</w:t>
            </w:r>
            <w:r>
              <w:t xml:space="preserve"> </w:t>
            </w:r>
            <w:r>
              <w:t xml:space="preserve">“</w:t>
            </w:r>
            <w:r>
              <w:t xml:space="preserve">First outreach.</w:t>
            </w:r>
            <w:r>
              <w:t xml:space="preserve">”</w:t>
            </w:r>
            <w:r>
              <w:t xml:space="preserve"> </w:t>
            </w:r>
            <w:r>
              <w:t xml:space="preserve">Switching the goal re-renders the row list with the field added.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follow-up reads too much like a repeat of the first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by design if Context Notes is blank for that row — without a genuine new angle, the tool keeps follow-ups brief and low-key rather than fabricating a reason to reconnect. Add something to Context Notes if you have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thank-you message feels 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that Context Notes actually describes what was discussed — a blank or vague Context Notes intentionally produces a more general (but honest) thank-you rather than invented specifics.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 connection request feels cut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~300-character limit being enforced — try Formal/Direct tone, which tends to fit more information per character than Warm/casual phrasing.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output doesn’t have a Subject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should be automatic when Channel is set to Email — if it’s missing, ask Claude directly to add a specific Subject line above each message body.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ChatGPT (or another tool), it asks clarifying questions instead of just running the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generated prompt now opens with an explicit</w:t>
            </w:r>
            <w:r>
              <w:t xml:space="preserve"> </w:t>
            </w:r>
            <w:r>
              <w:t xml:space="preserve">“</w:t>
            </w:r>
            <w:r>
              <w:t xml:space="preserve">execute this directly, don’t ask clarifying questions</w:t>
            </w:r>
            <w:r>
              <w:t xml:space="preserve">”</w:t>
            </w:r>
            <w:r>
              <w:t xml:space="preserve"> </w:t>
            </w:r>
            <w:r>
              <w:t xml:space="preserve">instruction specifically to head this off — if it still happens, you can restate that instruction even more bluntly as a follow-up message.</w:t>
            </w:r>
          </w:p>
        </w:tc>
      </w:tr>
    </w:tbl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2026-09-03T02:32:06Z</dcterms:created>
  <dcterms:modified xsi:type="dcterms:W3CDTF">2026-09-03T02:32:06Z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