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rPr>
          <w:rFonts w:ascii="Arial" w:cs="Arial" w:eastAsia="Arial" w:hAnsi="Arial"/>
          <w:b/>
          <w:bCs/>
          <w:color w:val="0f2d3d"/>
          <w:sz w:val="26"/>
          <w:szCs w:val="26"/>
        </w:rPr>
        <w:t xml:space="preserve">Recruiter Message Sanity Check — User Guide</w:t>
      </w:r>
    </w:p>
    <w:p>
      <w:pPr>
        <w:spacing w:after="160"/>
      </w:pPr>
      <w:r>
        <w:rPr>
          <w:rFonts w:ascii="Arial" w:cs="Arial" w:eastAsia="Arial" w:hAnsi="Arial"/>
          <w:color w:val="444444"/>
          <w:sz w:val="20"/>
          <w:szCs w:val="20"/>
        </w:rPr>
        <w:t xml:space="preserve">This guide covers how to use the Recruiter Message Sanity Check tool to screen suspicious recruiter messages — LinkedIn InMails, emails, or any unsolicited job outreach — before you respond to them.</w:t>
      </w:r>
    </w:p>
    <w:p>
      <w:pPr>
        <w:pStyle w:val="Heading1"/>
        <w:spacing w:after="120" w:before="280"/>
      </w:pPr>
      <w:r>
        <w:rPr>
          <w:rFonts w:ascii="Arial" w:cs="Arial" w:eastAsia="Arial" w:hAnsi="Arial"/>
          <w:b/>
          <w:bCs/>
          <w:color w:val="0f2d3d"/>
          <w:sz w:val="26"/>
          <w:szCs w:val="26"/>
        </w:rPr>
        <w:t xml:space="preserve">1. What This Tool Does</w:t>
      </w:r>
    </w:p>
    <w:p>
      <w:pPr>
        <w:spacing w:after="160"/>
      </w:pPr>
      <w:r>
        <w:rPr>
          <w:rFonts w:ascii="Arial" w:cs="Arial" w:eastAsia="Arial" w:hAnsi="Arial"/>
          <w:color w:val="444444"/>
          <w:sz w:val="20"/>
          <w:szCs w:val="20"/>
        </w:rPr>
        <w:t xml:space="preserve">Fake recruiter messages on LinkedIn and email have become increasingly common. This tool scans a message you paste in and checks it against a list of wording patterns that show up again and again in these scams — things like being pushed to WhatsApp, vague job titles, requests for upfront fees, or asks for banking details.</w:t>
      </w:r>
    </w:p>
    <w:p>
      <w:pPr>
        <w:spacing w:after="160"/>
      </w:pPr>
      <w:r>
        <w:rPr>
          <w:rFonts w:ascii="Arial" w:cs="Arial" w:eastAsia="Arial" w:hAnsi="Arial"/>
          <w:color w:val="444444"/>
          <w:sz w:val="20"/>
          <w:szCs w:val="20"/>
        </w:rPr>
        <w:t xml:space="preserve">It returns a plain-language verdict — Low, Caution, or High — along with a pattern match strength score out of 100. This is a starting point for your own judgment, not a final answer.</w:t>
      </w:r>
    </w:p>
    <w:p>
      <w:pPr>
        <w:pStyle w:val="Heading1"/>
        <w:spacing w:after="120" w:before="280"/>
      </w:pPr>
      <w:r>
        <w:rPr>
          <w:rFonts w:ascii="Arial" w:cs="Arial" w:eastAsia="Arial" w:hAnsi="Arial"/>
          <w:b/>
          <w:bCs/>
          <w:color w:val="0f2d3d"/>
          <w:sz w:val="26"/>
          <w:szCs w:val="26"/>
        </w:rPr>
        <w:t xml:space="preserve">2. Getting Started</w:t>
      </w:r>
    </w:p>
    <w:p>
      <w:pPr>
        <w:pStyle w:val="ListParagraph"/>
        <w:numPr>
          <w:ilvl w:val="0"/>
          <w:numId w:val="2"/>
        </w:numPr>
        <w:spacing w:after="80"/>
      </w:pPr>
      <w:r>
        <w:rPr>
          <w:rFonts w:ascii="Arial" w:cs="Arial" w:eastAsia="Arial" w:hAnsi="Arial"/>
          <w:color w:val="444444"/>
          <w:sz w:val="20"/>
          <w:szCs w:val="20"/>
        </w:rPr>
        <w:t xml:space="preserve">Open </w:t>
      </w:r>
      <w:r>
        <w:rPr>
          <w:rFonts w:ascii="Arial" w:cs="Arial" w:eastAsia="Arial" w:hAnsi="Arial"/>
          <w:b/>
          <w:bCs/>
          <w:color w:val="444444"/>
          <w:sz w:val="20"/>
          <w:szCs w:val="20"/>
        </w:rPr>
        <w:t xml:space="preserve">recruiter-message-checker.html</w:t>
      </w:r>
      <w:r>
        <w:rPr>
          <w:rFonts w:ascii="Arial" w:cs="Arial" w:eastAsia="Arial" w:hAnsi="Arial"/>
          <w:color w:val="444444"/>
          <w:sz w:val="20"/>
          <w:szCs w:val="20"/>
        </w:rPr>
        <w:t xml:space="preserve"> in any web browser (Chrome, Safari, Edge, or Firefox). Double-click the file, or drag it into an open browser window.</w:t>
      </w:r>
    </w:p>
    <w:p>
      <w:pPr>
        <w:pStyle w:val="ListParagraph"/>
        <w:numPr>
          <w:ilvl w:val="0"/>
          <w:numId w:val="2"/>
        </w:numPr>
        <w:spacing w:after="80"/>
      </w:pPr>
      <w:r>
        <w:rPr>
          <w:rFonts w:ascii="Arial" w:cs="Arial" w:eastAsia="Arial" w:hAnsi="Arial"/>
          <w:color w:val="444444"/>
          <w:sz w:val="20"/>
          <w:szCs w:val="20"/>
        </w:rPr>
        <w:t xml:space="preserve">No login, install, or internet connection is required to run a check — everything happens locally in your browser.</w:t>
      </w:r>
    </w:p>
    <w:p>
      <w:pPr>
        <w:pStyle w:val="ListParagraph"/>
        <w:numPr>
          <w:ilvl w:val="0"/>
          <w:numId w:val="2"/>
        </w:numPr>
        <w:spacing w:after="80"/>
      </w:pPr>
      <w:r>
        <w:rPr>
          <w:rFonts w:ascii="Arial" w:cs="Arial" w:eastAsia="Arial" w:hAnsi="Arial"/>
          <w:color w:val="444444"/>
          <w:sz w:val="20"/>
          <w:szCs w:val="20"/>
        </w:rPr>
        <w:t xml:space="preserve">To see how it works before using a real message, click one of the three sample buttons at the top of the page to load an example.</w:t>
      </w:r>
    </w:p>
    <w:p>
      <w:pPr>
        <w:pStyle w:val="Heading1"/>
        <w:spacing w:after="120" w:before="280"/>
      </w:pPr>
      <w:r>
        <w:rPr>
          <w:rFonts w:ascii="Arial" w:cs="Arial" w:eastAsia="Arial" w:hAnsi="Arial"/>
          <w:b/>
          <w:bCs/>
          <w:color w:val="0f2d3d"/>
          <w:sz w:val="26"/>
          <w:szCs w:val="26"/>
        </w:rPr>
        <w:t xml:space="preserve">3. Running a Check</w:t>
      </w:r>
    </w:p>
    <w:p>
      <w:pPr>
        <w:pStyle w:val="Heading2"/>
        <w:spacing w:after="100" w:before="220"/>
      </w:pPr>
      <w:r>
        <w:rPr>
          <w:rFonts w:ascii="Arial" w:cs="Arial" w:eastAsia="Arial" w:hAnsi="Arial"/>
          <w:b/>
          <w:bCs/>
          <w:color w:val="1b6fa8"/>
          <w:sz w:val="22"/>
          <w:szCs w:val="22"/>
        </w:rPr>
        <w:t xml:space="preserve">Step 1 — Paste the message</w:t>
      </w:r>
    </w:p>
    <w:p>
      <w:pPr>
        <w:spacing w:after="160"/>
      </w:pPr>
      <w:r>
        <w:rPr>
          <w:rFonts w:ascii="Arial" w:cs="Arial" w:eastAsia="Arial" w:hAnsi="Arial"/>
          <w:color w:val="444444"/>
          <w:sz w:val="20"/>
          <w:szCs w:val="20"/>
        </w:rPr>
        <w:t xml:space="preserve">Copy the full text of the recruiter message and paste it into the text box labeled "Paste the message text." Include as much of the original message as you can.</w:t>
      </w:r>
    </w:p>
    <w:p>
      <w:pPr>
        <w:pStyle w:val="Heading2"/>
        <w:spacing w:after="100" w:before="220"/>
      </w:pPr>
      <w:r>
        <w:rPr>
          <w:rFonts w:ascii="Arial" w:cs="Arial" w:eastAsia="Arial" w:hAnsi="Arial"/>
          <w:b/>
          <w:bCs/>
          <w:color w:val="1b6fa8"/>
          <w:sz w:val="22"/>
          <w:szCs w:val="22"/>
        </w:rPr>
        <w:t xml:space="preserve">Step 2 — Add what you know</w:t>
      </w:r>
    </w:p>
    <w:p>
      <w:pPr>
        <w:spacing w:after="160"/>
      </w:pPr>
      <w:r>
        <w:rPr>
          <w:rFonts w:ascii="Arial" w:cs="Arial" w:eastAsia="Arial" w:hAnsi="Arial"/>
          <w:color w:val="444444"/>
          <w:sz w:val="20"/>
          <w:szCs w:val="20"/>
        </w:rPr>
        <w:t xml:space="preserve">If known, enter the company the sender claims to represent and the sender's email address. These two fields let the tool flag a mismatch between the sender's email domain and the claimed company.</w:t>
      </w:r>
    </w:p>
    <w:p>
      <w:pPr>
        <w:pStyle w:val="Heading2"/>
        <w:spacing w:after="100" w:before="220"/>
      </w:pPr>
      <w:r>
        <w:rPr>
          <w:rFonts w:ascii="Arial" w:cs="Arial" w:eastAsia="Arial" w:hAnsi="Arial"/>
          <w:b/>
          <w:bCs/>
          <w:color w:val="1b6fa8"/>
          <w:sz w:val="22"/>
          <w:szCs w:val="22"/>
        </w:rPr>
        <w:t xml:space="preserve">Step 3 — Check off any profile red flags</w:t>
      </w:r>
    </w:p>
    <w:p>
      <w:pPr>
        <w:spacing w:after="160"/>
      </w:pPr>
      <w:r>
        <w:rPr>
          <w:rFonts w:ascii="Arial" w:cs="Arial" w:eastAsia="Arial" w:hAnsi="Arial"/>
          <w:color w:val="444444"/>
          <w:sz w:val="20"/>
          <w:szCs w:val="20"/>
        </w:rPr>
        <w:t xml:space="preserve">Some warning signs can't be read from the message text alone. Before running the check, look at the sender's LinkedIn profile and tick any that apply:</w:t>
      </w:r>
    </w:p>
    <w:p>
      <w:pPr>
        <w:pStyle w:val="ListParagraph"/>
        <w:numPr>
          <w:ilvl w:val="0"/>
          <w:numId w:val="3"/>
        </w:numPr>
        <w:spacing w:after="80"/>
      </w:pPr>
      <w:r>
        <w:rPr>
          <w:rFonts w:ascii="Arial" w:cs="Arial" w:eastAsia="Arial" w:hAnsi="Arial"/>
          <w:color w:val="444444"/>
          <w:sz w:val="20"/>
          <w:szCs w:val="20"/>
        </w:rPr>
        <w:t xml:space="preserve">Profile created recently (within the last 6 months)</w:t>
      </w:r>
    </w:p>
    <w:p>
      <w:pPr>
        <w:pStyle w:val="ListParagraph"/>
        <w:numPr>
          <w:ilvl w:val="0"/>
          <w:numId w:val="3"/>
        </w:numPr>
        <w:spacing w:after="80"/>
      </w:pPr>
      <w:r>
        <w:rPr>
          <w:rFonts w:ascii="Arial" w:cs="Arial" w:eastAsia="Arial" w:hAnsi="Arial"/>
          <w:color w:val="444444"/>
          <w:sz w:val="20"/>
          <w:szCs w:val="20"/>
        </w:rPr>
        <w:t xml:space="preserve">Fewer than about 50 connections</w:t>
      </w:r>
    </w:p>
    <w:p>
      <w:pPr>
        <w:pStyle w:val="ListParagraph"/>
        <w:numPr>
          <w:ilvl w:val="0"/>
          <w:numId w:val="3"/>
        </w:numPr>
        <w:spacing w:after="80"/>
      </w:pPr>
      <w:r>
        <w:rPr>
          <w:rFonts w:ascii="Arial" w:cs="Arial" w:eastAsia="Arial" w:hAnsi="Arial"/>
          <w:color w:val="444444"/>
          <w:sz w:val="20"/>
          <w:szCs w:val="20"/>
        </w:rPr>
        <w:t xml:space="preserve">No verification badge on the profile</w:t>
      </w:r>
    </w:p>
    <w:p>
      <w:pPr>
        <w:pStyle w:val="ListParagraph"/>
        <w:numPr>
          <w:ilvl w:val="0"/>
          <w:numId w:val="3"/>
        </w:numPr>
        <w:spacing w:after="80"/>
      </w:pPr>
      <w:r>
        <w:rPr>
          <w:rFonts w:ascii="Arial" w:cs="Arial" w:eastAsia="Arial" w:hAnsi="Arial"/>
          <w:color w:val="444444"/>
          <w:sz w:val="20"/>
          <w:szCs w:val="20"/>
        </w:rPr>
        <w:t xml:space="preserve">A reverse image search on the profile photo turns up on a stock site or someone else's profile</w:t>
      </w:r>
    </w:p>
    <w:p>
      <w:pPr>
        <w:pStyle w:val="ListParagraph"/>
        <w:numPr>
          <w:ilvl w:val="0"/>
          <w:numId w:val="3"/>
        </w:numPr>
        <w:spacing w:after="80"/>
      </w:pPr>
      <w:r>
        <w:rPr>
          <w:rFonts w:ascii="Arial" w:cs="Arial" w:eastAsia="Arial" w:hAnsi="Arial"/>
          <w:color w:val="444444"/>
          <w:sz w:val="20"/>
          <w:szCs w:val="20"/>
        </w:rPr>
        <w:t xml:space="preserve">Not listed as an employee on the company's own LinkedIn page</w:t>
      </w:r>
    </w:p>
    <w:p>
      <w:pPr>
        <w:pStyle w:val="ListParagraph"/>
        <w:numPr>
          <w:ilvl w:val="0"/>
          <w:numId w:val="3"/>
        </w:numPr>
        <w:spacing w:after="80"/>
      </w:pPr>
      <w:r>
        <w:rPr>
          <w:rFonts w:ascii="Arial" w:cs="Arial" w:eastAsia="Arial" w:hAnsi="Arial"/>
          <w:color w:val="444444"/>
          <w:sz w:val="20"/>
          <w:szCs w:val="20"/>
        </w:rPr>
        <w:t xml:space="preserve">Few or no mutual connections in your industry</w:t>
      </w:r>
    </w:p>
    <w:p>
      <w:pPr>
        <w:pStyle w:val="ListParagraph"/>
        <w:numPr>
          <w:ilvl w:val="0"/>
          <w:numId w:val="3"/>
        </w:numPr>
        <w:spacing w:after="80"/>
      </w:pPr>
      <w:r>
        <w:rPr>
          <w:rFonts w:ascii="Arial" w:cs="Arial" w:eastAsia="Arial" w:hAnsi="Arial"/>
          <w:color w:val="444444"/>
          <w:sz w:val="20"/>
          <w:szCs w:val="20"/>
        </w:rPr>
        <w:t xml:space="preserve">Little to no posting or comment history</w:t>
      </w:r>
    </w:p>
    <w:p>
      <w:pPr>
        <w:pStyle w:val="Heading2"/>
        <w:spacing w:after="100" w:before="220"/>
      </w:pPr>
      <w:r>
        <w:rPr>
          <w:rFonts w:ascii="Arial" w:cs="Arial" w:eastAsia="Arial" w:hAnsi="Arial"/>
          <w:b/>
          <w:bCs/>
          <w:color w:val="1b6fa8"/>
          <w:sz w:val="22"/>
          <w:szCs w:val="22"/>
        </w:rPr>
        <w:t xml:space="preserve">Step 4 — Run the check</w:t>
      </w:r>
    </w:p>
    <w:p>
      <w:pPr>
        <w:spacing w:after="160"/>
      </w:pPr>
      <w:r>
        <w:rPr>
          <w:rFonts w:ascii="Arial" w:cs="Arial" w:eastAsia="Arial" w:hAnsi="Arial"/>
          <w:color w:val="444444"/>
          <w:sz w:val="20"/>
          <w:szCs w:val="20"/>
        </w:rPr>
        <w:t xml:space="preserve">Click "Run the check." Results appear on the right within a second or two.</w:t>
      </w:r>
    </w:p>
    <w:p>
      <w:pPr>
        <w:pStyle w:val="Heading1"/>
        <w:spacing w:after="120" w:before="280"/>
      </w:pPr>
      <w:r>
        <w:rPr>
          <w:rFonts w:ascii="Arial" w:cs="Arial" w:eastAsia="Arial" w:hAnsi="Arial"/>
          <w:b/>
          <w:bCs/>
          <w:color w:val="0f2d3d"/>
          <w:sz w:val="26"/>
          <w:szCs w:val="26"/>
        </w:rPr>
        <w:t xml:space="preserve">4. Understanding Your Results</w:t>
      </w:r>
    </w:p>
    <w:p>
      <w:pPr>
        <w:spacing w:after="160"/>
      </w:pPr>
      <w:r>
        <w:rPr>
          <w:rFonts w:ascii="Arial" w:cs="Arial" w:eastAsia="Arial" w:hAnsi="Arial"/>
          <w:color w:val="444444"/>
          <w:sz w:val="20"/>
          <w:szCs w:val="20"/>
        </w:rPr>
        <w:t xml:space="preserve">The report shows three things:</w:t>
      </w:r>
    </w:p>
    <w:p>
      <w:pPr>
        <w:pStyle w:val="ListParagraph"/>
        <w:numPr>
          <w:ilvl w:val="0"/>
          <w:numId w:val="3"/>
        </w:numPr>
        <w:spacing w:after="80"/>
      </w:pPr>
      <w:r>
        <w:rPr>
          <w:rFonts w:ascii="Arial" w:cs="Arial" w:eastAsia="Arial" w:hAnsi="Arial"/>
          <w:b/>
          <w:bCs/>
          <w:color w:val="444444"/>
          <w:sz w:val="20"/>
          <w:szCs w:val="20"/>
        </w:rPr>
        <w:t xml:space="preserve">A stamped verdict</w:t>
      </w:r>
      <w:r>
        <w:rPr>
          <w:rFonts w:ascii="Arial" w:cs="Arial" w:eastAsia="Arial" w:hAnsi="Arial"/>
          <w:color w:val="444444"/>
          <w:sz w:val="20"/>
          <w:szCs w:val="20"/>
        </w:rPr>
        <w:t xml:space="preserve"> — Low signal detected, Proceed with caution, or High risk.</w:t>
      </w:r>
    </w:p>
    <w:p>
      <w:pPr>
        <w:pStyle w:val="ListParagraph"/>
        <w:numPr>
          <w:ilvl w:val="0"/>
          <w:numId w:val="3"/>
        </w:numPr>
        <w:spacing w:after="80"/>
      </w:pPr>
      <w:r>
        <w:rPr>
          <w:rFonts w:ascii="Arial" w:cs="Arial" w:eastAsia="Arial" w:hAnsi="Arial"/>
          <w:b/>
          <w:bCs/>
          <w:color w:val="444444"/>
          <w:sz w:val="20"/>
          <w:szCs w:val="20"/>
        </w:rPr>
        <w:t xml:space="preserve">A pattern match strength score</w:t>
      </w:r>
      <w:r>
        <w:rPr>
          <w:rFonts w:ascii="Arial" w:cs="Arial" w:eastAsia="Arial" w:hAnsi="Arial"/>
          <w:color w:val="444444"/>
          <w:sz w:val="20"/>
          <w:szCs w:val="20"/>
        </w:rPr>
        <w:t xml:space="preserve"> out of 100 — how closely the message matches known scam wording. This is not a statistical probability of fraud; no dataset exists to calculate a true probability honestly.</w:t>
      </w:r>
    </w:p>
    <w:p>
      <w:pPr>
        <w:pStyle w:val="ListParagraph"/>
        <w:numPr>
          <w:ilvl w:val="0"/>
          <w:numId w:val="3"/>
        </w:numPr>
        <w:spacing w:after="80"/>
      </w:pPr>
      <w:r>
        <w:rPr>
          <w:rFonts w:ascii="Arial" w:cs="Arial" w:eastAsia="Arial" w:hAnsi="Arial"/>
          <w:b/>
          <w:bCs/>
          <w:color w:val="444444"/>
          <w:sz w:val="20"/>
          <w:szCs w:val="20"/>
        </w:rPr>
        <w:t xml:space="preserve">A flag list</w:t>
      </w:r>
      <w:r>
        <w:rPr>
          <w:rFonts w:ascii="Arial" w:cs="Arial" w:eastAsia="Arial" w:hAnsi="Arial"/>
          <w:color w:val="444444"/>
          <w:sz w:val="20"/>
          <w:szCs w:val="20"/>
        </w:rPr>
        <w:t xml:space="preserve"> — every match found, labeled by severity (High/Medium/Low), with a short note on why it matters and the exact phrase that triggered it.</w:t>
      </w:r>
    </w:p>
    <w:p>
      <w:pPr>
        <w:spacing w:after="160"/>
      </w:pPr>
      <w:r>
        <w:rPr>
          <w:rFonts w:ascii="Arial" w:cs="Arial" w:eastAsia="Arial" w:hAnsi="Arial"/>
          <w:color w:val="444444"/>
          <w:sz w:val="20"/>
          <w:szCs w:val="20"/>
        </w:rPr>
        <w:t xml:space="preserve">Below the flag list, the full message reappears with flagged phrases highlighted in place, so you can see exactly what raised concern in context.</w:t>
      </w:r>
    </w:p>
    <w:p>
      <w:pPr>
        <w:pStyle w:val="Heading1"/>
        <w:spacing w:after="120" w:before="280"/>
      </w:pPr>
      <w:r>
        <w:rPr>
          <w:rFonts w:ascii="Arial" w:cs="Arial" w:eastAsia="Arial" w:hAnsi="Arial"/>
          <w:b/>
          <w:bCs/>
          <w:color w:val="0f2d3d"/>
          <w:sz w:val="26"/>
          <w:szCs w:val="26"/>
        </w:rPr>
        <w:t xml:space="preserve">5. If a Message Scores Caution or High</w:t>
      </w:r>
    </w:p>
    <w:p>
      <w:pPr>
        <w:spacing w:after="160"/>
      </w:pPr>
      <w:r>
        <w:rPr>
          <w:rFonts w:ascii="Arial" w:cs="Arial" w:eastAsia="Arial" w:hAnsi="Arial"/>
          <w:color w:val="444444"/>
          <w:sz w:val="20"/>
          <w:szCs w:val="20"/>
        </w:rPr>
        <w:t xml:space="preserve">At a score of 25 or above, a "Report this" section appears with direct links to:</w:t>
      </w:r>
    </w:p>
    <w:p>
      <w:pPr>
        <w:pStyle w:val="ListParagraph"/>
        <w:numPr>
          <w:ilvl w:val="0"/>
          <w:numId w:val="3"/>
        </w:numPr>
        <w:spacing w:after="80"/>
      </w:pPr>
      <w:r>
        <w:rPr>
          <w:rFonts w:ascii="Arial" w:cs="Arial" w:eastAsia="Arial" w:hAnsi="Arial"/>
          <w:color w:val="444444"/>
          <w:sz w:val="20"/>
          <w:szCs w:val="20"/>
        </w:rPr>
        <w:t xml:space="preserve">LinkedIn's reporting flow, for fake profiles or messages</w:t>
      </w:r>
    </w:p>
    <w:p>
      <w:pPr>
        <w:pStyle w:val="ListParagraph"/>
        <w:numPr>
          <w:ilvl w:val="0"/>
          <w:numId w:val="3"/>
        </w:numPr>
        <w:spacing w:after="80"/>
      </w:pPr>
      <w:r>
        <w:rPr>
          <w:rFonts w:ascii="Arial" w:cs="Arial" w:eastAsia="Arial" w:hAnsi="Arial"/>
          <w:color w:val="444444"/>
          <w:sz w:val="20"/>
          <w:szCs w:val="20"/>
        </w:rPr>
        <w:t xml:space="preserve">The FBI's Internet Crime Complaint Center (IC3.gov)</w:t>
      </w:r>
    </w:p>
    <w:p>
      <w:pPr>
        <w:pStyle w:val="ListParagraph"/>
        <w:numPr>
          <w:ilvl w:val="0"/>
          <w:numId w:val="3"/>
        </w:numPr>
        <w:spacing w:after="80"/>
      </w:pPr>
      <w:r>
        <w:rPr>
          <w:rFonts w:ascii="Arial" w:cs="Arial" w:eastAsia="Arial" w:hAnsi="Arial"/>
          <w:color w:val="444444"/>
          <w:sz w:val="20"/>
          <w:szCs w:val="20"/>
        </w:rPr>
        <w:t xml:space="preserve">The FTC's ReportFraud.ftc.gov</w:t>
      </w:r>
    </w:p>
    <w:p>
      <w:pPr>
        <w:spacing w:after="160"/>
      </w:pPr>
      <w:r>
        <w:rPr>
          <w:rFonts w:ascii="Arial" w:cs="Arial" w:eastAsia="Arial" w:hAnsi="Arial"/>
          <w:color w:val="444444"/>
          <w:sz w:val="20"/>
          <w:szCs w:val="20"/>
        </w:rPr>
        <w:t xml:space="preserve">Avoid providing any personal, financial, or banking information in the meantime, regardless of how the message is framed.</w:t>
      </w:r>
    </w:p>
    <w:p>
      <w:pPr>
        <w:pStyle w:val="Heading1"/>
        <w:spacing w:after="120" w:before="280"/>
      </w:pPr>
      <w:r>
        <w:rPr>
          <w:rFonts w:ascii="Arial" w:cs="Arial" w:eastAsia="Arial" w:hAnsi="Arial"/>
          <w:b/>
          <w:bCs/>
          <w:color w:val="0f2d3d"/>
          <w:sz w:val="26"/>
          <w:szCs w:val="26"/>
        </w:rPr>
        <w:t xml:space="preserve">6. Other Features</w:t>
      </w:r>
    </w:p>
    <w:p>
      <w:pPr>
        <w:pStyle w:val="Heading2"/>
        <w:spacing w:after="100" w:before="220"/>
      </w:pPr>
      <w:r>
        <w:rPr>
          <w:rFonts w:ascii="Arial" w:cs="Arial" w:eastAsia="Arial" w:hAnsi="Arial"/>
          <w:b/>
          <w:bCs/>
          <w:color w:val="1b6fa8"/>
          <w:sz w:val="22"/>
          <w:szCs w:val="22"/>
        </w:rPr>
        <w:t xml:space="preserve">Custom red flags</w:t>
      </w:r>
    </w:p>
    <w:p>
      <w:pPr>
        <w:spacing w:after="160"/>
      </w:pPr>
      <w:r>
        <w:rPr>
          <w:rFonts w:ascii="Arial" w:cs="Arial" w:eastAsia="Arial" w:hAnsi="Arial"/>
          <w:color w:val="444444"/>
          <w:sz w:val="20"/>
          <w:szCs w:val="20"/>
        </w:rPr>
        <w:t xml:space="preserve">Add your own phrases under "Your own red flags" before running a check. These are checked in addition to the built-in list, for the current session only.</w:t>
      </w:r>
    </w:p>
    <w:p>
      <w:pPr>
        <w:pStyle w:val="Heading2"/>
        <w:spacing w:after="100" w:before="220"/>
      </w:pPr>
      <w:r>
        <w:rPr>
          <w:rFonts w:ascii="Arial" w:cs="Arial" w:eastAsia="Arial" w:hAnsi="Arial"/>
          <w:b/>
          <w:bCs/>
          <w:color w:val="1b6fa8"/>
          <w:sz w:val="22"/>
          <w:szCs w:val="22"/>
        </w:rPr>
        <w:t xml:space="preserve">Copy or print your results</w:t>
      </w:r>
    </w:p>
    <w:p>
      <w:pPr>
        <w:spacing w:after="160"/>
      </w:pPr>
      <w:r>
        <w:rPr>
          <w:rFonts w:ascii="Arial" w:cs="Arial" w:eastAsia="Arial" w:hAnsi="Arial"/>
          <w:color w:val="444444"/>
          <w:sz w:val="20"/>
          <w:szCs w:val="20"/>
        </w:rPr>
        <w:t xml:space="preserve">"Copy report" copies a plain-text summary — handy for pasting into an email to a friend or colleague. "Print / Save as PDF" generates a printable version.</w:t>
      </w:r>
    </w:p>
    <w:p>
      <w:pPr>
        <w:pStyle w:val="Heading2"/>
        <w:spacing w:after="100" w:before="220"/>
      </w:pPr>
      <w:r>
        <w:rPr>
          <w:rFonts w:ascii="Arial" w:cs="Arial" w:eastAsia="Arial" w:hAnsi="Arial"/>
          <w:b/>
          <w:bCs/>
          <w:color w:val="1b6fa8"/>
          <w:sz w:val="22"/>
          <w:szCs w:val="22"/>
        </w:rPr>
        <w:t xml:space="preserve">Session history — download and reload</w:t>
      </w:r>
    </w:p>
    <w:p>
      <w:pPr>
        <w:spacing w:after="160"/>
      </w:pPr>
      <w:r>
        <w:rPr>
          <w:rFonts w:ascii="Arial" w:cs="Arial" w:eastAsia="Arial" w:hAnsi="Arial"/>
          <w:color w:val="444444"/>
          <w:sz w:val="20"/>
          <w:szCs w:val="20"/>
        </w:rPr>
        <w:t xml:space="preserve">Every check run during the current session is logged at the bottom of the report panel (date, company, score). The tool uses no accounts or browser storage, so this list clears when the page closes — unless saved first:</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Download history (.json)</w:t>
      </w:r>
      <w:r>
        <w:rPr>
          <w:rFonts w:ascii="Arial" w:cs="Arial" w:eastAsia="Arial" w:hAnsi="Arial"/>
          <w:color w:val="444444"/>
          <w:sz w:val="20"/>
          <w:szCs w:val="20"/>
        </w:rPr>
        <w:t xml:space="preserve"> to save the session's log as a file.</w:t>
      </w:r>
    </w:p>
    <w:p>
      <w:pPr>
        <w:pStyle w:val="ListParagraph"/>
        <w:numPr>
          <w:ilvl w:val="0"/>
          <w:numId w:val="2"/>
        </w:numPr>
        <w:spacing w:after="80"/>
      </w:pPr>
      <w:r>
        <w:rPr>
          <w:rFonts w:ascii="Arial" w:cs="Arial" w:eastAsia="Arial" w:hAnsi="Arial"/>
          <w:color w:val="444444"/>
          <w:sz w:val="20"/>
          <w:szCs w:val="20"/>
        </w:rPr>
        <w:t xml:space="preserve">Next time, click </w:t>
      </w:r>
      <w:r>
        <w:rPr>
          <w:rFonts w:ascii="Arial" w:cs="Arial" w:eastAsia="Arial" w:hAnsi="Arial"/>
          <w:b/>
          <w:bCs/>
          <w:color w:val="444444"/>
          <w:sz w:val="20"/>
          <w:szCs w:val="20"/>
        </w:rPr>
        <w:t xml:space="preserve">Load history file</w:t>
      </w:r>
      <w:r>
        <w:rPr>
          <w:rFonts w:ascii="Arial" w:cs="Arial" w:eastAsia="Arial" w:hAnsi="Arial"/>
          <w:color w:val="444444"/>
          <w:sz w:val="20"/>
          <w:szCs w:val="20"/>
        </w:rPr>
        <w:t xml:space="preserve"> and select that file to bring past results back into view.</w:t>
      </w:r>
    </w:p>
    <w:p>
      <w:pPr>
        <w:pStyle w:val="Heading1"/>
        <w:spacing w:after="120" w:before="280"/>
      </w:pPr>
      <w:r>
        <w:rPr>
          <w:rFonts w:ascii="Arial" w:cs="Arial" w:eastAsia="Arial" w:hAnsi="Arial"/>
          <w:b/>
          <w:bCs/>
          <w:color w:val="0f2d3d"/>
          <w:sz w:val="26"/>
          <w:szCs w:val="26"/>
        </w:rPr>
        <w:t xml:space="preserve">7. Customizing the Pattern List</w:t>
      </w:r>
    </w:p>
    <w:p>
      <w:pPr>
        <w:spacing w:after="160"/>
      </w:pPr>
      <w:r>
        <w:rPr>
          <w:rFonts w:ascii="Arial" w:cs="Arial" w:eastAsia="Arial" w:hAnsi="Arial"/>
          <w:color w:val="444444"/>
          <w:sz w:val="20"/>
          <w:szCs w:val="20"/>
        </w:rPr>
        <w:t xml:space="preserve">All detection patterns live in a single array in the tool's source code, each with a label, an explanation, a severity, a score weight, and a matching rule. Anyone comfortable editing the HTML file directly can add, remove, or adjust entries there to tune detection over time.</w:t>
      </w:r>
    </w:p>
    <w:p>
      <w:pPr>
        <w:pStyle w:val="Heading1"/>
        <w:spacing w:after="120" w:before="280"/>
      </w:pPr>
      <w:r>
        <w:rPr>
          <w:rFonts w:ascii="Arial" w:cs="Arial" w:eastAsia="Arial" w:hAnsi="Arial"/>
          <w:b/>
          <w:bCs/>
          <w:color w:val="0f2d3d"/>
          <w:sz w:val="26"/>
          <w:szCs w:val="26"/>
        </w:rPr>
        <w:t xml:space="preserve">8. Limitations</w:t>
      </w:r>
    </w:p>
    <w:p>
      <w:pPr>
        <w:pStyle w:val="ListParagraph"/>
        <w:numPr>
          <w:ilvl w:val="0"/>
          <w:numId w:val="3"/>
        </w:numPr>
        <w:spacing w:after="80"/>
      </w:pPr>
      <w:r>
        <w:rPr>
          <w:rFonts w:ascii="Arial" w:cs="Arial" w:eastAsia="Arial" w:hAnsi="Arial"/>
          <w:color w:val="444444"/>
          <w:sz w:val="20"/>
          <w:szCs w:val="20"/>
        </w:rPr>
        <w:t xml:space="preserve">Regex-based matching will miss scams that avoid the specific wording checked for, and can occasionally flag legitimate messages using similar phrasing.</w:t>
      </w:r>
    </w:p>
    <w:p>
      <w:pPr>
        <w:pStyle w:val="ListParagraph"/>
        <w:numPr>
          <w:ilvl w:val="0"/>
          <w:numId w:val="3"/>
        </w:numPr>
        <w:spacing w:after="80"/>
      </w:pPr>
      <w:r>
        <w:rPr>
          <w:rFonts w:ascii="Arial" w:cs="Arial" w:eastAsia="Arial" w:hAnsi="Arial"/>
          <w:color w:val="444444"/>
          <w:sz w:val="20"/>
          <w:szCs w:val="20"/>
        </w:rPr>
        <w:t xml:space="preserve">The domain-mismatch check is a rough heuristic and can misfire on abbreviated or rebranded company names.</w:t>
      </w:r>
    </w:p>
    <w:p>
      <w:pPr>
        <w:pStyle w:val="ListParagraph"/>
        <w:numPr>
          <w:ilvl w:val="0"/>
          <w:numId w:val="3"/>
        </w:numPr>
        <w:spacing w:after="80"/>
      </w:pPr>
      <w:r>
        <w:rPr>
          <w:rFonts w:ascii="Arial" w:cs="Arial" w:eastAsia="Arial" w:hAnsi="Arial"/>
          <w:color w:val="444444"/>
          <w:sz w:val="20"/>
          <w:szCs w:val="20"/>
        </w:rPr>
        <w:t xml:space="preserve">This tool cannot confirm anyone's identity, employment, or a company's legitimacy — always verify independently through the company's official careers page or domain.</w:t>
      </w:r>
    </w:p>
    <w:p>
      <w:pPr>
        <w:pStyle w:val="Heading1"/>
        <w:spacing w:after="120" w:before="280"/>
      </w:pPr>
      <w:r>
        <w:rPr>
          <w:rFonts w:ascii="Arial" w:cs="Arial" w:eastAsia="Arial" w:hAnsi="Arial"/>
          <w:b/>
          <w:bCs/>
          <w:color w:val="0f2d3d"/>
          <w:sz w:val="26"/>
          <w:szCs w:val="26"/>
        </w:rPr>
        <w:t xml:space="preserve">9. Quick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600"/>
      </w:tblGrid>
      <w:tr>
        <w:tc>
          <w:tcPr>
            <w:tcW w:type="dxa" w:w="3200"/>
            <w:shd w:fill="D5E8F0" w:val="clear"/>
            <w:tcMar>
              <w:top w:type="dxa" w:w="80"/>
              <w:left w:type="dxa" w:w="100"/>
              <w:bottom w:type="dxa" w:w="80"/>
              <w:right w:type="dxa" w:w="100"/>
            </w:tcMar>
          </w:tcPr>
          <w:p>
            <w:r>
              <w:rPr>
                <w:rFonts w:ascii="Arial" w:cs="Arial" w:eastAsia="Arial" w:hAnsi="Arial"/>
                <w:b/>
                <w:bCs/>
                <w:color w:val="0f2d3d"/>
                <w:sz w:val="19"/>
                <w:szCs w:val="19"/>
              </w:rPr>
              <w:t xml:space="preserve">Verdict</w:t>
            </w:r>
          </w:p>
        </w:tc>
        <w:tc>
          <w:tcPr>
            <w:tcW w:type="dxa" w:w="1800"/>
            <w:shd w:fill="D5E8F0" w:val="clear"/>
            <w:tcMar>
              <w:top w:type="dxa" w:w="80"/>
              <w:left w:type="dxa" w:w="100"/>
              <w:bottom w:type="dxa" w:w="80"/>
              <w:right w:type="dxa" w:w="100"/>
            </w:tcMar>
          </w:tcPr>
          <w:p>
            <w:r>
              <w:rPr>
                <w:rFonts w:ascii="Arial" w:cs="Arial" w:eastAsia="Arial" w:hAnsi="Arial"/>
                <w:b/>
                <w:bCs/>
                <w:color w:val="0f2d3d"/>
                <w:sz w:val="19"/>
                <w:szCs w:val="19"/>
              </w:rPr>
              <w:t xml:space="preserve">Score range</w:t>
            </w:r>
          </w:p>
        </w:tc>
        <w:tc>
          <w:tcPr>
            <w:tcW w:type="dxa" w:w="4600"/>
            <w:shd w:fill="D5E8F0" w:val="clear"/>
            <w:tcMar>
              <w:top w:type="dxa" w:w="80"/>
              <w:left w:type="dxa" w:w="100"/>
              <w:bottom w:type="dxa" w:w="80"/>
              <w:right w:type="dxa" w:w="100"/>
            </w:tcMar>
          </w:tcPr>
          <w:p>
            <w:r>
              <w:rPr>
                <w:rFonts w:ascii="Arial" w:cs="Arial" w:eastAsia="Arial" w:hAnsi="Arial"/>
                <w:b/>
                <w:bCs/>
                <w:color w:val="0f2d3d"/>
                <w:sz w:val="19"/>
                <w:szCs w:val="19"/>
              </w:rPr>
              <w:t xml:space="preserve">What it means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Low signal detected</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0–24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Few or no known scam patterns matched. Still verify independently.</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Proceed with caution</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25–54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Several patterns matched. Slow down and verify before sharing any personal information.</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High risk</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55–100</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Strong overlap with known scam wording. Treat with significant skepticism and consider reporting.</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rFonts w:ascii="Arial" w:cs="Arial" w:eastAsia="Arial" w:hAnsi="Arial"/>
        <w:b/>
        <w:bCs/>
        <w:color w:val="1b6fa8"/>
      </w:r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2026-07-15T19:43:53.361Z</dcterms:created>
  <dcterms:modified xsi:type="dcterms:W3CDTF">2026-07-15T19:43:53.361Z</dcterms:modified>
</cp:coreProperties>
</file>

<file path=docProps/custom.xml><?xml version="1.0" encoding="utf-8"?>
<Properties xmlns="http://schemas.openxmlformats.org/officeDocument/2006/custom-properties" xmlns:vt="http://schemas.openxmlformats.org/officeDocument/2006/docPropsVTypes"/>
</file>