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f2d3d"/>
          <w:sz w:val="32"/>
          <w:szCs w:val="32"/>
        </w:rPr>
        <w:t xml:space="preserve">Tom Jackson</w:t>
      </w:r>
    </w:p>
    <w:p>
      <w:pPr>
        <w:spacing w:after="200"/>
        <w:jc w:val="center"/>
      </w:pPr>
      <w:r>
        <w:rPr>
          <w:rFonts w:ascii="Arial" w:cs="Arial" w:eastAsia="Arial" w:hAnsi="Arial"/>
          <w:color w:val="2c2c2a"/>
          <w:sz w:val="18"/>
          <w:szCs w:val="18"/>
        </w:rPr>
        <w:t xml:space="preserve">OT Cybersecurity Executive  |  CISSP, IEC 62443 PRO, DHS CVI Authorized  |  Available Immediately</w:t>
      </w:r>
    </w:p>
    <w:p>
      <w:pPr>
        <w:pBdr>
          <w:bottom w:val="single" w:color="0f2d3d" w:sz="8" w:space="2"/>
        </w:pBdr>
        <w:spacing w:after="100" w:before="240"/>
      </w:pPr>
      <w:r>
        <w:rPr>
          <w:rFonts w:ascii="Arial" w:cs="Arial" w:eastAsia="Arial" w:hAnsi="Arial"/>
          <w:b/>
          <w:bCs/>
          <w:caps/>
          <w:color w:val="0f2d3d"/>
          <w:sz w:val="22"/>
          <w:szCs w:val="22"/>
        </w:rPr>
        <w:t xml:space="preserve">Executive Summary</w:t>
      </w:r>
    </w:p>
    <w:p>
      <w:pPr>
        <w:spacing w:after="120"/>
      </w:pPr>
      <w:r>
        <w:rPr>
          <w:rFonts w:ascii="Arial" w:cs="Arial" w:eastAsia="Arial" w:hAnsi="Arial"/>
          <w:color w:val="2c2c2a"/>
          <w:sz w:val="19"/>
          <w:szCs w:val="19"/>
        </w:rPr>
        <w:t xml:space="preserve">OT Cybersecurity Executive with 20+ years building, scaling, and leading OT/ICS cybersecurity consulting and advisory practices across critical infrastructure, advanced manufacturing, semiconductor, healthcare, utilities, energy, corporate data centers, and industrial sectors. Trusted advisor to Boards, CISOs, and executive leadership, translating complex cyber-physical risk — spanning traditional ICS/SCADA environments as well as Building Automation Systems (BAS) and physical OT within the enterprise — into strategic investment decisions that strengthen operational resilience, safety, uptime, and regulatory readiness.</w:t>
      </w:r>
    </w:p>
    <w:p>
      <w:pPr>
        <w:spacing w:after="120"/>
      </w:pPr>
      <w:r>
        <w:rPr>
          <w:rFonts w:ascii="Arial" w:cs="Arial" w:eastAsia="Arial" w:hAnsi="Arial"/>
          <w:color w:val="2c2c2a"/>
          <w:sz w:val="19"/>
          <w:szCs w:val="19"/>
        </w:rPr>
        <w:t xml:space="preserve">Recognized for building OT cybersecurity practices from inception into multi-million-dollar consulting businesses, leading enterprise transformation programs, and helping organizations move beyond assessments into funded operational resilience initiatives.</w:t>
      </w:r>
    </w:p>
    <w:p>
      <w:pPr>
        <w:pBdr>
          <w:bottom w:val="single" w:color="0f2d3d" w:sz="8" w:space="2"/>
        </w:pBdr>
        <w:spacing w:after="100" w:before="240"/>
      </w:pPr>
      <w:r>
        <w:rPr>
          <w:rFonts w:ascii="Arial" w:cs="Arial" w:eastAsia="Arial" w:hAnsi="Arial"/>
          <w:b/>
          <w:bCs/>
          <w:caps/>
          <w:color w:val="0f2d3d"/>
          <w:sz w:val="22"/>
          <w:szCs w:val="22"/>
        </w:rPr>
        <w:t xml:space="preserve">Core Competencies</w:t>
      </w:r>
    </w:p>
    <w:p>
      <w:pPr>
        <w:spacing w:after="120"/>
      </w:pPr>
      <w:r>
        <w:rPr>
          <w:rFonts w:ascii="Arial" w:cs="Arial" w:eastAsia="Arial" w:hAnsi="Arial"/>
          <w:color w:val="2c2c2a"/>
          <w:sz w:val="19"/>
          <w:szCs w:val="19"/>
        </w:rPr>
        <w:t xml:space="preserve">OT/ICS Cybersecurity Strategy • Practice Building &amp; Scaling • Business Development &amp; Revenue Growth • Executive &amp; Board Advisory • Go-To-Market Strategy • P&amp;L &amp; Portfolio Management • IEC 62443 / NIST SP 800-82 • Zero Trust &amp; Defense in Depth • Building Automation Systems (BAS) • NERC CIP &amp; Regulatory Readiness • SCADA / DCS / ICS Architecture • Team Leadership (10–30+ Members)</w:t>
      </w:r>
    </w:p>
    <w:p>
      <w:pPr>
        <w:pBdr>
          <w:bottom w:val="single" w:color="0f2d3d" w:sz="8" w:space="2"/>
        </w:pBdr>
        <w:spacing w:after="100" w:before="240"/>
      </w:pPr>
      <w:r>
        <w:rPr>
          <w:rFonts w:ascii="Arial" w:cs="Arial" w:eastAsia="Arial" w:hAnsi="Arial"/>
          <w:b/>
          <w:bCs/>
          <w:caps/>
          <w:color w:val="0f2d3d"/>
          <w:sz w:val="22"/>
          <w:szCs w:val="22"/>
        </w:rPr>
        <w:t xml:space="preserve">Professional Experience</w:t>
      </w:r>
    </w:p>
    <w:p>
      <w:pPr>
        <w:spacing w:after="20" w:before="160"/>
      </w:pPr>
      <w:r>
        <w:rPr>
          <w:rFonts w:ascii="Arial" w:cs="Arial" w:eastAsia="Arial" w:hAnsi="Arial"/>
          <w:b/>
          <w:bCs/>
          <w:color w:val="2c2c2a"/>
          <w:sz w:val="20"/>
          <w:szCs w:val="20"/>
        </w:rPr>
        <w:t xml:space="preserve">Booz Allen Hamilton </w:t>
      </w:r>
      <w:r>
        <w:rPr>
          <w:rFonts w:ascii="Arial" w:cs="Arial" w:eastAsia="Arial" w:hAnsi="Arial"/>
          <w:i/>
          <w:iCs/>
          <w:color w:val="2c2c2a"/>
          <w:sz w:val="20"/>
          <w:szCs w:val="20"/>
        </w:rPr>
        <w:t xml:space="preserve">— OT Cybersecurity Strategy &amp; Executive Advisory</w:t>
      </w:r>
      <w:r>
        <w:rPr>
          <w:rFonts w:ascii="Arial" w:cs="Arial" w:eastAsia="Arial" w:hAnsi="Arial"/>
          <w:color w:val="2c2c2a"/>
          <w:sz w:val="18"/>
          <w:szCs w:val="18"/>
        </w:rPr>
        <w:t xml:space="preserve">	Current</w:t>
      </w:r>
    </w:p>
    <w:p>
      <w:pPr>
        <w:pStyle w:val="ListParagraph"/>
        <w:numPr>
          <w:ilvl w:val="0"/>
          <w:numId w:val="1"/>
        </w:numPr>
        <w:spacing w:after="60"/>
      </w:pPr>
      <w:r>
        <w:rPr>
          <w:rFonts w:ascii="Arial" w:cs="Arial" w:eastAsia="Arial" w:hAnsi="Arial"/>
          <w:color w:val="2c2c2a"/>
          <w:sz w:val="19"/>
          <w:szCs w:val="19"/>
        </w:rPr>
        <w:t xml:space="preserve">Lead OT cybersecurity strategy and executive advisory across Healthcare, Life Sciences, and IoMT environments, delivering cyber-physical modernization programs focused on operational resilience.</w:t>
      </w:r>
    </w:p>
    <w:p>
      <w:pPr>
        <w:pStyle w:val="ListParagraph"/>
        <w:numPr>
          <w:ilvl w:val="0"/>
          <w:numId w:val="1"/>
        </w:numPr>
        <w:spacing w:after="60"/>
      </w:pPr>
      <w:r>
        <w:rPr>
          <w:rFonts w:ascii="Arial" w:cs="Arial" w:eastAsia="Arial" w:hAnsi="Arial"/>
          <w:color w:val="2c2c2a"/>
          <w:sz w:val="19"/>
          <w:szCs w:val="19"/>
        </w:rPr>
        <w:t xml:space="preserve">Engaged directly by client executive leadership to shape OT security investment roadmaps and governance frameworks.</w:t>
      </w:r>
    </w:p>
    <w:p>
      <w:pPr>
        <w:spacing w:after="20" w:before="160"/>
      </w:pPr>
      <w:r>
        <w:rPr>
          <w:rFonts w:ascii="Arial" w:cs="Arial" w:eastAsia="Arial" w:hAnsi="Arial"/>
          <w:b/>
          <w:bCs/>
          <w:color w:val="2c2c2a"/>
          <w:sz w:val="20"/>
          <w:szCs w:val="20"/>
        </w:rPr>
        <w:t xml:space="preserve">DMI (Digital Management, LLC) </w:t>
      </w:r>
      <w:r>
        <w:rPr>
          <w:rFonts w:ascii="Arial" w:cs="Arial" w:eastAsia="Arial" w:hAnsi="Arial"/>
          <w:i/>
          <w:iCs/>
          <w:color w:val="2c2c2a"/>
          <w:sz w:val="20"/>
          <w:szCs w:val="20"/>
        </w:rPr>
        <w:t xml:space="preserve">— OT Cybersecurity Assessment &amp; Architecture</w:t>
      </w:r>
      <w:r>
        <w:rPr>
          <w:rFonts w:ascii="Arial" w:cs="Arial" w:eastAsia="Arial" w:hAnsi="Arial"/>
          <w:color w:val="2c2c2a"/>
          <w:sz w:val="18"/>
          <w:szCs w:val="18"/>
        </w:rPr>
        <w:t xml:space="preserve">	</w:t>
      </w:r>
    </w:p>
    <w:p>
      <w:pPr>
        <w:pStyle w:val="ListParagraph"/>
        <w:numPr>
          <w:ilvl w:val="0"/>
          <w:numId w:val="1"/>
        </w:numPr>
        <w:spacing w:after="60"/>
      </w:pPr>
      <w:r>
        <w:rPr>
          <w:rFonts w:ascii="Arial" w:cs="Arial" w:eastAsia="Arial" w:hAnsi="Arial"/>
          <w:color w:val="2c2c2a"/>
          <w:sz w:val="19"/>
          <w:szCs w:val="19"/>
        </w:rPr>
        <w:t xml:space="preserve">Directed OT cybersecurity assessment and reference architecture initiatives across healthcare and federal workstreams, including the NIH engagement.</w:t>
      </w:r>
    </w:p>
    <w:p>
      <w:pPr>
        <w:pStyle w:val="ListParagraph"/>
        <w:numPr>
          <w:ilvl w:val="0"/>
          <w:numId w:val="1"/>
        </w:numPr>
        <w:spacing w:after="60"/>
      </w:pPr>
      <w:r>
        <w:rPr>
          <w:rFonts w:ascii="Arial" w:cs="Arial" w:eastAsia="Arial" w:hAnsi="Arial"/>
          <w:color w:val="2c2c2a"/>
          <w:sz w:val="19"/>
          <w:szCs w:val="19"/>
        </w:rPr>
        <w:t xml:space="preserve">Achieved 100% on-time delivery across all engagements; assessment findings adopted as the reference standard for subsequent federal OT security programs.</w:t>
      </w:r>
    </w:p>
    <w:p>
      <w:pPr>
        <w:spacing w:after="20" w:before="160"/>
      </w:pPr>
      <w:r>
        <w:rPr>
          <w:rFonts w:ascii="Arial" w:cs="Arial" w:eastAsia="Arial" w:hAnsi="Arial"/>
          <w:b/>
          <w:bCs/>
          <w:color w:val="2c2c2a"/>
          <w:sz w:val="20"/>
          <w:szCs w:val="20"/>
        </w:rPr>
        <w:t xml:space="preserve">Accenture </w:t>
      </w:r>
      <w:r>
        <w:rPr>
          <w:rFonts w:ascii="Arial" w:cs="Arial" w:eastAsia="Arial" w:hAnsi="Arial"/>
          <w:i/>
          <w:iCs/>
          <w:color w:val="2c2c2a"/>
          <w:sz w:val="20"/>
          <w:szCs w:val="20"/>
        </w:rPr>
        <w:t xml:space="preserve">— OT Security Practice Expansion</w:t>
      </w:r>
      <w:r>
        <w:rPr>
          <w:rFonts w:ascii="Arial" w:cs="Arial" w:eastAsia="Arial" w:hAnsi="Arial"/>
          <w:color w:val="2c2c2a"/>
          <w:sz w:val="18"/>
          <w:szCs w:val="18"/>
        </w:rPr>
        <w:t xml:space="preserve">	</w:t>
      </w:r>
    </w:p>
    <w:p>
      <w:pPr>
        <w:pStyle w:val="ListParagraph"/>
        <w:numPr>
          <w:ilvl w:val="0"/>
          <w:numId w:val="1"/>
        </w:numPr>
        <w:spacing w:after="60"/>
      </w:pPr>
      <w:r>
        <w:rPr>
          <w:rFonts w:ascii="Arial" w:cs="Arial" w:eastAsia="Arial" w:hAnsi="Arial"/>
          <w:color w:val="2c2c2a"/>
          <w:sz w:val="19"/>
          <w:szCs w:val="19"/>
        </w:rPr>
        <w:t xml:space="preserve">Expanded OT cybersecurity capabilities into TSA pipeline security compliance initiatives, securing engagement with two of the top five U.S. natural gas organizations.</w:t>
      </w:r>
    </w:p>
    <w:p>
      <w:pPr>
        <w:pStyle w:val="ListParagraph"/>
        <w:numPr>
          <w:ilvl w:val="0"/>
          <w:numId w:val="1"/>
        </w:numPr>
        <w:spacing w:after="60"/>
      </w:pPr>
      <w:r>
        <w:rPr>
          <w:rFonts w:ascii="Arial" w:cs="Arial" w:eastAsia="Arial" w:hAnsi="Arial"/>
          <w:color w:val="2c2c2a"/>
          <w:sz w:val="19"/>
          <w:szCs w:val="19"/>
        </w:rPr>
        <w:t xml:space="preserve">Established Accenture's OT compliance delivery methodology for the energy sector.</w:t>
      </w:r>
    </w:p>
    <w:p>
      <w:pPr>
        <w:spacing w:after="20" w:before="160"/>
      </w:pPr>
      <w:r>
        <w:rPr>
          <w:rFonts w:ascii="Arial" w:cs="Arial" w:eastAsia="Arial" w:hAnsi="Arial"/>
          <w:b/>
          <w:bCs/>
          <w:color w:val="2c2c2a"/>
          <w:sz w:val="20"/>
          <w:szCs w:val="20"/>
        </w:rPr>
        <w:t xml:space="preserve">Ernst &amp; Young (EY) </w:t>
      </w:r>
      <w:r>
        <w:rPr>
          <w:rFonts w:ascii="Arial" w:cs="Arial" w:eastAsia="Arial" w:hAnsi="Arial"/>
          <w:i/>
          <w:iCs/>
          <w:color w:val="2c2c2a"/>
          <w:sz w:val="20"/>
          <w:szCs w:val="20"/>
        </w:rPr>
        <w:t xml:space="preserve">— OT Cybersecurity Practice Founder</w:t>
      </w:r>
      <w:r>
        <w:rPr>
          <w:rFonts w:ascii="Arial" w:cs="Arial" w:eastAsia="Arial" w:hAnsi="Arial"/>
          <w:color w:val="2c2c2a"/>
          <w:sz w:val="18"/>
          <w:szCs w:val="18"/>
        </w:rPr>
        <w:t xml:space="preserve">	</w:t>
      </w:r>
    </w:p>
    <w:p>
      <w:pPr>
        <w:pStyle w:val="ListParagraph"/>
        <w:numPr>
          <w:ilvl w:val="0"/>
          <w:numId w:val="1"/>
        </w:numPr>
        <w:spacing w:after="60"/>
      </w:pPr>
      <w:r>
        <w:rPr>
          <w:rFonts w:ascii="Arial" w:cs="Arial" w:eastAsia="Arial" w:hAnsi="Arial"/>
          <w:color w:val="2c2c2a"/>
          <w:sz w:val="19"/>
          <w:szCs w:val="19"/>
        </w:rPr>
        <w:t xml:space="preserve">Founded EY's OT cybersecurity practice from a limited footprint, defining service architecture and recruiting/managing 10–30+ consultants across multi-region delivery teams.</w:t>
      </w:r>
    </w:p>
    <w:p>
      <w:pPr>
        <w:pStyle w:val="ListParagraph"/>
        <w:numPr>
          <w:ilvl w:val="0"/>
          <w:numId w:val="1"/>
        </w:numPr>
        <w:spacing w:after="60"/>
      </w:pPr>
      <w:r>
        <w:rPr>
          <w:rFonts w:ascii="Arial" w:cs="Arial" w:eastAsia="Arial" w:hAnsi="Arial"/>
          <w:color w:val="2c2c2a"/>
          <w:sz w:val="19"/>
          <w:szCs w:val="19"/>
        </w:rPr>
        <w:t xml:space="preserve">Scaled the practice to $10M–$30M in pipeline and revenue, establishing EY as a recognized market voice in critical infrastructure cybersecurity.</w:t>
      </w:r>
    </w:p>
    <w:p>
      <w:pPr>
        <w:spacing w:after="20" w:before="160"/>
      </w:pPr>
      <w:r>
        <w:rPr>
          <w:rFonts w:ascii="Arial" w:cs="Arial" w:eastAsia="Arial" w:hAnsi="Arial"/>
          <w:b/>
          <w:bCs/>
          <w:color w:val="2c2c2a"/>
          <w:sz w:val="20"/>
          <w:szCs w:val="20"/>
        </w:rPr>
        <w:t xml:space="preserve">Schneider Electric </w:t>
      </w:r>
      <w:r>
        <w:rPr>
          <w:rFonts w:ascii="Arial" w:cs="Arial" w:eastAsia="Arial" w:hAnsi="Arial"/>
          <w:i/>
          <w:iCs/>
          <w:color w:val="2c2c2a"/>
          <w:sz w:val="20"/>
          <w:szCs w:val="20"/>
        </w:rPr>
        <w:t xml:space="preserve">— Global OT Cybersecurity Advisory Practice Lead</w:t>
      </w:r>
      <w:r>
        <w:rPr>
          <w:rFonts w:ascii="Arial" w:cs="Arial" w:eastAsia="Arial" w:hAnsi="Arial"/>
          <w:color w:val="2c2c2a"/>
          <w:sz w:val="18"/>
          <w:szCs w:val="18"/>
        </w:rPr>
        <w:t xml:space="preserve">	</w:t>
      </w:r>
    </w:p>
    <w:p>
      <w:pPr>
        <w:pStyle w:val="ListParagraph"/>
        <w:numPr>
          <w:ilvl w:val="0"/>
          <w:numId w:val="1"/>
        </w:numPr>
        <w:spacing w:after="60"/>
      </w:pPr>
      <w:r>
        <w:rPr>
          <w:rFonts w:ascii="Arial" w:cs="Arial" w:eastAsia="Arial" w:hAnsi="Arial"/>
          <w:color w:val="2c2c2a"/>
          <w:sz w:val="19"/>
          <w:szCs w:val="19"/>
        </w:rPr>
        <w:t xml:space="preserve">Built and scaled Schneider Electric's global OT cybersecurity advisory practice across industrial and critical infrastructure sectors.</w:t>
      </w:r>
    </w:p>
    <w:p>
      <w:pPr>
        <w:pStyle w:val="ListParagraph"/>
        <w:numPr>
          <w:ilvl w:val="0"/>
          <w:numId w:val="1"/>
        </w:numPr>
        <w:spacing w:after="60"/>
      </w:pPr>
      <w:r>
        <w:rPr>
          <w:rFonts w:ascii="Arial" w:cs="Arial" w:eastAsia="Arial" w:hAnsi="Arial"/>
          <w:color w:val="2c2c2a"/>
          <w:sz w:val="19"/>
          <w:szCs w:val="19"/>
        </w:rPr>
        <w:t xml:space="preserve">Promoted to Director with full P&amp;L accountability over a $10M+ advisory portfolio.</w:t>
      </w:r>
    </w:p>
    <w:p>
      <w:pPr>
        <w:spacing w:after="20" w:before="160"/>
      </w:pPr>
      <w:r>
        <w:rPr>
          <w:rFonts w:ascii="Arial" w:cs="Arial" w:eastAsia="Arial" w:hAnsi="Arial"/>
          <w:b/>
          <w:bCs/>
          <w:color w:val="2c2c2a"/>
          <w:sz w:val="20"/>
          <w:szCs w:val="20"/>
        </w:rPr>
        <w:t xml:space="preserve">Invensys Control Systems </w:t>
      </w:r>
      <w:r>
        <w:rPr>
          <w:rFonts w:ascii="Arial" w:cs="Arial" w:eastAsia="Arial" w:hAnsi="Arial"/>
          <w:i/>
          <w:iCs/>
          <w:color w:val="2c2c2a"/>
          <w:sz w:val="20"/>
          <w:szCs w:val="20"/>
        </w:rPr>
        <w:t xml:space="preserve">— OT Cybersecurity Advisory Lead</w:t>
      </w:r>
      <w:r>
        <w:rPr>
          <w:rFonts w:ascii="Arial" w:cs="Arial" w:eastAsia="Arial" w:hAnsi="Arial"/>
          <w:color w:val="2c2c2a"/>
          <w:sz w:val="18"/>
          <w:szCs w:val="18"/>
        </w:rPr>
        <w:t xml:space="preserve">	</w:t>
      </w:r>
    </w:p>
    <w:p>
      <w:pPr>
        <w:pStyle w:val="ListParagraph"/>
        <w:numPr>
          <w:ilvl w:val="0"/>
          <w:numId w:val="1"/>
        </w:numPr>
        <w:spacing w:after="60"/>
      </w:pPr>
      <w:r>
        <w:rPr>
          <w:rFonts w:ascii="Arial" w:cs="Arial" w:eastAsia="Arial" w:hAnsi="Arial"/>
          <w:color w:val="2c2c2a"/>
          <w:sz w:val="19"/>
          <w:szCs w:val="19"/>
        </w:rPr>
        <w:t xml:space="preserve">Built early OT cybersecurity advisory capabilities during the industrial cybersecurity market's formative years, leveraging deep control systems engineering roots.</w:t>
      </w:r>
    </w:p>
    <w:p>
      <w:pPr>
        <w:pBdr>
          <w:bottom w:val="single" w:color="0f2d3d" w:sz="8" w:space="2"/>
        </w:pBdr>
        <w:spacing w:after="100" w:before="240"/>
      </w:pPr>
      <w:r>
        <w:rPr>
          <w:rFonts w:ascii="Arial" w:cs="Arial" w:eastAsia="Arial" w:hAnsi="Arial"/>
          <w:b/>
          <w:bCs/>
          <w:caps/>
          <w:color w:val="0f2d3d"/>
          <w:sz w:val="22"/>
          <w:szCs w:val="22"/>
        </w:rPr>
        <w:t xml:space="preserve">Industry &amp; Technology Foundation</w:t>
      </w:r>
    </w:p>
    <w:p>
      <w:pPr>
        <w:spacing w:after="120"/>
      </w:pPr>
      <w:r>
        <w:rPr>
          <w:rFonts w:ascii="Arial" w:cs="Arial" w:eastAsia="Arial" w:hAnsi="Arial"/>
          <w:color w:val="2c2c2a"/>
          <w:sz w:val="19"/>
          <w:szCs w:val="19"/>
        </w:rPr>
        <w:t xml:space="preserve">20+ years as an engineer and operator inside the industries OT cybersecurity now protects: telecommunications and wireless infrastructure (Nortel, Siemens, Ericsson — carrier-grade networking, LTE/GSM/CDMA/RF architecture), and semiconductor/advanced manufacturing (Texas Instruments, Ethyl Corporation — GaAs fabrication, DARPA defense programs).</w:t>
      </w:r>
    </w:p>
    <w:p>
      <w:pPr>
        <w:pBdr>
          <w:bottom w:val="single" w:color="0f2d3d" w:sz="8" w:space="2"/>
        </w:pBdr>
        <w:spacing w:after="100" w:before="240"/>
      </w:pPr>
      <w:r>
        <w:rPr>
          <w:rFonts w:ascii="Arial" w:cs="Arial" w:eastAsia="Arial" w:hAnsi="Arial"/>
          <w:b/>
          <w:bCs/>
          <w:caps/>
          <w:color w:val="0f2d3d"/>
          <w:sz w:val="22"/>
          <w:szCs w:val="22"/>
        </w:rPr>
        <w:t xml:space="preserve">Education &amp; Certifications</w:t>
      </w:r>
    </w:p>
    <w:p>
      <w:pPr>
        <w:spacing w:after="120"/>
      </w:pPr>
      <w:r>
        <w:rPr>
          <w:rFonts w:ascii="Arial" w:cs="Arial" w:eastAsia="Arial" w:hAnsi="Arial"/>
          <w:color w:val="2c2c2a"/>
          <w:sz w:val="19"/>
          <w:szCs w:val="19"/>
        </w:rPr>
        <w:t xml:space="preserve">Bachelor of Science, Electrical Engineering — University of South Carolina</w:t>
      </w:r>
    </w:p>
    <w:p>
      <w:pPr>
        <w:spacing w:after="120"/>
      </w:pPr>
      <w:r>
        <w:rPr>
          <w:rFonts w:ascii="Arial" w:cs="Arial" w:eastAsia="Arial" w:hAnsi="Arial"/>
          <w:color w:val="2c2c2a"/>
          <w:sz w:val="19"/>
          <w:szCs w:val="19"/>
        </w:rPr>
        <w:t xml:space="preserve">CISSP  |  ISO 27001 Senior Lead Auditor  |  IEC 62443 PRO  |  DHS CVI Authorized  |  InfraGard (FBI)  |  Microsoft Azure Fundamentals (AZ-900)  |  Industrial OT Cybersecurity Foundations</w:t>
      </w:r>
    </w:p>
    <w:p>
      <w:pPr>
        <w:pBdr>
          <w:bottom w:val="single" w:color="0f2d3d" w:sz="8" w:space="2"/>
        </w:pBdr>
        <w:spacing w:after="100" w:before="240"/>
      </w:pPr>
      <w:r>
        <w:rPr>
          <w:rFonts w:ascii="Arial" w:cs="Arial" w:eastAsia="Arial" w:hAnsi="Arial"/>
          <w:b/>
          <w:bCs/>
          <w:caps/>
          <w:color w:val="0f2d3d"/>
          <w:sz w:val="22"/>
          <w:szCs w:val="22"/>
        </w:rPr>
        <w:t xml:space="preserve">OT Platforms &amp; Frameworks</w:t>
      </w:r>
    </w:p>
    <w:p>
      <w:pPr>
        <w:spacing w:after="120"/>
      </w:pPr>
      <w:r>
        <w:rPr>
          <w:rFonts w:ascii="Arial" w:cs="Arial" w:eastAsia="Arial" w:hAnsi="Arial"/>
          <w:color w:val="2c2c2a"/>
          <w:sz w:val="19"/>
          <w:szCs w:val="19"/>
        </w:rPr>
        <w:t xml:space="preserve">Platforms: Dragos, Nozomi Networks, Claroty, Armis, Microsoft Defender for IoT</w:t>
      </w:r>
    </w:p>
    <w:p>
      <w:pPr>
        <w:spacing w:after="120"/>
      </w:pPr>
      <w:r>
        <w:rPr>
          <w:rFonts w:ascii="Arial" w:cs="Arial" w:eastAsia="Arial" w:hAnsi="Arial"/>
          <w:color w:val="2c2c2a"/>
          <w:sz w:val="19"/>
          <w:szCs w:val="19"/>
        </w:rPr>
        <w:t xml:space="preserve">Frameworks: IEC 62443, NERC CIP (v7/v8), NIST CSF 2.0, NIST SP 800-82 Rev 3, NIST SP 800-53, NIST RMF (800-37), MITRE ATT&amp;CK, Zero Trust Architecture, Defense in Depth, Purdue Model, FedRAMP</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2026-07-27T22:25:04.237Z</dcterms:created>
  <dcterms:modified xsi:type="dcterms:W3CDTF">2026-07-27T22:25:04.238Z</dcterms:modified>
</cp:coreProperties>
</file>

<file path=docProps/custom.xml><?xml version="1.0" encoding="utf-8"?>
<Properties xmlns="http://schemas.openxmlformats.org/officeDocument/2006/custom-properties" xmlns:vt="http://schemas.openxmlformats.org/officeDocument/2006/docPropsVTypes"/>
</file>