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Salary Negotiator — Example Output</w:t>
      </w:r>
    </w:p>
    <w:p>
      <w:pPr>
        <w:pStyle w:val="BodyText"/>
      </w:pPr>
      <w:r>
        <w:rPr>
          <w:bCs/>
          <w:b/>
        </w:rPr>
        <w:t xml:space="preserve">IMPORTANT — READ BEFORE USING ANYTHING BELOW:</w:t>
      </w:r>
      <w:r>
        <w:t xml:space="preserve"> </w:t>
      </w:r>
      <w:r>
        <w:rPr>
          <w:iCs/>
          <w:i/>
        </w:rPr>
        <w:t xml:space="preserve">This document is illustrative only. It was hand-written to demonstrate the guide’s format, structure, and reasoning style — it is NOT the output of an actual research run, and none of the dollar figures, sources, or company-specific claims below are real. This tool’s entire value depends on every figure being genuinely sourced from live search; this example, by construction, cannot meet that bar. Do not use any number in this document as an actual reference point for a real negotiation. When you run the real tool, Claude performs genuine web research and cites real sources — that output is what you should actually rely on.</w:t>
      </w:r>
    </w:p>
    <w:p>
      <w:r>
        <w:pict>
          <v:rect style="width:0;height:1.5pt" o:hralign="center" o:hrstd="t" o:hr="t"/>
        </w:pict>
      </w:r>
    </w:p>
    <w:bookmarkStart w:id="29" w:name="Xef0ca2259ae6d86671296a1a0a74b9762c625d5"/>
    <w:p>
      <w:pPr>
        <w:pStyle w:val="Heading1"/>
      </w:pPr>
      <w:r>
        <w:t xml:space="preserve">Scenario: Director, OT Cybersecurity Advisory Services — Schneider Electric</w:t>
      </w:r>
    </w:p>
    <w:p>
      <w:pPr>
        <w:pStyle w:val="FirstParagraph"/>
      </w:pPr>
      <w:r>
        <w:rPr>
          <w:iCs/>
          <w:i/>
        </w:rPr>
        <w:t xml:space="preserve">No competing offer given. Offer so far: $175K base, 15% target bonus, $10K sign-on, standard benefits, no equity discussed. Target: $190K base or equivalent total comp. Priority: remote flexibility matters more than a few thousand more in base.</w:t>
      </w:r>
    </w:p>
    <w:bookmarkStart w:id="20" w:name="quick-reference"/>
    <w:p>
      <w:pPr>
        <w:pStyle w:val="Heading2"/>
      </w:pPr>
      <w:r>
        <w:t xml:space="preserve">Quick Reference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Market range for this role/level/location (illustrative):</w:t>
      </w:r>
      <w:r>
        <w:t xml:space="preserve"> </w:t>
      </w:r>
      <w:r>
        <w:t xml:space="preserve">roughly $175K-$210K base for a Director-level OT/ICS cybersecurity advisory role in the Dallas market, based on comparable postings and industry compensation surveys (sources noted below).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comp translation:</w:t>
      </w:r>
      <w:r>
        <w:t xml:space="preserve"> </w:t>
      </w:r>
      <w:r>
        <w:t xml:space="preserve">the current offer works out to an estimated $201K-$206K total comp including bonus target and sign-on, before benefits value.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Top framing option:</w:t>
      </w:r>
      <w:r>
        <w:t xml:space="preserve"> </w:t>
      </w:r>
      <w:r>
        <w:t xml:space="preserve">lead with the practice-building track record and the market data together, and ask specifically about equity or additional sign-on given the below-target base, rather than pushing hard on base alone.</w:t>
      </w:r>
    </w:p>
    <w:bookmarkEnd w:id="20"/>
    <w:bookmarkStart w:id="21" w:name="market-data-snapshot-illustrative"/>
    <w:p>
      <w:pPr>
        <w:pStyle w:val="Heading2"/>
      </w:pPr>
      <w:r>
        <w:t xml:space="preserve">1. Market Data Snapshot</w:t>
      </w:r>
      <w:r>
        <w:t xml:space="preserve"> </w:t>
      </w:r>
      <w:r>
        <w:rPr>
          <w:iCs/>
          <w:i/>
        </w:rPr>
        <w:t xml:space="preserve">(illustrative)</w:t>
      </w:r>
    </w:p>
    <w:p>
      <w:pPr>
        <w:pStyle w:val="FirstParagraph"/>
      </w:pPr>
      <w:r>
        <w:t xml:space="preserve">Director-level OT/ICS cybersecurity consulting roles in the Dallas-Fort Worth market typically show a base range of $175K-$210K, per comparable job postings on LinkedIn and Indeed with disclosed ranges, and industry salary survey data. Total cash compensation (base + target bonus) commonly lands 15-25% above base at this level.</w:t>
      </w:r>
    </w:p>
    <w:bookmarkEnd w:id="21"/>
    <w:bookmarkStart w:id="22" w:name="X3b286f2bf6a215eb5216dbac0dd62f8c5012c00"/>
    <w:p>
      <w:pPr>
        <w:pStyle w:val="Heading2"/>
      </w:pPr>
      <w:r>
        <w:t xml:space="preserve">2. Company-Specific Compensation Research</w:t>
      </w:r>
      <w:r>
        <w:t xml:space="preserve"> </w:t>
      </w:r>
      <w:r>
        <w:rPr>
          <w:iCs/>
          <w:i/>
        </w:rPr>
        <w:t xml:space="preserve">(illustrative)</w:t>
      </w:r>
    </w:p>
    <w:p>
      <w:pPr>
        <w:pStyle w:val="FirstParagraph"/>
      </w:pPr>
      <w:r>
        <w:t xml:space="preserve">Company-specific data for Schneider Electric’s advisory practice compensation was thin — a small number of Glassdoor entries for adjacent Director-level roles suggested a base range roughly in line with the general market figure above, but sample size was too small to treat as authoritative. This is a realistic, expected outcome — flagged here plainly rather than overstated.</w:t>
      </w:r>
    </w:p>
    <w:bookmarkEnd w:id="22"/>
    <w:bookmarkStart w:id="23" w:name="total-compensation-translation"/>
    <w:p>
      <w:pPr>
        <w:pStyle w:val="Heading2"/>
      </w:pPr>
      <w:r>
        <w:t xml:space="preserve">3. Total Compensation Translation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bonus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Sign-on (one-time)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discussed — flag this as a gap to clarify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Estimated Year 1 total 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~$201,250 + benefits value</w:t>
            </w:r>
          </w:p>
        </w:tc>
      </w:tr>
    </w:tbl>
    <w:bookmarkEnd w:id="23"/>
    <w:bookmarkStart w:id="24" w:name="your-differentiators"/>
    <w:p>
      <w:pPr>
        <w:pStyle w:val="Heading2"/>
      </w:pPr>
      <w:r>
        <w:t xml:space="preserve">4. Your Differentiators</w:t>
      </w:r>
    </w:p>
    <w:p>
      <w:pPr>
        <w:numPr>
          <w:ilvl w:val="0"/>
          <w:numId w:val="1002"/>
        </w:numPr>
        <w:pStyle w:val="Compact"/>
      </w:pPr>
      <w:r>
        <w:t xml:space="preserve">Founded and scaled EY’s global OT cybersecurity practice from zero to a $10-30M pipeline — directly relevant to a practice-leadership role at this level.</w:t>
      </w:r>
    </w:p>
    <w:p>
      <w:pPr>
        <w:numPr>
          <w:ilvl w:val="0"/>
          <w:numId w:val="1002"/>
        </w:numPr>
        <w:pStyle w:val="Compact"/>
      </w:pPr>
      <w:r>
        <w:t xml:space="preserve">Prior Director-level P&amp;L accountability at Schneider Electric itself (2014-2016) — a genuine, documented former-employer relationship, not an inferred one.</w:t>
      </w:r>
    </w:p>
    <w:p>
      <w:pPr>
        <w:numPr>
          <w:ilvl w:val="0"/>
          <w:numId w:val="1002"/>
        </w:numPr>
        <w:pStyle w:val="Compact"/>
      </w:pPr>
      <w:r>
        <w:t xml:space="preserve">CISSP and GICSP certifications, directly relevant to the role’s technical credibility requirements.</w:t>
      </w:r>
    </w:p>
    <w:bookmarkEnd w:id="24"/>
    <w:bookmarkStart w:id="25" w:name="negotiation-levers-beyond-base-salary"/>
    <w:p>
      <w:pPr>
        <w:pStyle w:val="Heading2"/>
      </w:pPr>
      <w:r>
        <w:t xml:space="preserve">5. Negotiation Levers Beyond Base Salary</w:t>
      </w:r>
    </w:p>
    <w:p>
      <w:pPr>
        <w:pStyle w:val="FirstParagraph"/>
      </w:pPr>
      <w:r>
        <w:t xml:space="preserve">Given the stated priority (remote flexibility over a few thousand more base):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Remote/hybrid flexibility</w:t>
      </w:r>
      <w:r>
        <w:t xml:space="preserve"> </w:t>
      </w:r>
      <w:r>
        <w:t xml:space="preserve">— worth raising explicitly and early, given it’s the stated top priority.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Equity</w:t>
      </w:r>
      <w:r>
        <w:t xml:space="preserve"> </w:t>
      </w:r>
      <w:r>
        <w:t xml:space="preserve">— not yet discussed at all; worth asking about directly since it’s currently a gap, not a stated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Sign-on bonus</w:t>
      </w:r>
      <w:r>
        <w:t xml:space="preserve"> </w:t>
      </w:r>
      <w:r>
        <w:t xml:space="preserve">— already offered at $10K; could be a lever if base itself is firm.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Accelerated review timeline</w:t>
      </w:r>
      <w:r>
        <w:t xml:space="preserve"> </w:t>
      </w:r>
      <w:r>
        <w:t xml:space="preserve">— a 6-month instead of 12-month first review, if base is capped.</w:t>
      </w:r>
    </w:p>
    <w:bookmarkEnd w:id="25"/>
    <w:bookmarkStart w:id="26" w:name="the-counter-framing-options"/>
    <w:p>
      <w:pPr>
        <w:pStyle w:val="Heading2"/>
      </w:pPr>
      <w:r>
        <w:t xml:space="preserve">6. The Counter — Framing Options</w:t>
      </w:r>
    </w:p>
    <w:p>
      <w:pPr>
        <w:pStyle w:val="FirstParagraph"/>
      </w:pPr>
      <w:r>
        <w:rPr>
          <w:bCs/>
          <w:b/>
        </w:rPr>
        <w:t xml:space="preserve">Option A (data-led):</w:t>
      </w:r>
      <w:r>
        <w:t xml:space="preserve"> </w:t>
      </w:r>
      <w:r>
        <w:t xml:space="preserve">“</w:t>
      </w:r>
      <w:r>
        <w:t xml:space="preserve">I’ve done some research on comparable Director-level OT security roles in this market, and I’m seeing a range that runs a bit higher than the base we discussed. Given my track record building this exact kind of practice from scratch, I’d like to explore whether there’s room to move closer to $190K base.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Option B (relationship-led, given the former-employer history):</w:t>
      </w:r>
      <w:r>
        <w:t xml:space="preserve"> </w:t>
      </w:r>
      <w:r>
        <w:t xml:space="preserve">“</w:t>
      </w:r>
      <w:r>
        <w:t xml:space="preserve">Given my history here building the OT advisory practice from the ground up, I want to make sure the offer reflects that direct experience. Is there flexibility on the base, or should we look at equity or an accelerated review instead?</w:t>
      </w:r>
      <w:r>
        <w:t xml:space="preserve">”</w:t>
      </w:r>
    </w:p>
    <w:bookmarkEnd w:id="26"/>
    <w:bookmarkStart w:id="27" w:name="a-written-counter-offer-draft"/>
    <w:p>
      <w:pPr>
        <w:pStyle w:val="Heading2"/>
      </w:pPr>
      <w:r>
        <w:t xml:space="preserve">7. A Written Counter-Offer Draft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Following Up on the Offer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Thank you again for the offer — I’m genuinely excited about the OT Cybersecurity Advisory Services role. Before I formally accept, I’d like to discuss the compensation package.</w:t>
      </w:r>
    </w:p>
    <w:p>
      <w:pPr>
        <w:pStyle w:val="BodyText"/>
      </w:pPr>
      <w:r>
        <w:t xml:space="preserve">Based on my research into comparable Director-level roles in this market, and given my background building this exact kind of practice from the ground up, I was hoping to land closer to $190K base. I’d also love to understand more about equity eligibility at this level, since that wasn’t part of our conversation yet.</w:t>
      </w:r>
    </w:p>
    <w:p>
      <w:pPr>
        <w:pStyle w:val="BodyText"/>
      </w:pPr>
      <w:r>
        <w:t xml:space="preserve">Separately — remote flexibility genuinely matters more to me than an incremental base increase, so I’d welcome a conversation about what’s possible there as part of the overall package.</w:t>
      </w:r>
    </w:p>
    <w:p>
      <w:pPr>
        <w:pStyle w:val="BodyText"/>
      </w:pPr>
      <w:r>
        <w:t xml:space="preserve">Looking forward to talking through this.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Tom</w:t>
      </w:r>
    </w:p>
    <w:bookmarkEnd w:id="27"/>
    <w:bookmarkStart w:id="28" w:name="negotiation-etiquette-notes"/>
    <w:p>
      <w:pPr>
        <w:pStyle w:val="Heading2"/>
      </w:pPr>
      <w:r>
        <w:t xml:space="preserve">8. Negotiation Etiquette Notes</w:t>
      </w:r>
    </w:p>
    <w:p>
      <w:pPr>
        <w:pStyle w:val="FirstParagraph"/>
      </w:pPr>
      <w:r>
        <w:t xml:space="preserve">State the ask above clearly, then stop talking — let them respond rather than immediately softening the number. Get whatever’s agreed in writing before resigning from anywhere else. Given the genuine excitement about this specific role (a former employer, a practice Tom personally built), calibrate the pressure accordingly — this isn’t a case for maximum aggression given the real relationship at stake.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fbbf9c6d45030e25a1d52775aef60e8449db96f"/>
    <w:p>
      <w:pPr>
        <w:pStyle w:val="Heading1"/>
      </w:pPr>
      <w:r>
        <w:t xml:space="preserve">Scenario: Same Role, WITH a Real Competing Offer</w:t>
      </w:r>
    </w:p>
    <w:p>
      <w:pPr>
        <w:pStyle w:val="FirstParagraph"/>
      </w:pPr>
      <w:r>
        <w:rPr>
          <w:iCs/>
          <w:i/>
        </w:rPr>
        <w:t xml:space="preserve">Same offer as above, but this time a real competing offer was provided: $180K base, 10% target bonus, no sign-on, fully remote, from a competing OT security consultancy.</w:t>
      </w:r>
    </w:p>
    <w:bookmarkStart w:id="30" w:name="what-changes"/>
    <w:p>
      <w:pPr>
        <w:pStyle w:val="Heading2"/>
      </w:pPr>
      <w:r>
        <w:t xml:space="preserve">What Changes</w:t>
      </w:r>
    </w:p>
    <w:p>
      <w:pPr>
        <w:pStyle w:val="FirstParagraph"/>
      </w:pPr>
      <w:r>
        <w:t xml:space="preserve">Section 3 (Total Compensation Translation) now includes a side-by-side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Schneider 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Competing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$26,250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 (10%)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remote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Est. Year 1 total 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~$201,250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~$198,000</w:t>
            </w:r>
          </w:p>
        </w:tc>
      </w:tr>
    </w:tbl>
    <w:p>
      <w:pPr>
        <w:pStyle w:val="BodyText"/>
      </w:pPr>
      <w:r>
        <w:t xml:space="preserve">Section 6’s framing options now genuinely reference the competing offer where it strengthens the ask — for example: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have a competing offer in hand at $180K base with fully remote work, which is a real factor given how much I value that flexibility. I’d like to see if we can close that gap here rather than have that be the deciding factor.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written counter-offer draft in Section 7 would reference the competing offer the same way — plainly, with real numbers, not exaggerated — since it’s now a real, given fact rather than something the tool would otherwise need to leave out entirely.</w:t>
      </w:r>
    </w:p>
    <w:p>
      <w:pPr>
        <w:pStyle w:val="BodyText"/>
      </w:pPr>
      <w:r>
        <w:rPr>
          <w:iCs/>
          <w:i/>
        </w:rPr>
        <w:t xml:space="preserve">This is exactly the kind of comparison that should never appear when no real competing offer was actually given — see the disclaimer at the top of this document and the tool’s own guardrail language for why.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</w:pPr>
    <w:rPr>
      <w:color w:val="0F2D3D"/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color w:val="1B6FA8"/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color w:val="1B6FA8"/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color w:val="0F9B8E"/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7E0E5" w:space="0" w:sz="4" w:val="single"/>
        <w:left w:color="D7E0E5" w:space="0" w:sz="4" w:val="single"/>
        <w:bottom w:color="D7E0E5" w:space="0" w:sz="4" w:val="single"/>
        <w:right w:color="D7E0E5" w:space="0" w:sz="4" w:val="single"/>
        <w:insideH w:color="D7E0E5" w:space="0" w:sz="4" w:val="single"/>
        <w:insideV w:color="D7E0E5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rPr>
        <w:b/>
        <w:color w:val="FFFFFF"/>
      </w:rPr>
      <w:tcPr>
        <w:shd w:color="auto" w:fill="0F2D3D" w:val="clear"/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2026-08-13T02:44:28Z</dcterms:created>
  <dcterms:modified xsi:type="dcterms:W3CDTF">2026-08-13T02:44:28Z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