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r>
        <w:t>doi: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DSMM_D</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9"/>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DSMM_A</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The National Environmental Satellite, Data, and Information Service (NESDIS) manages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EDS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r>
        <w:rPr>
          <w:rFonts w:ascii="Times New Roman" w:eastAsia="Times New Roman" w:hAnsi="Times New Roman" w:cs="Times New Roman"/>
          <w:sz w:val="24"/>
          <w:szCs w:val="24"/>
        </w:rPr>
        <w:t xml:space="preserve">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A51F22" w:rsidRDefault="00A51F22">
      <w:pPr>
        <w:widowControl w:val="0"/>
        <w:spacing w:line="240" w:lineRule="auto"/>
      </w:pPr>
    </w:p>
    <w:p w:rsidR="00A51F22" w:rsidRDefault="00BF22D4">
      <w:pPr>
        <w:widowControl w:val="0"/>
        <w:spacing w:line="240" w:lineRule="auto"/>
      </w:pPr>
      <w:r>
        <w:rPr>
          <w:rFonts w:ascii="Times New Roman" w:eastAsia="Times New Roman" w:hAnsi="Times New Roman" w:cs="Times New Roman"/>
          <w:b/>
          <w:color w:val="FF3333"/>
          <w:sz w:val="24"/>
          <w:szCs w:val="24"/>
        </w:rPr>
        <w:t>DSM</w:t>
      </w:r>
      <w:r w:rsidR="00506D16">
        <w:rPr>
          <w:rFonts w:ascii="Times New Roman" w:eastAsia="Times New Roman" w:hAnsi="Times New Roman" w:cs="Times New Roman"/>
          <w:b/>
          <w:color w:val="FF3333"/>
          <w:sz w:val="24"/>
          <w:szCs w:val="24"/>
        </w:rPr>
        <w:t>_AA</w:t>
      </w:r>
      <w:r w:rsidR="00377689">
        <w:br/>
      </w:r>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color w:val="FF3333"/>
          <w:sz w:val="24"/>
          <w:szCs w:val="24"/>
        </w:rPr>
        <w:t xml:space="preserve">Ionin, R., G. Peng, and K. Saha (2016), Data stewardship maturity report for </w:t>
      </w:r>
      <w:r w:rsidR="00AA521B">
        <w:rPr>
          <w:rFonts w:ascii="Times New Roman" w:eastAsia="Times New Roman" w:hAnsi="Times New Roman" w:cs="Times New Roman"/>
          <w:color w:val="FF3333"/>
          <w:sz w:val="24"/>
          <w:szCs w:val="24"/>
        </w:rPr>
        <w:t>DSMM_D</w:t>
      </w:r>
      <w:bookmarkStart w:id="0" w:name="_GoBack"/>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NOAA/NESDIS Technical Report </w:t>
      </w:r>
      <w:r>
        <w:rPr>
          <w:rFonts w:ascii="Times New Roman" w:eastAsia="Times New Roman" w:hAnsi="Times New Roman" w:cs="Times New Roman"/>
          <w:i/>
          <w:color w:val="FF0000"/>
          <w:sz w:val="24"/>
          <w:szCs w:val="24"/>
        </w:rPr>
        <w:t>XXX</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3333"/>
          <w:sz w:val="24"/>
          <w:szCs w:val="24"/>
        </w:rPr>
        <w:t>30 pp.</w:t>
      </w:r>
      <w:r>
        <w:rPr>
          <w:rFonts w:ascii="Times New Roman" w:eastAsia="Times New Roman" w:hAnsi="Times New Roman" w:cs="Times New Roman"/>
          <w:sz w:val="24"/>
          <w:szCs w:val="24"/>
        </w:rPr>
        <w:t xml:space="preserve">, 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w:t>
      </w:r>
      <w:r>
        <w:rPr>
          <w:rFonts w:ascii="Times New Roman" w:eastAsia="Times New Roman" w:hAnsi="Times New Roman" w:cs="Times New Roman"/>
          <w:sz w:val="24"/>
          <w:szCs w:val="24"/>
        </w:rPr>
        <w:t>.</w:t>
      </w:r>
    </w:p>
    <w:p w:rsidR="00A51F22" w:rsidRDefault="00F13AC9">
      <w:r>
        <w:br w:type="page"/>
      </w:r>
    </w:p>
    <w:p w:rsidR="00A51F22" w:rsidRDefault="00A51F22"/>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Contents</w:t>
      </w:r>
    </w:p>
    <w:p w:rsidR="00A51F22" w:rsidRDefault="00F13AC9">
      <w:pPr>
        <w:widowControl w:val="0"/>
        <w:spacing w:line="240" w:lineRule="auto"/>
      </w:pPr>
      <w:r>
        <w:rPr>
          <w:rFonts w:ascii="Times New Roman" w:eastAsia="Times New Roman" w:hAnsi="Times New Roman" w:cs="Times New Roman"/>
          <w:sz w:val="24"/>
          <w:szCs w:val="24"/>
        </w:rPr>
        <w:t>List of Figures ……………………………………………………………………………………</w:t>
      </w:r>
      <w:r w:rsidRPr="00F13AC9">
        <w:rPr>
          <w:rFonts w:ascii="Times New Roman" w:eastAsia="Times New Roman" w:hAnsi="Times New Roman" w:cs="Times New Roman"/>
          <w:color w:val="auto"/>
          <w:sz w:val="24"/>
          <w:szCs w:val="24"/>
        </w:rPr>
        <w:t>6</w:t>
      </w:r>
    </w:p>
    <w:p w:rsidR="00A51F22" w:rsidRDefault="00F13AC9">
      <w:pPr>
        <w:widowControl w:val="0"/>
        <w:spacing w:line="240" w:lineRule="auto"/>
      </w:pPr>
      <w:r>
        <w:rPr>
          <w:rFonts w:ascii="Times New Roman" w:eastAsia="Times New Roman" w:hAnsi="Times New Roman" w:cs="Times New Roman"/>
          <w:sz w:val="24"/>
          <w:szCs w:val="24"/>
        </w:rPr>
        <w:t>List of Tables ……………………………………………………………………………………..</w:t>
      </w:r>
      <w:r w:rsidRPr="00F13AC9">
        <w:rPr>
          <w:rFonts w:ascii="Times New Roman" w:eastAsia="Times New Roman" w:hAnsi="Times New Roman" w:cs="Times New Roman"/>
          <w:color w:val="auto"/>
          <w:sz w:val="24"/>
          <w:szCs w:val="24"/>
        </w:rPr>
        <w:t>7</w:t>
      </w:r>
    </w:p>
    <w:p w:rsidR="00A51F22" w:rsidRDefault="00F13AC9">
      <w:pPr>
        <w:widowControl w:val="0"/>
        <w:spacing w:line="240" w:lineRule="auto"/>
      </w:pPr>
      <w:r>
        <w:rPr>
          <w:rFonts w:ascii="Times New Roman" w:eastAsia="Times New Roman" w:hAnsi="Times New Roman" w:cs="Times New Roman"/>
          <w:sz w:val="24"/>
          <w:szCs w:val="24"/>
        </w:rPr>
        <w:t>Preface ……………………………………………………………………………………………</w:t>
      </w:r>
      <w:r w:rsidRPr="00F13AC9">
        <w:rPr>
          <w:rFonts w:ascii="Times New Roman" w:eastAsia="Times New Roman" w:hAnsi="Times New Roman" w:cs="Times New Roman"/>
          <w:color w:val="auto"/>
          <w:sz w:val="24"/>
          <w:szCs w:val="24"/>
        </w:rPr>
        <w:t>8</w:t>
      </w:r>
    </w:p>
    <w:p w:rsidR="00A51F22" w:rsidRDefault="00F13AC9">
      <w:pPr>
        <w:widowControl w:val="0"/>
        <w:spacing w:line="240" w:lineRule="auto"/>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Results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Summary………………………………………………………………………………......2</w:t>
      </w:r>
    </w:p>
    <w:p w:rsidR="00A51F22" w:rsidRDefault="00F13AC9">
      <w:pPr>
        <w:widowControl w:val="0"/>
        <w:spacing w:line="240" w:lineRule="auto"/>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Acknowledgment ……………………………………………………………………...</w:t>
      </w:r>
      <w:r>
        <w:rPr>
          <w:rFonts w:ascii="Times New Roman" w:eastAsia="Times New Roman" w:hAnsi="Times New Roman" w:cs="Times New Roman"/>
          <w:color w:val="FF3333"/>
          <w:sz w:val="24"/>
          <w:szCs w:val="24"/>
        </w:rPr>
        <w:t>...</w:t>
      </w:r>
      <w:r w:rsidRPr="00F13AC9">
        <w:rPr>
          <w:rFonts w:ascii="Times New Roman" w:eastAsia="Times New Roman" w:hAnsi="Times New Roman" w:cs="Times New Roman"/>
          <w:color w:val="auto"/>
          <w:sz w:val="24"/>
          <w:szCs w:val="24"/>
        </w:rPr>
        <w:t>16</w:t>
      </w:r>
    </w:p>
    <w:p w:rsidR="00A51F22" w:rsidRDefault="00F13AC9">
      <w:pPr>
        <w:widowControl w:val="0"/>
        <w:spacing w:line="240" w:lineRule="auto"/>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References………………………….……….…….……………………………………...</w:t>
      </w:r>
      <w:r w:rsidRPr="00F13AC9">
        <w:rPr>
          <w:rFonts w:ascii="Times New Roman" w:eastAsia="Times New Roman" w:hAnsi="Times New Roman" w:cs="Times New Roman"/>
          <w:color w:val="auto"/>
          <w:sz w:val="24"/>
          <w:szCs w:val="24"/>
        </w:rPr>
        <w:t>17</w:t>
      </w: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Figures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Figure 1.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Tables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Table 1.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Dataset and Data Stewardship Maturity Assessment Metadata.</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highlight w:val="white"/>
        </w:rPr>
        <w:t xml:space="preserve">Table 2.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Preface</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OneStop supports NOAA's efforts by leveraging existing access technologies and infusing specific innovations to provide improved discover, access, and visualization services for NOAA's data. Also, OneStop is viewed by a NESDIS as a pathfinder effort with an initial focus on selected high-priority datasets from NESDIS and other program data meeting OneStop standards, but eventually scalable across NOAA's data. Lastly, OneStop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1" w:name="_gjdgxs" w:colFirst="0" w:colLast="0"/>
      <w:bookmarkEnd w:id="1"/>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 Introduction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DSMM_D</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OneStop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1.3 Dataset Outline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{DSMM_DATASET_ABSTRACT}</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1">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2. Results</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highlight w:val="white"/>
        </w:rPr>
        <w:t>Dataset and Data Stewardship Maturity Assessment Metadata.</w:t>
      </w:r>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DSMM_E</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DSMM_F</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DSMM_G</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DSMM_H</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DSMM_J</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DSMM_M</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(v&lt;nn&gt;r&lt;mm&gt;,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DSMM_K</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DSMM_L</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DSMM_O/DSMM_P/DSMM_Q/DSMM_R/DSMM_S/DSMM_T/DSMM_U/DSMM_V/DSMM_W</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DSMM_X</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 xml:space="preserve">SMM Original </w:t>
            </w:r>
            <w:r w:rsidRPr="002D039A">
              <w:rPr>
                <w:rFonts w:ascii="Times New Roman" w:eastAsia="Times New Roman" w:hAnsi="Times New Roman" w:cs="Times New Roman"/>
                <w:b/>
                <w:sz w:val="24"/>
                <w:szCs w:val="24"/>
              </w:rPr>
              <w:lastRenderedPageBreak/>
              <w:t>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lastRenderedPageBreak/>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2"/>
          <w:pgSz w:w="12240" w:h="15840"/>
          <w:pgMar w:top="1440" w:right="1440" w:bottom="1440" w:left="1440" w:header="720" w:footer="720" w:gutter="0"/>
          <w:pgNumType w:start="1"/>
          <w:cols w:space="720"/>
          <w:titlePg/>
        </w:sectPr>
      </w:pPr>
    </w:p>
    <w:p w:rsidR="00A51F22" w:rsidRDefault="00F13AC9">
      <w:pPr>
        <w:spacing w:line="240" w:lineRule="auto"/>
      </w:pPr>
      <w:r>
        <w:rPr>
          <w:rFonts w:ascii="Times New Roman" w:eastAsia="Times New Roman" w:hAnsi="Times New Roman" w:cs="Times New Roman"/>
          <w:sz w:val="24"/>
          <w:szCs w:val="24"/>
          <w:highlight w:val="white"/>
        </w:rPr>
        <w:lastRenderedPageBreak/>
        <w:t xml:space="preserve">Table 2. 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Preservabilty</w:t>
            </w:r>
            <w:r>
              <w:rPr>
                <w:rFonts w:ascii="Times New Roman" w:eastAsia="Times New Roman" w:hAnsi="Times New Roman" w:cs="Times New Roman"/>
                <w:i/>
              </w:rPr>
              <w:br/>
            </w:r>
            <w:r>
              <w:rPr>
                <w:rFonts w:ascii="Times New Roman" w:eastAsia="Times New Roman" w:hAnsi="Times New Roman" w:cs="Times New Roman"/>
                <w:i/>
              </w:rPr>
              <w:br/>
              <w:t>(The state of being preservable)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DSMM_O</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DSM_AE</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DSM_AO</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DSMM_P</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DSM_AF</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DSM_AP</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DSMM_Q</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DSM_AG</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DSM_AQ</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DSMM_R</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DSM_AH</w:t>
            </w:r>
          </w:p>
          <w:p w:rsidR="00A51F22" w:rsidRDefault="00AA521B" w:rsidP="00D531C8">
            <w:pPr>
              <w:keepNext w:val="0"/>
              <w:widowControl w:val="0"/>
              <w:spacing w:line="288" w:lineRule="auto"/>
              <w:rPr>
                <w:color w:val="FF0000"/>
              </w:rPr>
            </w:pPr>
            <w:hyperlink r:id="rId13"/>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DSM_AR</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DSMM_S</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DSM_AI</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DSM_AS</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2" w:name="3znysh7" w:colFirst="0" w:colLast="0"/>
            <w:bookmarkEnd w:id="2"/>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DSMM_T</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DSM_AJ</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DSM_AT</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DSMM_U</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DSM_AK</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DSM_AU</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DSMM_V</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DSM_AL</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DSM_AV</w:t>
            </w:r>
            <w:r>
              <w:t xml:space="preserve"> </w:t>
            </w:r>
            <w:hyperlink r:id="rId14"/>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DSMM_W</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3" w:name="3dy6vkm" w:colFirst="0" w:colLast="0"/>
            <w:bookmarkEnd w:id="3"/>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DSM_AM</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4" w:name="1t3h5sf" w:colFirst="0" w:colLast="0"/>
            <w:bookmarkEnd w:id="4"/>
          </w:p>
          <w:p w:rsidR="00A51F22" w:rsidRDefault="003D24E3" w:rsidP="003D24E3">
            <w:pPr>
              <w:keepNext w:val="0"/>
              <w:widowControl w:val="0"/>
              <w:spacing w:line="240" w:lineRule="auto"/>
            </w:pPr>
            <w:r>
              <w:rPr>
                <w:rFonts w:ascii="Times New Roman" w:hAnsi="Times New Roman" w:cs="Times New Roman"/>
                <w:color w:val="FF0000"/>
              </w:rPr>
              <w:t>DSM_AW</w:t>
            </w:r>
            <w:r>
              <w:t xml:space="preserve"> </w:t>
            </w:r>
            <w:hyperlink r:id="rId15"/>
          </w:p>
        </w:tc>
      </w:tr>
    </w:tbl>
    <w:p w:rsidR="00A51F22" w:rsidRDefault="00AA521B">
      <w:hyperlink r:id="rId16"/>
    </w:p>
    <w:p w:rsidR="00A51F22" w:rsidRDefault="00AA521B">
      <w:pPr>
        <w:spacing w:line="240" w:lineRule="auto"/>
      </w:pPr>
      <w:hyperlink r:id="rId17"/>
    </w:p>
    <w:p w:rsidR="00A51F22" w:rsidRDefault="00AA521B">
      <w:pPr>
        <w:spacing w:line="240" w:lineRule="auto"/>
      </w:pPr>
      <w:hyperlink r:id="rId18"/>
    </w:p>
    <w:p w:rsidR="00A51F22" w:rsidRDefault="00AA521B">
      <w:pPr>
        <w:spacing w:line="240" w:lineRule="auto"/>
      </w:pPr>
      <w:hyperlink r:id="rId19"/>
    </w:p>
    <w:p w:rsidR="00A51F22" w:rsidRDefault="00AA521B">
      <w:pPr>
        <w:spacing w:line="240" w:lineRule="auto"/>
      </w:pPr>
      <w:hyperlink r:id="rId20"/>
    </w:p>
    <w:p w:rsidR="00A51F22" w:rsidRDefault="00F13AC9">
      <w:r>
        <w:br w:type="page"/>
      </w:r>
    </w:p>
    <w:p w:rsidR="00A51F22" w:rsidRDefault="00AA521B">
      <w:pPr>
        <w:keepNext w:val="0"/>
        <w:widowControl w:val="0"/>
        <w:sectPr w:rsidR="00A51F22">
          <w:type w:val="continuous"/>
          <w:pgSz w:w="12240" w:h="15840"/>
          <w:pgMar w:top="1440" w:right="1440" w:bottom="1440" w:left="1440" w:header="720" w:footer="720" w:gutter="0"/>
          <w:cols w:space="720"/>
        </w:sectPr>
      </w:pPr>
      <w:hyperlink r:id="rId21"/>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2"/>
                    <a:srcRect/>
                    <a:stretch>
                      <a:fillRect/>
                    </a:stretch>
                  </pic:blipFill>
                  <pic:spPr>
                    <a:xfrm>
                      <a:off x="0" y="0"/>
                      <a:ext cx="5943600" cy="3848100"/>
                    </a:xfrm>
                    <a:prstGeom prst="rect">
                      <a:avLst/>
                    </a:prstGeom>
                    <a:ln/>
                  </pic:spPr>
                </pic:pic>
              </a:graphicData>
            </a:graphic>
          </wp:inline>
        </w:drawing>
      </w:r>
      <w:hyperlink r:id="rId23"/>
    </w:p>
    <w:p w:rsidR="00A51F22" w:rsidRDefault="00AA521B">
      <w:pPr>
        <w:widowControl w:val="0"/>
        <w:spacing w:line="240" w:lineRule="auto"/>
      </w:pPr>
      <w:hyperlink r:id="rId24"/>
    </w:p>
    <w:p w:rsidR="00A51F22" w:rsidRDefault="00F13AC9">
      <w:pPr>
        <w:widowControl w:val="0"/>
        <w:spacing w:line="240" w:lineRule="auto"/>
      </w:pPr>
      <w:r>
        <w:rPr>
          <w:rFonts w:ascii="Times New Roman" w:eastAsia="Times New Roman" w:hAnsi="Times New Roman" w:cs="Times New Roman"/>
          <w:sz w:val="24"/>
          <w:szCs w:val="24"/>
        </w:rPr>
        <w:t xml:space="preserve">Figure 1.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 xml:space="preserve">Acknowledgment </w:t>
      </w:r>
      <w:r>
        <w:rPr>
          <w:rFonts w:ascii="Times New Roman" w:eastAsia="Times New Roman" w:hAnsi="Times New Roman" w:cs="Times New Roman"/>
          <w:b/>
          <w:i/>
          <w:sz w:val="24"/>
          <w:szCs w:val="24"/>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This work is supported by NOAA OneStop Project. We thank beneficial input from dataset POC(s) and collaborative effort by OneStop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The draft of this data stewardship maturity report is systematically generated by a tool created  by Sonny Zinn, and populated with the stewardship maturity assessment done by the author(s) of this report. The tool was developed based on a Word template created collaboratively by Robert Partee II, Raisa Ionin,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 xml:space="preserve">References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Lawrimore, V. Toner, C. Lief , R. Baldwin, N. Ritchey, D. Brinegar, and S. A. Delgreco (2016) Assessing Stewardship Maturity of the Global Historical Climatology Network-Monthly (GHCN-M) Dataset: Use Case Study and Lessons Learned. </w:t>
      </w:r>
      <w:r w:rsidRPr="00B91302">
        <w:rPr>
          <w:rFonts w:ascii="Times New Roman" w:eastAsia="Times New Roman" w:hAnsi="Times New Roman" w:cs="Times New Roman"/>
          <w:i/>
          <w:color w:val="auto"/>
          <w:sz w:val="24"/>
          <w:szCs w:val="24"/>
        </w:rPr>
        <w:t xml:space="preserve">D.-Lib Magazine.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doi:10.1045/november2016-peng.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(The state of being preservable)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Basic capability (e.g., subsetting,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Changes for echnology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(e.g,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AA521B">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5132"/>
    <w:rsid w:val="0011265D"/>
    <w:rsid w:val="00377689"/>
    <w:rsid w:val="003D24E3"/>
    <w:rsid w:val="004109E7"/>
    <w:rsid w:val="004E650A"/>
    <w:rsid w:val="00506D16"/>
    <w:rsid w:val="00613EB9"/>
    <w:rsid w:val="006537D4"/>
    <w:rsid w:val="006F0297"/>
    <w:rsid w:val="00896BB1"/>
    <w:rsid w:val="00952EDB"/>
    <w:rsid w:val="00A51F22"/>
    <w:rsid w:val="00AA521B"/>
    <w:rsid w:val="00B91302"/>
    <w:rsid w:val="00BB6D7A"/>
    <w:rsid w:val="00BF22D4"/>
    <w:rsid w:val="00D531C8"/>
    <w:rsid w:val="00E30F6D"/>
    <w:rsid w:val="00E96385"/>
    <w:rsid w:val="00EC2F68"/>
    <w:rsid w:val="00F13AC9"/>
    <w:rsid w:val="00FB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nodc.noaa.gov/cgi-bin/iso?id=gov.noaa.nodc:GHRSST-NCDC-L4LRblend-GLOB-AVHRR_AMSR_OI" TargetMode="External"/><Relationship Id="rId18" Type="http://schemas.openxmlformats.org/officeDocument/2006/relationships/hyperlink" Target="http://podaac-ftp.jpl.nasa.gov/allData/ghrsst/data/L4/GLOB/NCDC/AVHRR_AMSR_OI/2002/15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podaac-ftp.jpl.nasa.gov/allData/ghrsst/data/L4/GLOB/NCDC/AVHRR_AMSR_OI/2002/15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podaac-ftp.jpl.nasa.gov/allData/ghrsst/data/L4/GLOB/NCDC/AVHRR_AMSR_OI/2002/1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dc.noaa.gov/" TargetMode="External"/><Relationship Id="rId24" Type="http://schemas.openxmlformats.org/officeDocument/2006/relationships/hyperlink" Target="http://podaac-ftp.jpl.nasa.gov/allData/ghrsst/data/L4/GLOB/NCDC/AVHRR_AMSR_OI/2002/152/" TargetMode="External"/><Relationship Id="rId5" Type="http://schemas.openxmlformats.org/officeDocument/2006/relationships/webSettings" Target="webSettings.xml"/><Relationship Id="rId15" Type="http://schemas.openxmlformats.org/officeDocument/2006/relationships/hyperlink" Target="http://podaac-ftp.jpl.nasa.gov/allData/ghrsst/data/L4/GLOB/NCDC/AVHRR_AMSR_OI/2002/152/" TargetMode="External"/><Relationship Id="rId23" Type="http://schemas.openxmlformats.org/officeDocument/2006/relationships/hyperlink" Target="http://podaac-ftp.jpl.nasa.gov/allData/ghrsst/data/L4/GLOB/NCDC/AVHRR_AMSR_OI/2002/152/" TargetMode="External"/><Relationship Id="rId10" Type="http://schemas.openxmlformats.org/officeDocument/2006/relationships/image" Target="media/image3.png"/><Relationship Id="rId19" Type="http://schemas.openxmlformats.org/officeDocument/2006/relationships/hyperlink" Target="http://podaac-ftp.jpl.nasa.gov/allData/ghrsst/data/L4/GLOB/NCDC/AVHRR_AMSR_OI/2002/1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daac.jpl.nasa.gov/dataset/NCDC-L4LRblend-GLOB-AVHRR_AMSR_OI?ids=Collections:ProcessingLevel&amp;values=GHRSST:*4*"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21</Pages>
  <Words>2814</Words>
  <Characters>16040</Characters>
  <Application>Microsoft Office Word</Application>
  <DocSecurity>0</DocSecurity>
  <Lines>133</Lines>
  <Paragraphs>37</Paragraphs>
  <ScaleCrop>false</ScaleCrop>
  <Company/>
  <LinksUpToDate>false</LinksUpToDate>
  <CharactersWithSpaces>18817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NODC USER</cp:lastModifiedBy>
  <cp:revision>22</cp:revision>
  <dcterms:created xsi:type="dcterms:W3CDTF">2016-12-15T19:31:00Z</dcterms:created>
  <dcterms:modified xsi:type="dcterms:W3CDTF">2016-12-15T20:50:00Z</dcterms:modified>
</cp:coreProperties>
</file>