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DC39" w14:textId="77777777" w:rsidR="00770044" w:rsidRPr="00770044" w:rsidRDefault="00770044" w:rsidP="00770044">
      <w:pPr>
        <w:spacing w:line="480" w:lineRule="auto"/>
        <w:rPr>
          <w:rFonts w:ascii="Times New Roman" w:hAnsi="Times New Roman" w:cs="Times New Roman"/>
        </w:rPr>
      </w:pPr>
    </w:p>
    <w:p w14:paraId="3411F031" w14:textId="77777777" w:rsidR="00770044" w:rsidRPr="0030066A" w:rsidRDefault="00770044" w:rsidP="00770044">
      <w:pPr>
        <w:spacing w:line="480" w:lineRule="auto"/>
        <w:rPr>
          <w:rFonts w:ascii="Times New Roman" w:hAnsi="Times New Roman" w:cs="Times New Roman"/>
          <w:b/>
          <w:bCs/>
        </w:rPr>
      </w:pPr>
    </w:p>
    <w:p w14:paraId="1D188F84" w14:textId="542ED910" w:rsidR="00770044" w:rsidRPr="0030066A" w:rsidRDefault="00770044" w:rsidP="00770044">
      <w:pPr>
        <w:spacing w:line="480" w:lineRule="auto"/>
        <w:jc w:val="center"/>
        <w:rPr>
          <w:rFonts w:ascii="Times New Roman" w:hAnsi="Times New Roman" w:cs="Times New Roman"/>
          <w:b/>
          <w:bCs/>
        </w:rPr>
      </w:pPr>
      <w:r w:rsidRPr="0030066A">
        <w:rPr>
          <w:rFonts w:ascii="Times New Roman" w:hAnsi="Times New Roman" w:cs="Times New Roman"/>
          <w:b/>
          <w:bCs/>
        </w:rPr>
        <w:t>STAT 519/619 Final Project: Temporal Bias in Deadline-Style Prediction Markets using Polymarket</w:t>
      </w:r>
    </w:p>
    <w:p w14:paraId="0AED4BD8" w14:textId="0A32DCF7" w:rsidR="00770044" w:rsidRDefault="00770044" w:rsidP="00770044">
      <w:pPr>
        <w:spacing w:line="480" w:lineRule="auto"/>
        <w:jc w:val="center"/>
        <w:rPr>
          <w:rFonts w:ascii="Times New Roman" w:hAnsi="Times New Roman" w:cs="Times New Roman"/>
        </w:rPr>
      </w:pPr>
      <w:r>
        <w:rPr>
          <w:rFonts w:ascii="Times New Roman" w:hAnsi="Times New Roman" w:cs="Times New Roman"/>
        </w:rPr>
        <w:t>Jamie Sanson, Tyrell Jaques</w:t>
      </w:r>
      <w:r>
        <w:rPr>
          <w:rFonts w:ascii="Times New Roman" w:hAnsi="Times New Roman" w:cs="Times New Roman"/>
        </w:rPr>
        <w:br/>
        <w:t xml:space="preserve">30071105, </w:t>
      </w:r>
      <w:r w:rsidR="000E1CB0">
        <w:rPr>
          <w:rFonts w:ascii="Times New Roman" w:hAnsi="Times New Roman" w:cs="Times New Roman"/>
        </w:rPr>
        <w:t>30019579</w:t>
      </w:r>
      <w:r>
        <w:rPr>
          <w:rFonts w:ascii="Times New Roman" w:hAnsi="Times New Roman" w:cs="Times New Roman"/>
        </w:rPr>
        <w:br/>
        <w:t>Dr. Haixu Wang</w:t>
      </w:r>
      <w:r>
        <w:rPr>
          <w:rFonts w:ascii="Times New Roman" w:hAnsi="Times New Roman" w:cs="Times New Roman"/>
        </w:rPr>
        <w:br/>
        <w:t>April 2026</w:t>
      </w:r>
      <w:r>
        <w:rPr>
          <w:rFonts w:ascii="Times New Roman" w:hAnsi="Times New Roman" w:cs="Times New Roman"/>
        </w:rPr>
        <w:br/>
      </w:r>
    </w:p>
    <w:p w14:paraId="6B7F2426" w14:textId="48BC832B" w:rsidR="00770044" w:rsidRPr="00770044" w:rsidRDefault="00C24DDB" w:rsidP="00C24DDB">
      <w:pPr>
        <w:spacing w:line="480" w:lineRule="auto"/>
        <w:rPr>
          <w:rFonts w:ascii="Times New Roman" w:hAnsi="Times New Roman" w:cs="Times New Roman"/>
        </w:rPr>
      </w:pPr>
      <w:r w:rsidRPr="00C24DDB">
        <w:rPr>
          <w:rFonts w:ascii="Times New Roman" w:hAnsi="Times New Roman" w:cs="Times New Roman"/>
          <w:b/>
          <w:bCs/>
        </w:rPr>
        <w:t>AI-Use Disclaimer</w:t>
      </w:r>
      <w:r>
        <w:rPr>
          <w:rFonts w:ascii="Times New Roman" w:hAnsi="Times New Roman" w:cs="Times New Roman"/>
        </w:rPr>
        <w:t xml:space="preserve">: AI </w:t>
      </w:r>
      <w:r w:rsidR="00F24737" w:rsidRPr="00F24737">
        <w:rPr>
          <w:rFonts w:ascii="Times New Roman" w:hAnsi="Times New Roman" w:cs="Times New Roman"/>
        </w:rPr>
        <w:t>was used as a coding assistant while developing parts of the SQL and Python workflow and as an editing aid for early report structuring. All SQL queries were executed locally by us, and all numerical results and plots reported in this document come from the actual database outputs and model runs. We reviewed and edited any AI-assisted text for accuracy and consistency with the implemented code</w:t>
      </w:r>
      <w:r w:rsidR="00473583">
        <w:rPr>
          <w:rFonts w:ascii="Times New Roman" w:hAnsi="Times New Roman" w:cs="Times New Roman"/>
        </w:rPr>
        <w:t>. Moreover, a</w:t>
      </w:r>
      <w:r w:rsidR="00473583" w:rsidRPr="00B35D73">
        <w:rPr>
          <w:rFonts w:ascii="Times New Roman" w:hAnsi="Times New Roman" w:cs="Times New Roman"/>
        </w:rPr>
        <w:t>s required by the course policy, we maintain</w:t>
      </w:r>
      <w:r w:rsidR="00473583">
        <w:rPr>
          <w:rFonts w:ascii="Times New Roman" w:hAnsi="Times New Roman" w:cs="Times New Roman"/>
        </w:rPr>
        <w:t>ed</w:t>
      </w:r>
      <w:r w:rsidR="00473583" w:rsidRPr="00B35D73">
        <w:rPr>
          <w:rFonts w:ascii="Times New Roman" w:hAnsi="Times New Roman" w:cs="Times New Roman"/>
        </w:rPr>
        <w:t xml:space="preserve"> a verbatim record of the prompts used to generate text </w:t>
      </w:r>
      <w:r>
        <w:rPr>
          <w:rFonts w:ascii="Times New Roman" w:hAnsi="Times New Roman" w:cs="Times New Roman"/>
        </w:rPr>
        <w:t>and</w:t>
      </w:r>
      <w:r w:rsidR="00473583" w:rsidRPr="00B35D73">
        <w:rPr>
          <w:rFonts w:ascii="Times New Roman" w:hAnsi="Times New Roman" w:cs="Times New Roman"/>
        </w:rPr>
        <w:t xml:space="preserve"> code</w:t>
      </w:r>
      <w:r>
        <w:rPr>
          <w:rFonts w:ascii="Times New Roman" w:hAnsi="Times New Roman" w:cs="Times New Roman"/>
        </w:rPr>
        <w:t>.</w:t>
      </w:r>
    </w:p>
    <w:p w14:paraId="76659CD5" w14:textId="77777777" w:rsidR="00770044" w:rsidRPr="00770044" w:rsidRDefault="00770044" w:rsidP="00770044">
      <w:pPr>
        <w:spacing w:line="480" w:lineRule="auto"/>
        <w:rPr>
          <w:rFonts w:ascii="Times New Roman" w:hAnsi="Times New Roman" w:cs="Times New Roman"/>
        </w:rPr>
      </w:pPr>
    </w:p>
    <w:p w14:paraId="01EB50A8" w14:textId="77777777" w:rsidR="00770044" w:rsidRPr="00770044" w:rsidRDefault="00770044" w:rsidP="00770044">
      <w:pPr>
        <w:spacing w:line="480" w:lineRule="auto"/>
        <w:rPr>
          <w:rFonts w:ascii="Times New Roman" w:hAnsi="Times New Roman" w:cs="Times New Roman"/>
        </w:rPr>
      </w:pPr>
    </w:p>
    <w:p w14:paraId="0489CAAB" w14:textId="77777777" w:rsidR="00770044" w:rsidRPr="00770044" w:rsidRDefault="00770044" w:rsidP="00770044">
      <w:pPr>
        <w:spacing w:line="480" w:lineRule="auto"/>
        <w:rPr>
          <w:rFonts w:ascii="Times New Roman" w:hAnsi="Times New Roman" w:cs="Times New Roman"/>
        </w:rPr>
      </w:pPr>
    </w:p>
    <w:p w14:paraId="2B3D2307" w14:textId="77777777" w:rsidR="00770044" w:rsidRPr="00770044" w:rsidRDefault="00770044" w:rsidP="00770044">
      <w:pPr>
        <w:spacing w:line="480" w:lineRule="auto"/>
        <w:rPr>
          <w:rFonts w:ascii="Times New Roman" w:hAnsi="Times New Roman" w:cs="Times New Roman"/>
        </w:rPr>
      </w:pPr>
    </w:p>
    <w:p w14:paraId="307A1D6A" w14:textId="77777777" w:rsidR="00770044" w:rsidRPr="00770044" w:rsidRDefault="00770044" w:rsidP="00770044">
      <w:pPr>
        <w:spacing w:line="480" w:lineRule="auto"/>
        <w:rPr>
          <w:rFonts w:ascii="Times New Roman" w:hAnsi="Times New Roman" w:cs="Times New Roman"/>
        </w:rPr>
      </w:pPr>
    </w:p>
    <w:p w14:paraId="12158082" w14:textId="77777777" w:rsidR="00770044" w:rsidRPr="00770044" w:rsidRDefault="00770044" w:rsidP="00770044">
      <w:pPr>
        <w:spacing w:line="480" w:lineRule="auto"/>
        <w:rPr>
          <w:rFonts w:ascii="Times New Roman" w:hAnsi="Times New Roman" w:cs="Times New Roman"/>
        </w:rPr>
      </w:pPr>
    </w:p>
    <w:p w14:paraId="504FF294" w14:textId="77777777" w:rsidR="00770044" w:rsidRPr="00770044" w:rsidRDefault="00770044" w:rsidP="00770044">
      <w:pPr>
        <w:spacing w:line="480" w:lineRule="auto"/>
        <w:rPr>
          <w:rFonts w:ascii="Times New Roman" w:hAnsi="Times New Roman" w:cs="Times New Roman"/>
        </w:rPr>
      </w:pPr>
    </w:p>
    <w:p w14:paraId="64B3428C" w14:textId="77777777" w:rsidR="00E34408" w:rsidRDefault="00E34408" w:rsidP="00770044">
      <w:pPr>
        <w:spacing w:line="480" w:lineRule="auto"/>
        <w:jc w:val="center"/>
        <w:rPr>
          <w:rFonts w:ascii="Times New Roman" w:hAnsi="Times New Roman" w:cs="Times New Roman"/>
          <w:b/>
          <w:bCs/>
        </w:rPr>
      </w:pPr>
    </w:p>
    <w:p w14:paraId="6118438B" w14:textId="2D59AF9F" w:rsidR="00770044" w:rsidRPr="002E43E6" w:rsidRDefault="00770044" w:rsidP="00770044">
      <w:pPr>
        <w:spacing w:line="480" w:lineRule="auto"/>
        <w:jc w:val="center"/>
        <w:rPr>
          <w:rFonts w:ascii="Times New Roman" w:hAnsi="Times New Roman" w:cs="Times New Roman"/>
          <w:b/>
          <w:bCs/>
        </w:rPr>
      </w:pPr>
      <w:r w:rsidRPr="002E43E6">
        <w:rPr>
          <w:rFonts w:ascii="Times New Roman" w:hAnsi="Times New Roman" w:cs="Times New Roman"/>
          <w:b/>
          <w:bCs/>
        </w:rPr>
        <w:lastRenderedPageBreak/>
        <w:t>Introduction</w:t>
      </w:r>
    </w:p>
    <w:p w14:paraId="5F3B3A75" w14:textId="41A24898" w:rsidR="00B35D73" w:rsidRPr="00B35D73" w:rsidRDefault="00B35D73" w:rsidP="00B35D73">
      <w:pPr>
        <w:spacing w:line="480" w:lineRule="auto"/>
        <w:ind w:firstLine="720"/>
        <w:rPr>
          <w:rFonts w:ascii="Times New Roman" w:hAnsi="Times New Roman" w:cs="Times New Roman"/>
        </w:rPr>
      </w:pPr>
      <w:r w:rsidRPr="00B35D73">
        <w:rPr>
          <w:rFonts w:ascii="Times New Roman" w:hAnsi="Times New Roman" w:cs="Times New Roman"/>
        </w:rPr>
        <w:t xml:space="preserve">Polymarket is a prediction market platform where contracts pay $1 if an event occurs and $0 otherwise. In most markets, the “YES” token price trades between 0 and 1 and is commonly interpreted as an implied probability. </w:t>
      </w:r>
      <w:r w:rsidR="004270D5" w:rsidRPr="004270D5">
        <w:rPr>
          <w:rFonts w:ascii="Times New Roman" w:hAnsi="Times New Roman" w:cs="Times New Roman"/>
        </w:rPr>
        <w:t>A subset of Polymarket questions are deadline-style markets, meaning they ask whether an event will occur by a specified time (for example, “Will X happen by April 30?”). These markets are useful because they naturally create a time axis: the same underlying event can be priced repeatedly when the deadline is far away and then repriced as the deadline approaches</w:t>
      </w:r>
      <w:r w:rsidRPr="00B35D73">
        <w:rPr>
          <w:rFonts w:ascii="Times New Roman" w:hAnsi="Times New Roman" w:cs="Times New Roman"/>
        </w:rPr>
        <w:t>.</w:t>
      </w:r>
    </w:p>
    <w:p w14:paraId="129A348A" w14:textId="77777777" w:rsidR="00C94742" w:rsidRDefault="00C94742" w:rsidP="009F2DAE">
      <w:pPr>
        <w:spacing w:line="480" w:lineRule="auto"/>
        <w:rPr>
          <w:rFonts w:ascii="Times New Roman" w:hAnsi="Times New Roman" w:cs="Times New Roman"/>
        </w:rPr>
      </w:pPr>
      <w:r w:rsidRPr="00C94742">
        <w:rPr>
          <w:rFonts w:ascii="Times New Roman" w:hAnsi="Times New Roman" w:cs="Times New Roman"/>
        </w:rPr>
        <w:t>A natural question in deadline markets is whether the market’s implied timing dynamics change with horizon. Even if the headline YES price is stable or drifts slightly downward, the same price level implies a very different “arrival rate” when there are 30 days left versus 1 day left. That is the core motivation for analyzing term structure in implied hazard rather than only modeling the probability level. A second motivation comes from behavioral work on time preferences: standard models such as hyperbolic discounting describe systematic differences in how people weight near-term versus long-term outcomes (Frederick, Loewenstein, &amp; O’Donoghue, 2002). In markets, horizon effects could reflect behavioral time weighting, attention and information arrival near deadlines, or purely mechanical consequences of rescaling probabilities by remaining time. The point of this project is not to attribute the mechanism definitively, but to measure whether a systematic horizon effect exists and to quantify its magnitude with uncertainty.</w:t>
      </w:r>
    </w:p>
    <w:p w14:paraId="15A668C2" w14:textId="29F40CC2" w:rsidR="0013774A" w:rsidRDefault="0013774A" w:rsidP="0013774A">
      <w:pPr>
        <w:spacing w:line="480" w:lineRule="auto"/>
        <w:rPr>
          <w:rFonts w:ascii="Times New Roman" w:hAnsi="Times New Roman" w:cs="Times New Roman"/>
          <w:b/>
          <w:bCs/>
        </w:rPr>
      </w:pPr>
      <w:r>
        <w:rPr>
          <w:rFonts w:ascii="Times New Roman" w:hAnsi="Times New Roman" w:cs="Times New Roman"/>
          <w:b/>
          <w:bCs/>
        </w:rPr>
        <w:t>Existing Methods</w:t>
      </w:r>
    </w:p>
    <w:p w14:paraId="6CF32651" w14:textId="39F86E60" w:rsidR="0002414D" w:rsidRDefault="0002414D" w:rsidP="00AC212D">
      <w:pPr>
        <w:spacing w:line="480" w:lineRule="auto"/>
        <w:rPr>
          <w:rFonts w:ascii="Times New Roman" w:hAnsi="Times New Roman" w:cs="Times New Roman"/>
        </w:rPr>
      </w:pPr>
      <w:r w:rsidRPr="0002414D">
        <w:rPr>
          <w:rFonts w:ascii="Times New Roman" w:hAnsi="Times New Roman" w:cs="Times New Roman"/>
        </w:rPr>
        <w:t>Most empirical work on prediction markets treats the YES price as an estimate of an underlying probability and models that probability directly as a function of time-to-deadline, for example with logistic regression or other generalized linear models. An alternative framing treats resolution as an arrival-time process and converts prices into an implied hazard rate using a survival-style mapping</w:t>
      </w:r>
      <w:r w:rsidR="006C4A09">
        <w:rPr>
          <w:rFonts w:ascii="Times New Roman" w:hAnsi="Times New Roman" w:cs="Times New Roman"/>
        </w:rPr>
        <w:t xml:space="preserve"> </w:t>
      </w:r>
      <w:r w:rsidR="006C4A09" w:rsidRPr="006C4A09">
        <w:rPr>
          <w:rFonts w:ascii="Times New Roman" w:hAnsi="Times New Roman" w:cs="Times New Roman"/>
        </w:rPr>
        <w:t>(Wolfers &amp; Zitzewitz, 2004)</w:t>
      </w:r>
      <w:r w:rsidRPr="0002414D">
        <w:rPr>
          <w:rFonts w:ascii="Times New Roman" w:hAnsi="Times New Roman" w:cs="Times New Roman"/>
        </w:rPr>
        <w:t xml:space="preserve">. The hazard framing is useful here because it separates the level of the probability from the time remaining: the same price implies very different short-horizon dynamics when there are 30 days left versus 1 day left. Our approach combines that </w:t>
      </w:r>
      <w:r w:rsidRPr="0002414D">
        <w:rPr>
          <w:rFonts w:ascii="Times New Roman" w:hAnsi="Times New Roman" w:cs="Times New Roman"/>
        </w:rPr>
        <w:lastRenderedPageBreak/>
        <w:t>mapping with a hierarchical model so we can estimate a shared horizon effect while controlling for large event-to-event differences in baseline rates.</w:t>
      </w:r>
      <w:r w:rsidRPr="0002414D">
        <w:rPr>
          <w:rFonts w:ascii="Times New Roman" w:hAnsi="Times New Roman" w:cs="Times New Roman"/>
        </w:rPr>
        <w:t xml:space="preserve"> </w:t>
      </w:r>
    </w:p>
    <w:p w14:paraId="08F863B2" w14:textId="088B8ED5" w:rsidR="00AC212D" w:rsidRPr="00B35D73" w:rsidRDefault="00AC212D" w:rsidP="00AC212D">
      <w:pPr>
        <w:spacing w:line="480" w:lineRule="auto"/>
        <w:rPr>
          <w:rFonts w:ascii="Times New Roman" w:hAnsi="Times New Roman" w:cs="Times New Roman"/>
          <w:b/>
          <w:bCs/>
        </w:rPr>
      </w:pPr>
      <w:r>
        <w:rPr>
          <w:rFonts w:ascii="Times New Roman" w:hAnsi="Times New Roman" w:cs="Times New Roman"/>
          <w:b/>
          <w:bCs/>
        </w:rPr>
        <w:t>Project Approach</w:t>
      </w:r>
    </w:p>
    <w:p w14:paraId="0E8F4B0B" w14:textId="101856E8" w:rsidR="00CA13C7" w:rsidRPr="00CA13C7" w:rsidRDefault="00CA13C7" w:rsidP="009F2DAE">
      <w:pPr>
        <w:spacing w:line="480" w:lineRule="auto"/>
        <w:rPr>
          <w:rFonts w:ascii="Times New Roman" w:hAnsi="Times New Roman" w:cs="Times New Roman"/>
        </w:rPr>
      </w:pPr>
      <w:r w:rsidRPr="00CA13C7">
        <w:rPr>
          <w:rFonts w:ascii="Times New Roman" w:hAnsi="Times New Roman" w:cs="Times New Roman"/>
        </w:rPr>
        <w:t>This project’s research question is: after accounting for event-to-event heterogeneity, does the market-implied hazard increase as the deadline approaches, and how large is that effect on the hazard scale?</w:t>
      </w:r>
      <w:r>
        <w:rPr>
          <w:rFonts w:ascii="Times New Roman" w:hAnsi="Times New Roman" w:cs="Times New Roman"/>
        </w:rPr>
        <w:t xml:space="preserve"> </w:t>
      </w:r>
      <w:r w:rsidRPr="00CA13C7">
        <w:rPr>
          <w:rFonts w:ascii="Times New Roman" w:hAnsi="Times New Roman" w:cs="Times New Roman"/>
        </w:rPr>
        <w:t>As a motivating descriptive check, we first compute implied hazards at three reference horizons (about 30 days, 7 days, and 1 day before the deadline). Figure 1 shows that the implied hazard increases materially close to the deadline when summarized on the log scale. This motivates the hierarchical Bayesian model that follows, which estimates the horizon effects while pooling across related markets.</w:t>
      </w:r>
    </w:p>
    <w:p w14:paraId="10C18076" w14:textId="77777777" w:rsidR="00050741" w:rsidRDefault="006876A9" w:rsidP="0005074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27A9B9A" wp14:editId="658A058C">
            <wp:extent cx="5403850" cy="3380536"/>
            <wp:effectExtent l="19050" t="19050" r="25400" b="10795"/>
            <wp:docPr id="83255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6849" cy="3382412"/>
                    </a:xfrm>
                    <a:prstGeom prst="rect">
                      <a:avLst/>
                    </a:prstGeom>
                    <a:noFill/>
                    <a:ln w="6350">
                      <a:solidFill>
                        <a:schemeClr val="tx1"/>
                      </a:solidFill>
                    </a:ln>
                  </pic:spPr>
                </pic:pic>
              </a:graphicData>
            </a:graphic>
          </wp:inline>
        </w:drawing>
      </w:r>
    </w:p>
    <w:p w14:paraId="6BC63AFA" w14:textId="3C434425" w:rsidR="00050741" w:rsidRDefault="00050741" w:rsidP="00050741">
      <w:pPr>
        <w:spacing w:line="480" w:lineRule="auto"/>
        <w:rPr>
          <w:rFonts w:ascii="Times New Roman" w:hAnsi="Times New Roman" w:cs="Times New Roman"/>
        </w:rPr>
      </w:pPr>
      <w:r w:rsidRPr="000A0A65">
        <w:rPr>
          <w:rFonts w:ascii="Times New Roman" w:hAnsi="Times New Roman" w:cs="Times New Roman"/>
          <w:b/>
          <w:bCs/>
          <w:i/>
          <w:iCs/>
        </w:rPr>
        <w:t>Figure 1</w:t>
      </w:r>
      <w:r>
        <w:rPr>
          <w:rFonts w:ascii="Times New Roman" w:hAnsi="Times New Roman" w:cs="Times New Roman"/>
        </w:rPr>
        <w:t xml:space="preserve">. </w:t>
      </w:r>
      <w:r w:rsidRPr="00050741">
        <w:rPr>
          <w:rFonts w:ascii="Times New Roman" w:hAnsi="Times New Roman" w:cs="Times New Roman"/>
          <w:i/>
          <w:iCs/>
        </w:rPr>
        <w:t>Mean log implied daily hazard (log λ) by horizon (30d, 7d, 1d). Points are sample means across markets in the modeling sample; error bars are 95% confidence intervals for the mean (normal approximation). The increase at 1 day is visually large relative to 30 days.</w:t>
      </w:r>
    </w:p>
    <w:p w14:paraId="396195C2" w14:textId="23DD61E1" w:rsidR="00B35D73" w:rsidRPr="00B35D73" w:rsidRDefault="006F00B1" w:rsidP="00A809E1">
      <w:pPr>
        <w:spacing w:line="480" w:lineRule="auto"/>
        <w:jc w:val="center"/>
        <w:rPr>
          <w:rFonts w:ascii="Times New Roman" w:hAnsi="Times New Roman" w:cs="Times New Roman"/>
          <w:b/>
          <w:bCs/>
        </w:rPr>
      </w:pPr>
      <w:r w:rsidRPr="009F2DAE">
        <w:rPr>
          <w:rFonts w:ascii="Times New Roman" w:hAnsi="Times New Roman" w:cs="Times New Roman"/>
          <w:b/>
          <w:bCs/>
        </w:rPr>
        <w:t>Data and Preprocessing</w:t>
      </w:r>
    </w:p>
    <w:p w14:paraId="6FBB15A1" w14:textId="557DBE53" w:rsidR="00B35D73" w:rsidRPr="00B35D73" w:rsidRDefault="00B35D73" w:rsidP="009F2DAE">
      <w:pPr>
        <w:spacing w:line="480" w:lineRule="auto"/>
        <w:rPr>
          <w:rFonts w:ascii="Times New Roman" w:hAnsi="Times New Roman" w:cs="Times New Roman"/>
        </w:rPr>
      </w:pPr>
      <w:r w:rsidRPr="00B35D73">
        <w:rPr>
          <w:rFonts w:ascii="Times New Roman" w:hAnsi="Times New Roman" w:cs="Times New Roman"/>
        </w:rPr>
        <w:lastRenderedPageBreak/>
        <w:t>We work</w:t>
      </w:r>
      <w:r w:rsidR="008D60ED">
        <w:rPr>
          <w:rFonts w:ascii="Times New Roman" w:hAnsi="Times New Roman" w:cs="Times New Roman"/>
        </w:rPr>
        <w:t>ed</w:t>
      </w:r>
      <w:r w:rsidRPr="00B35D73">
        <w:rPr>
          <w:rFonts w:ascii="Times New Roman" w:hAnsi="Times New Roman" w:cs="Times New Roman"/>
        </w:rPr>
        <w:t xml:space="preserve"> from a local SQLite database constructed from Polymarket’s raw event exports. The database contains an events table and a markets table; market-level information was originally nested in </w:t>
      </w:r>
      <w:r w:rsidRPr="00B35D73">
        <w:rPr>
          <w:rFonts w:ascii="Times New Roman" w:hAnsi="Times New Roman" w:cs="Times New Roman"/>
          <w:i/>
          <w:iCs/>
        </w:rPr>
        <w:t>events.markets</w:t>
      </w:r>
      <w:r w:rsidRPr="00B35D73">
        <w:rPr>
          <w:rFonts w:ascii="Times New Roman" w:hAnsi="Times New Roman" w:cs="Times New Roman"/>
        </w:rPr>
        <w:t xml:space="preserve"> as </w:t>
      </w:r>
      <w:r w:rsidR="006E5E20">
        <w:rPr>
          <w:rFonts w:ascii="Times New Roman" w:hAnsi="Times New Roman" w:cs="Times New Roman"/>
        </w:rPr>
        <w:t xml:space="preserve">a </w:t>
      </w:r>
      <w:r w:rsidRPr="00B35D73">
        <w:rPr>
          <w:rFonts w:ascii="Times New Roman" w:hAnsi="Times New Roman" w:cs="Times New Roman"/>
        </w:rPr>
        <w:t xml:space="preserve">JSON and was flattened into a relational markets table during preprocessing. </w:t>
      </w:r>
      <w:r w:rsidR="006E5E20">
        <w:rPr>
          <w:rFonts w:ascii="Times New Roman" w:hAnsi="Times New Roman" w:cs="Times New Roman"/>
        </w:rPr>
        <w:t>After flattening, t</w:t>
      </w:r>
      <w:r w:rsidRPr="00B35D73">
        <w:rPr>
          <w:rFonts w:ascii="Times New Roman" w:hAnsi="Times New Roman" w:cs="Times New Roman"/>
        </w:rPr>
        <w:t>he full markets table contains 523,699 market object</w:t>
      </w:r>
      <w:r w:rsidR="006E5E20">
        <w:rPr>
          <w:rFonts w:ascii="Times New Roman" w:hAnsi="Times New Roman" w:cs="Times New Roman"/>
        </w:rPr>
        <w:t>s</w:t>
      </w:r>
      <w:r w:rsidRPr="00B35D73">
        <w:rPr>
          <w:rFonts w:ascii="Times New Roman" w:hAnsi="Times New Roman" w:cs="Times New Roman"/>
        </w:rPr>
        <w:t>.</w:t>
      </w:r>
    </w:p>
    <w:p w14:paraId="7739BFBD" w14:textId="3EF6F969" w:rsidR="00B35D73" w:rsidRPr="00B35D73" w:rsidRDefault="00B35D73" w:rsidP="009F2DAE">
      <w:pPr>
        <w:spacing w:line="480" w:lineRule="auto"/>
        <w:rPr>
          <w:rFonts w:ascii="Times New Roman" w:hAnsi="Times New Roman" w:cs="Times New Roman"/>
        </w:rPr>
      </w:pPr>
      <w:r w:rsidRPr="00B35D73">
        <w:rPr>
          <w:rFonts w:ascii="Times New Roman" w:hAnsi="Times New Roman" w:cs="Times New Roman"/>
        </w:rPr>
        <w:t>We then filter</w:t>
      </w:r>
      <w:r w:rsidR="00D8039E">
        <w:rPr>
          <w:rFonts w:ascii="Times New Roman" w:hAnsi="Times New Roman" w:cs="Times New Roman"/>
        </w:rPr>
        <w:t>ed</w:t>
      </w:r>
      <w:r w:rsidRPr="00B35D73">
        <w:rPr>
          <w:rFonts w:ascii="Times New Roman" w:hAnsi="Times New Roman" w:cs="Times New Roman"/>
        </w:rPr>
        <w:t xml:space="preserve"> to deadline-style markets using a text-based heuristic </w:t>
      </w:r>
      <w:r w:rsidR="00D8039E">
        <w:rPr>
          <w:rFonts w:ascii="Times New Roman" w:hAnsi="Times New Roman" w:cs="Times New Roman"/>
        </w:rPr>
        <w:t xml:space="preserve">to the </w:t>
      </w:r>
      <w:r w:rsidRPr="00B35D73">
        <w:rPr>
          <w:rFonts w:ascii="Times New Roman" w:hAnsi="Times New Roman" w:cs="Times New Roman"/>
        </w:rPr>
        <w:t xml:space="preserve">market question strings. The filter searches for phrases </w:t>
      </w:r>
      <w:r w:rsidR="00D8039E">
        <w:rPr>
          <w:rFonts w:ascii="Times New Roman" w:hAnsi="Times New Roman" w:cs="Times New Roman"/>
        </w:rPr>
        <w:t xml:space="preserve">that usually signal deadlines (e.g., </w:t>
      </w:r>
      <w:r w:rsidRPr="00B35D73">
        <w:rPr>
          <w:rFonts w:ascii="Times New Roman" w:hAnsi="Times New Roman" w:cs="Times New Roman"/>
        </w:rPr>
        <w:t>“by”, “before”,</w:t>
      </w:r>
      <w:r w:rsidR="0050254A">
        <w:rPr>
          <w:rFonts w:ascii="Times New Roman" w:hAnsi="Times New Roman" w:cs="Times New Roman"/>
        </w:rPr>
        <w:t xml:space="preserve"> </w:t>
      </w:r>
      <w:r w:rsidR="0050254A" w:rsidRPr="00B35D73">
        <w:rPr>
          <w:rFonts w:ascii="Times New Roman" w:hAnsi="Times New Roman" w:cs="Times New Roman"/>
        </w:rPr>
        <w:t>“until”</w:t>
      </w:r>
      <w:r w:rsidRPr="00B35D73">
        <w:rPr>
          <w:rFonts w:ascii="Times New Roman" w:hAnsi="Times New Roman" w:cs="Times New Roman"/>
        </w:rPr>
        <w:t xml:space="preserve"> </w:t>
      </w:r>
      <w:r w:rsidR="0050254A">
        <w:rPr>
          <w:rFonts w:ascii="Times New Roman" w:hAnsi="Times New Roman" w:cs="Times New Roman"/>
        </w:rPr>
        <w:t xml:space="preserve">, </w:t>
      </w:r>
      <w:r w:rsidRPr="00B35D73">
        <w:rPr>
          <w:rFonts w:ascii="Times New Roman" w:hAnsi="Times New Roman" w:cs="Times New Roman"/>
        </w:rPr>
        <w:t>“no later than”,</w:t>
      </w:r>
      <w:r w:rsidR="00D8039E">
        <w:rPr>
          <w:rFonts w:ascii="Times New Roman" w:hAnsi="Times New Roman" w:cs="Times New Roman"/>
        </w:rPr>
        <w:t xml:space="preserve"> etc.), and it explicitly excluded </w:t>
      </w:r>
      <w:r w:rsidR="00910653">
        <w:rPr>
          <w:rFonts w:ascii="Times New Roman" w:hAnsi="Times New Roman" w:cs="Times New Roman"/>
        </w:rPr>
        <w:t>common s</w:t>
      </w:r>
      <w:r w:rsidRPr="00B35D73">
        <w:rPr>
          <w:rFonts w:ascii="Times New Roman" w:hAnsi="Times New Roman" w:cs="Times New Roman"/>
        </w:rPr>
        <w:t>ports-related false positives (</w:t>
      </w:r>
      <w:r w:rsidR="00B82F22">
        <w:rPr>
          <w:rFonts w:ascii="Times New Roman" w:hAnsi="Times New Roman" w:cs="Times New Roman"/>
        </w:rPr>
        <w:t>e.g.</w:t>
      </w:r>
      <w:r w:rsidRPr="00B35D73">
        <w:rPr>
          <w:rFonts w:ascii="Times New Roman" w:hAnsi="Times New Roman" w:cs="Times New Roman"/>
        </w:rPr>
        <w:t>, “win by more than”</w:t>
      </w:r>
      <w:r w:rsidR="00B82F22">
        <w:rPr>
          <w:rFonts w:ascii="Times New Roman" w:hAnsi="Times New Roman" w:cs="Times New Roman"/>
        </w:rPr>
        <w:t>,</w:t>
      </w:r>
      <w:r w:rsidRPr="00B35D73">
        <w:rPr>
          <w:rFonts w:ascii="Times New Roman" w:hAnsi="Times New Roman" w:cs="Times New Roman"/>
        </w:rPr>
        <w:t xml:space="preserve"> “by at least”</w:t>
      </w:r>
      <w:r w:rsidR="00B82F22">
        <w:rPr>
          <w:rFonts w:ascii="Times New Roman" w:hAnsi="Times New Roman" w:cs="Times New Roman"/>
        </w:rPr>
        <w:t>, etc.</w:t>
      </w:r>
      <w:r w:rsidRPr="00B35D73">
        <w:rPr>
          <w:rFonts w:ascii="Times New Roman" w:hAnsi="Times New Roman" w:cs="Times New Roman"/>
        </w:rPr>
        <w:t>). This filtering step was iteratively refined through manual inspection of roughly 2,000 sampled markets and produced 12,030 markets that plausibly represent deadline-style questions.</w:t>
      </w:r>
    </w:p>
    <w:p w14:paraId="7D7DB868" w14:textId="3C1BDFF5" w:rsidR="00B35D73" w:rsidRDefault="00B35D73" w:rsidP="009F2DAE">
      <w:pPr>
        <w:spacing w:line="480" w:lineRule="auto"/>
        <w:rPr>
          <w:rFonts w:ascii="Times New Roman" w:hAnsi="Times New Roman" w:cs="Times New Roman"/>
        </w:rPr>
      </w:pPr>
      <w:r w:rsidRPr="00B35D73">
        <w:rPr>
          <w:rFonts w:ascii="Times New Roman" w:hAnsi="Times New Roman" w:cs="Times New Roman"/>
        </w:rPr>
        <w:t xml:space="preserve">Price data </w:t>
      </w:r>
      <w:r w:rsidR="008D60ED">
        <w:rPr>
          <w:rFonts w:ascii="Times New Roman" w:hAnsi="Times New Roman" w:cs="Times New Roman"/>
        </w:rPr>
        <w:t>is found</w:t>
      </w:r>
      <w:r w:rsidRPr="00B35D73">
        <w:rPr>
          <w:rFonts w:ascii="Times New Roman" w:hAnsi="Times New Roman" w:cs="Times New Roman"/>
        </w:rPr>
        <w:t xml:space="preserve"> in </w:t>
      </w:r>
      <w:r w:rsidRPr="00B35D73">
        <w:rPr>
          <w:rFonts w:ascii="Times New Roman" w:hAnsi="Times New Roman" w:cs="Times New Roman"/>
          <w:i/>
          <w:iCs/>
        </w:rPr>
        <w:t>price_history</w:t>
      </w:r>
      <w:r w:rsidRPr="00B35D73">
        <w:rPr>
          <w:rFonts w:ascii="Times New Roman" w:hAnsi="Times New Roman" w:cs="Times New Roman"/>
        </w:rPr>
        <w:t xml:space="preserve">, keyed by </w:t>
      </w:r>
      <w:r w:rsidRPr="00B35D73">
        <w:rPr>
          <w:rFonts w:ascii="Times New Roman" w:hAnsi="Times New Roman" w:cs="Times New Roman"/>
          <w:i/>
          <w:iCs/>
        </w:rPr>
        <w:t>token_id</w:t>
      </w:r>
      <w:r w:rsidRPr="00B35D73">
        <w:rPr>
          <w:rFonts w:ascii="Times New Roman" w:hAnsi="Times New Roman" w:cs="Times New Roman"/>
        </w:rPr>
        <w:t xml:space="preserve">. Each market has multiple outcome tokens; for </w:t>
      </w:r>
      <w:r w:rsidR="00C567F7">
        <w:rPr>
          <w:rFonts w:ascii="Times New Roman" w:hAnsi="Times New Roman" w:cs="Times New Roman"/>
        </w:rPr>
        <w:t>our</w:t>
      </w:r>
      <w:r w:rsidRPr="00B35D73">
        <w:rPr>
          <w:rFonts w:ascii="Times New Roman" w:hAnsi="Times New Roman" w:cs="Times New Roman"/>
        </w:rPr>
        <w:t xml:space="preserve"> main analysis we restrict to the “YES” outcome and join on its </w:t>
      </w:r>
      <w:r w:rsidRPr="00B35D73">
        <w:rPr>
          <w:rFonts w:ascii="Times New Roman" w:hAnsi="Times New Roman" w:cs="Times New Roman"/>
          <w:i/>
          <w:iCs/>
        </w:rPr>
        <w:t>token_id</w:t>
      </w:r>
      <w:r w:rsidRPr="00B35D73">
        <w:rPr>
          <w:rFonts w:ascii="Times New Roman" w:hAnsi="Times New Roman" w:cs="Times New Roman"/>
        </w:rPr>
        <w:t xml:space="preserve">. </w:t>
      </w:r>
      <w:r w:rsidR="00C567F7">
        <w:rPr>
          <w:rFonts w:ascii="Times New Roman" w:hAnsi="Times New Roman" w:cs="Times New Roman"/>
        </w:rPr>
        <w:t>We used a view (</w:t>
      </w:r>
      <w:r w:rsidR="00C567F7" w:rsidRPr="00C567F7">
        <w:rPr>
          <w:rFonts w:ascii="Times New Roman" w:hAnsi="Times New Roman" w:cs="Times New Roman"/>
          <w:i/>
          <w:iCs/>
        </w:rPr>
        <w:t>bets_for_timing_view</w:t>
      </w:r>
      <w:r w:rsidR="00C567F7">
        <w:rPr>
          <w:rFonts w:ascii="Times New Roman" w:hAnsi="Times New Roman" w:cs="Times New Roman"/>
        </w:rPr>
        <w:t xml:space="preserve">) that consolidates the timing-market </w:t>
      </w:r>
      <w:r w:rsidR="00437022">
        <w:rPr>
          <w:rFonts w:ascii="Times New Roman" w:hAnsi="Times New Roman" w:cs="Times New Roman"/>
        </w:rPr>
        <w:t xml:space="preserve">set and exposes the YES </w:t>
      </w:r>
      <w:r w:rsidR="00437022" w:rsidRPr="009C0D7F">
        <w:rPr>
          <w:rFonts w:ascii="Times New Roman" w:hAnsi="Times New Roman" w:cs="Times New Roman"/>
          <w:i/>
          <w:iCs/>
        </w:rPr>
        <w:t>token</w:t>
      </w:r>
      <w:r w:rsidR="009C0D7F" w:rsidRPr="009C0D7F">
        <w:rPr>
          <w:rFonts w:ascii="Times New Roman" w:hAnsi="Times New Roman" w:cs="Times New Roman"/>
          <w:i/>
          <w:iCs/>
        </w:rPr>
        <w:t>_id</w:t>
      </w:r>
      <w:r w:rsidR="009C0D7F">
        <w:rPr>
          <w:rFonts w:ascii="Times New Roman" w:hAnsi="Times New Roman" w:cs="Times New Roman"/>
        </w:rPr>
        <w:t xml:space="preserve"> in a way that is easy to join against </w:t>
      </w:r>
      <w:r w:rsidR="009C0D7F">
        <w:rPr>
          <w:rFonts w:ascii="Times New Roman" w:hAnsi="Times New Roman" w:cs="Times New Roman"/>
          <w:i/>
          <w:iCs/>
        </w:rPr>
        <w:t>price_his</w:t>
      </w:r>
      <w:r w:rsidR="001A50F6">
        <w:rPr>
          <w:rFonts w:ascii="Times New Roman" w:hAnsi="Times New Roman" w:cs="Times New Roman"/>
          <w:i/>
          <w:iCs/>
        </w:rPr>
        <w:t>t</w:t>
      </w:r>
      <w:r w:rsidR="009C0D7F">
        <w:rPr>
          <w:rFonts w:ascii="Times New Roman" w:hAnsi="Times New Roman" w:cs="Times New Roman"/>
          <w:i/>
          <w:iCs/>
        </w:rPr>
        <w:t>ory</w:t>
      </w:r>
      <w:r w:rsidR="009C0D7F">
        <w:rPr>
          <w:rFonts w:ascii="Times New Roman" w:hAnsi="Times New Roman" w:cs="Times New Roman"/>
        </w:rPr>
        <w:t>. We then computed</w:t>
      </w:r>
      <w:r w:rsidR="009B0583">
        <w:rPr>
          <w:rFonts w:ascii="Times New Roman" w:hAnsi="Times New Roman" w:cs="Times New Roman"/>
        </w:rPr>
        <w:t xml:space="preserve"> the</w:t>
      </w:r>
      <w:r w:rsidRPr="00B35D73">
        <w:rPr>
          <w:rFonts w:ascii="Times New Roman" w:hAnsi="Times New Roman" w:cs="Times New Roman"/>
        </w:rPr>
        <w:t xml:space="preserve"> time-to-deadline in days for each price observation</w:t>
      </w:r>
      <w:r w:rsidR="009B0583">
        <w:rPr>
          <w:rFonts w:ascii="Times New Roman" w:hAnsi="Times New Roman" w:cs="Times New Roman"/>
        </w:rPr>
        <w:t>, which produced</w:t>
      </w:r>
      <w:r w:rsidRPr="00B35D73">
        <w:rPr>
          <w:rFonts w:ascii="Times New Roman" w:hAnsi="Times New Roman" w:cs="Times New Roman"/>
        </w:rPr>
        <w:t xml:space="preserve"> a long table with one row per market-price </w:t>
      </w:r>
      <w:r w:rsidR="009B0583">
        <w:rPr>
          <w:rFonts w:ascii="Times New Roman" w:hAnsi="Times New Roman" w:cs="Times New Roman"/>
        </w:rPr>
        <w:t>observation</w:t>
      </w:r>
      <w:r w:rsidRPr="00B35D73">
        <w:rPr>
          <w:rFonts w:ascii="Times New Roman" w:hAnsi="Times New Roman" w:cs="Times New Roman"/>
        </w:rPr>
        <w:t>.</w:t>
      </w:r>
    </w:p>
    <w:p w14:paraId="4EC490AD" w14:textId="24F92C9C" w:rsidR="004D36CD" w:rsidRPr="00B35D73" w:rsidRDefault="004D36CD" w:rsidP="004D36CD">
      <w:pPr>
        <w:spacing w:line="480" w:lineRule="auto"/>
        <w:rPr>
          <w:rFonts w:ascii="Times New Roman" w:hAnsi="Times New Roman" w:cs="Times New Roman"/>
        </w:rPr>
      </w:pPr>
      <w:r>
        <w:rPr>
          <w:rFonts w:ascii="Times New Roman" w:hAnsi="Times New Roman" w:cs="Times New Roman"/>
        </w:rPr>
        <w:t>Moreover, it should be noted that not</w:t>
      </w:r>
      <w:r w:rsidR="00F30952">
        <w:rPr>
          <w:rFonts w:ascii="Times New Roman" w:hAnsi="Times New Roman" w:cs="Times New Roman"/>
        </w:rPr>
        <w:t xml:space="preserve"> </w:t>
      </w:r>
      <w:r w:rsidR="00F30952" w:rsidRPr="00F30952">
        <w:rPr>
          <w:rFonts w:ascii="Times New Roman" w:hAnsi="Times New Roman" w:cs="Times New Roman"/>
        </w:rPr>
        <w:t>every market has dense pricing near all three horizons. We therefore distinguish</w:t>
      </w:r>
      <w:r w:rsidR="00F30952">
        <w:rPr>
          <w:rFonts w:ascii="Times New Roman" w:hAnsi="Times New Roman" w:cs="Times New Roman"/>
        </w:rPr>
        <w:t>ed</w:t>
      </w:r>
      <w:r w:rsidR="00F30952" w:rsidRPr="00F30952">
        <w:rPr>
          <w:rFonts w:ascii="Times New Roman" w:hAnsi="Times New Roman" w:cs="Times New Roman"/>
        </w:rPr>
        <w:t xml:space="preserve"> between (i) the snapshot table, which records the nearest available observation to each horizon for markets with sufficient coverage, and (ii) the stricter modeling sample, which enforces that the chosen snapshots are actually close to their intended horizons. In </w:t>
      </w:r>
      <w:r w:rsidR="00F30952">
        <w:rPr>
          <w:rFonts w:ascii="Times New Roman" w:hAnsi="Times New Roman" w:cs="Times New Roman"/>
        </w:rPr>
        <w:t>our</w:t>
      </w:r>
      <w:r w:rsidR="00F30952" w:rsidRPr="00F30952">
        <w:rPr>
          <w:rFonts w:ascii="Times New Roman" w:hAnsi="Times New Roman" w:cs="Times New Roman"/>
        </w:rPr>
        <w:t xml:space="preserve"> current run, the snapshot table contains 6,724 markets with non-missing values at all three horizons. For the Bayesian model, we enforce</w:t>
      </w:r>
      <w:r w:rsidR="00C96F91">
        <w:rPr>
          <w:rFonts w:ascii="Times New Roman" w:hAnsi="Times New Roman" w:cs="Times New Roman"/>
        </w:rPr>
        <w:t>d</w:t>
      </w:r>
      <w:r w:rsidR="00F30952" w:rsidRPr="00F30952">
        <w:rPr>
          <w:rFonts w:ascii="Times New Roman" w:hAnsi="Times New Roman" w:cs="Times New Roman"/>
        </w:rPr>
        <w:t xml:space="preserve"> a “horizon purity” filter so that the 30-day snapshot is within 7 days of 30, and the 7-day and 1-day snapshots are each within 2 days of their targets. </w:t>
      </w:r>
      <w:r w:rsidR="00C96F91">
        <w:rPr>
          <w:rFonts w:ascii="Times New Roman" w:hAnsi="Times New Roman" w:cs="Times New Roman"/>
        </w:rPr>
        <w:t xml:space="preserve">Doing so yielded </w:t>
      </w:r>
      <w:r w:rsidR="00F30952" w:rsidRPr="00F30952">
        <w:rPr>
          <w:rFonts w:ascii="Times New Roman" w:hAnsi="Times New Roman" w:cs="Times New Roman"/>
        </w:rPr>
        <w:t>2,028 markets in the modeling sample (6,084 horizon observations)</w:t>
      </w:r>
    </w:p>
    <w:p w14:paraId="1F496193" w14:textId="56D34CD3" w:rsidR="00B35D73" w:rsidRPr="00B35D73" w:rsidRDefault="00B35D73" w:rsidP="009F2DAE">
      <w:pPr>
        <w:spacing w:line="480" w:lineRule="auto"/>
        <w:rPr>
          <w:rFonts w:ascii="Times New Roman" w:hAnsi="Times New Roman" w:cs="Times New Roman"/>
        </w:rPr>
      </w:pPr>
      <w:r w:rsidRPr="00B35D73">
        <w:rPr>
          <w:rFonts w:ascii="Times New Roman" w:hAnsi="Times New Roman" w:cs="Times New Roman"/>
        </w:rPr>
        <w:t>Finally, we compute</w:t>
      </w:r>
      <w:r w:rsidR="008312FE">
        <w:rPr>
          <w:rFonts w:ascii="Times New Roman" w:hAnsi="Times New Roman" w:cs="Times New Roman"/>
        </w:rPr>
        <w:t>d</w:t>
      </w:r>
      <w:r w:rsidRPr="00B35D73">
        <w:rPr>
          <w:rFonts w:ascii="Times New Roman" w:hAnsi="Times New Roman" w:cs="Times New Roman"/>
        </w:rPr>
        <w:t xml:space="preserve"> implied event-arrival rates from these prices. Under a constant hazard model with </w:t>
      </w:r>
      <w:r w:rsidR="004C36B1">
        <w:rPr>
          <w:rFonts w:ascii="Times New Roman" w:hAnsi="Times New Roman" w:cs="Times New Roman"/>
        </w:rPr>
        <w:t xml:space="preserve">daily </w:t>
      </w:r>
      <w:r w:rsidRPr="00B35D73">
        <w:rPr>
          <w:rFonts w:ascii="Times New Roman" w:hAnsi="Times New Roman" w:cs="Times New Roman"/>
        </w:rPr>
        <w:t xml:space="preserve">rate </w:t>
      </w:r>
      <w:r w:rsidRPr="00B35D73">
        <w:rPr>
          <w:rFonts w:ascii="Times New Roman" w:hAnsi="Times New Roman" w:cs="Times New Roman"/>
          <w:b/>
          <w:bCs/>
        </w:rPr>
        <w:t>λ</w:t>
      </w:r>
      <w:r w:rsidRPr="00B35D73">
        <w:rPr>
          <w:rFonts w:ascii="Times New Roman" w:hAnsi="Times New Roman" w:cs="Times New Roman"/>
        </w:rPr>
        <w:t xml:space="preserve">, the probability that an event occurs by time t </w:t>
      </w:r>
      <w:r w:rsidR="008324D6">
        <w:rPr>
          <w:rFonts w:ascii="Times New Roman" w:hAnsi="Times New Roman" w:cs="Times New Roman"/>
        </w:rPr>
        <w:t xml:space="preserve">(in days) </w:t>
      </w:r>
      <w:r w:rsidRPr="00B35D73">
        <w:rPr>
          <w:rFonts w:ascii="Times New Roman" w:hAnsi="Times New Roman" w:cs="Times New Roman"/>
        </w:rPr>
        <w:t>is</w:t>
      </w:r>
      <w:r w:rsidRPr="00B35D73">
        <w:rPr>
          <w:rFonts w:ascii="Times New Roman" w:hAnsi="Times New Roman" w:cs="Times New Roman"/>
          <w:b/>
          <w:bCs/>
        </w:rPr>
        <w:t xml:space="preserve"> </w:t>
      </w:r>
      <m:oMath>
        <m:r>
          <m:rPr>
            <m:sty m:val="bi"/>
          </m:rPr>
          <w:rPr>
            <w:rFonts w:ascii="Cambria Math" w:hAnsi="Cambria Math" w:cs="Times New Roman"/>
          </w:rPr>
          <m:t>P(t)=1 - exp(-λt</m:t>
        </m:r>
        <m:r>
          <m:rPr>
            <m:sty m:val="bi"/>
          </m:rPr>
          <w:rPr>
            <w:rFonts w:ascii="Cambria Math" w:hAnsi="Cambria Math" w:cs="Times New Roman"/>
          </w:rPr>
          <m:t>)</m:t>
        </m:r>
      </m:oMath>
      <w:r w:rsidR="007D7B96">
        <w:rPr>
          <w:rFonts w:ascii="Times New Roman" w:eastAsiaTheme="minorEastAsia" w:hAnsi="Times New Roman" w:cs="Times New Roman"/>
        </w:rPr>
        <w:t>.</w:t>
      </w:r>
      <w:r w:rsidRPr="00B35D73">
        <w:rPr>
          <w:rFonts w:ascii="Times New Roman" w:hAnsi="Times New Roman" w:cs="Times New Roman"/>
        </w:rPr>
        <w:t xml:space="preserve"> </w:t>
      </w:r>
      <w:r w:rsidR="001732B3">
        <w:rPr>
          <w:rFonts w:ascii="Times New Roman" w:hAnsi="Times New Roman" w:cs="Times New Roman"/>
        </w:rPr>
        <w:t>S</w:t>
      </w:r>
      <w:r w:rsidRPr="00B35D73">
        <w:rPr>
          <w:rFonts w:ascii="Times New Roman" w:hAnsi="Times New Roman" w:cs="Times New Roman"/>
        </w:rPr>
        <w:t xml:space="preserve">olving for </w:t>
      </w:r>
      <w:r w:rsidRPr="00B35D73">
        <w:rPr>
          <w:rFonts w:ascii="Times New Roman" w:hAnsi="Times New Roman" w:cs="Times New Roman"/>
          <w:b/>
          <w:bCs/>
        </w:rPr>
        <w:t>λ</w:t>
      </w:r>
      <w:r w:rsidRPr="00B35D73">
        <w:rPr>
          <w:rFonts w:ascii="Times New Roman" w:hAnsi="Times New Roman" w:cs="Times New Roman"/>
        </w:rPr>
        <w:t xml:space="preserve"> </w:t>
      </w:r>
      <w:r w:rsidR="001732B3">
        <w:rPr>
          <w:rFonts w:ascii="Times New Roman" w:hAnsi="Times New Roman" w:cs="Times New Roman"/>
        </w:rPr>
        <w:t xml:space="preserve">in terms of an observed probability </w:t>
      </w:r>
      <w:r w:rsidR="00EA3C53">
        <w:rPr>
          <w:rFonts w:ascii="Times New Roman" w:hAnsi="Times New Roman" w:cs="Times New Roman"/>
          <w:b/>
          <w:bCs/>
        </w:rPr>
        <w:t xml:space="preserve">p </w:t>
      </w:r>
      <w:r w:rsidR="00EA3C53">
        <w:rPr>
          <w:rFonts w:ascii="Times New Roman" w:hAnsi="Times New Roman" w:cs="Times New Roman"/>
        </w:rPr>
        <w:t xml:space="preserve">at horizon </w:t>
      </w:r>
      <w:r w:rsidR="00EA3C53">
        <w:rPr>
          <w:rFonts w:ascii="Times New Roman" w:hAnsi="Times New Roman" w:cs="Times New Roman"/>
          <w:b/>
          <w:bCs/>
        </w:rPr>
        <w:t xml:space="preserve">t </w:t>
      </w:r>
      <w:r w:rsidRPr="00B35D73">
        <w:rPr>
          <w:rFonts w:ascii="Times New Roman" w:hAnsi="Times New Roman" w:cs="Times New Roman"/>
        </w:rPr>
        <w:t xml:space="preserve">gives </w:t>
      </w:r>
      <w:r w:rsidR="00F34269">
        <w:rPr>
          <w:rFonts w:ascii="Times New Roman" w:hAnsi="Times New Roman" w:cs="Times New Roman"/>
        </w:rPr>
        <w:t xml:space="preserve">us </w:t>
      </w:r>
      <m:oMath>
        <m:r>
          <m:rPr>
            <m:sty m:val="bi"/>
          </m:rPr>
          <w:rPr>
            <w:rFonts w:ascii="Cambria Math" w:hAnsi="Cambria Math" w:cs="Times New Roman"/>
          </w:rPr>
          <m:t>λ = -</m:t>
        </m:r>
        <m:f>
          <m:fPr>
            <m:ctrlPr>
              <w:rPr>
                <w:rFonts w:ascii="Cambria Math" w:hAnsi="Cambria Math" w:cs="Times New Roman"/>
                <w:b/>
                <w:bCs/>
                <w:i/>
              </w:rPr>
            </m:ctrlPr>
          </m:fPr>
          <m:num>
            <m:r>
              <m:rPr>
                <m:sty m:val="bi"/>
              </m:rPr>
              <w:rPr>
                <w:rFonts w:ascii="Cambria Math" w:hAnsi="Cambria Math" w:cs="Times New Roman"/>
              </w:rPr>
              <m:t>log(1 - p)</m:t>
            </m:r>
          </m:num>
          <m:den>
            <m:r>
              <m:rPr>
                <m:sty m:val="bi"/>
              </m:rPr>
              <w:rPr>
                <w:rFonts w:ascii="Cambria Math" w:hAnsi="Cambria Math" w:cs="Times New Roman"/>
              </w:rPr>
              <m:t>t</m:t>
            </m:r>
          </m:den>
        </m:f>
        <m:r>
          <w:rPr>
            <w:rFonts w:ascii="Cambria Math" w:hAnsi="Cambria Math" w:cs="Times New Roman"/>
          </w:rPr>
          <m:t xml:space="preserve"> </m:t>
        </m:r>
      </m:oMath>
      <w:r w:rsidR="00861ADB">
        <w:rPr>
          <w:rFonts w:ascii="Times New Roman" w:hAnsi="Times New Roman" w:cs="Times New Roman"/>
        </w:rPr>
        <w:t xml:space="preserve">. </w:t>
      </w:r>
      <w:r w:rsidR="00EA3C53">
        <w:rPr>
          <w:rFonts w:ascii="Times New Roman" w:hAnsi="Times New Roman" w:cs="Times New Roman"/>
        </w:rPr>
        <w:t xml:space="preserve">We used the YES token price as </w:t>
      </w:r>
      <w:r w:rsidR="00EA3C53">
        <w:rPr>
          <w:rFonts w:ascii="Times New Roman" w:hAnsi="Times New Roman" w:cs="Times New Roman"/>
          <w:b/>
          <w:bCs/>
        </w:rPr>
        <w:t>p</w:t>
      </w:r>
      <w:r w:rsidR="00EA3C53">
        <w:rPr>
          <w:rFonts w:ascii="Times New Roman" w:hAnsi="Times New Roman" w:cs="Times New Roman"/>
        </w:rPr>
        <w:t xml:space="preserve"> and the </w:t>
      </w:r>
      <w:r w:rsidR="00EA3C53">
        <w:rPr>
          <w:rFonts w:ascii="Times New Roman" w:hAnsi="Times New Roman" w:cs="Times New Roman"/>
        </w:rPr>
        <w:lastRenderedPageBreak/>
        <w:t xml:space="preserve">time-to-deadline (in days) as </w:t>
      </w:r>
      <w:r w:rsidR="00EA3C53">
        <w:rPr>
          <w:rFonts w:ascii="Times New Roman" w:hAnsi="Times New Roman" w:cs="Times New Roman"/>
          <w:b/>
          <w:bCs/>
        </w:rPr>
        <w:t>t</w:t>
      </w:r>
      <w:r w:rsidR="00EA3C53">
        <w:rPr>
          <w:rFonts w:ascii="Times New Roman" w:hAnsi="Times New Roman" w:cs="Times New Roman"/>
        </w:rPr>
        <w:t xml:space="preserve"> to </w:t>
      </w:r>
      <w:r w:rsidR="005F55DB">
        <w:rPr>
          <w:rFonts w:ascii="Times New Roman" w:hAnsi="Times New Roman" w:cs="Times New Roman"/>
        </w:rPr>
        <w:t>compute an implied daily hazard at each horizon snapshot.</w:t>
      </w:r>
      <w:r w:rsidR="00A065A8">
        <w:rPr>
          <w:rFonts w:ascii="Times New Roman" w:hAnsi="Times New Roman" w:cs="Times New Roman"/>
        </w:rPr>
        <w:t xml:space="preserve"> Thus, for each market our final analysis table contains (i)</w:t>
      </w:r>
      <w:r w:rsidRPr="00B35D73">
        <w:rPr>
          <w:rFonts w:ascii="Times New Roman" w:hAnsi="Times New Roman" w:cs="Times New Roman"/>
        </w:rPr>
        <w:t xml:space="preserve"> the three snapshot prices, </w:t>
      </w:r>
      <w:r w:rsidR="00A065A8">
        <w:rPr>
          <w:rFonts w:ascii="Times New Roman" w:hAnsi="Times New Roman" w:cs="Times New Roman"/>
        </w:rPr>
        <w:t xml:space="preserve">(ii) </w:t>
      </w:r>
      <w:r w:rsidRPr="00B35D73">
        <w:rPr>
          <w:rFonts w:ascii="Times New Roman" w:hAnsi="Times New Roman" w:cs="Times New Roman"/>
        </w:rPr>
        <w:t xml:space="preserve">three implied rates, </w:t>
      </w:r>
      <w:r w:rsidR="00A065A8">
        <w:rPr>
          <w:rFonts w:ascii="Times New Roman" w:hAnsi="Times New Roman" w:cs="Times New Roman"/>
        </w:rPr>
        <w:t xml:space="preserve">(iii) </w:t>
      </w:r>
      <w:r w:rsidRPr="00B35D73">
        <w:rPr>
          <w:rFonts w:ascii="Times New Roman" w:hAnsi="Times New Roman" w:cs="Times New Roman"/>
        </w:rPr>
        <w:t>their log transforms, and</w:t>
      </w:r>
      <w:r w:rsidR="00A065A8">
        <w:rPr>
          <w:rFonts w:ascii="Times New Roman" w:hAnsi="Times New Roman" w:cs="Times New Roman"/>
        </w:rPr>
        <w:t xml:space="preserve"> (iv)</w:t>
      </w:r>
      <w:r w:rsidRPr="00B35D73">
        <w:rPr>
          <w:rFonts w:ascii="Times New Roman" w:hAnsi="Times New Roman" w:cs="Times New Roman"/>
        </w:rPr>
        <w:t xml:space="preserve"> the between-horizon deltas used in modeling. In our current run, the wide table contains 6,724 markets with sufficient data coverage to compute the horizon quantities.</w:t>
      </w:r>
      <w:r w:rsidR="004F1CDF">
        <w:rPr>
          <w:rFonts w:ascii="Times New Roman" w:hAnsi="Times New Roman" w:cs="Times New Roman"/>
        </w:rPr>
        <w:t xml:space="preserve"> </w:t>
      </w:r>
      <w:r w:rsidRPr="00B35D73">
        <w:rPr>
          <w:rFonts w:ascii="Times New Roman" w:hAnsi="Times New Roman" w:cs="Times New Roman"/>
        </w:rPr>
        <w:t xml:space="preserve">All SQL used to build </w:t>
      </w:r>
      <w:r w:rsidR="004F1CDF">
        <w:rPr>
          <w:rFonts w:ascii="Times New Roman" w:hAnsi="Times New Roman" w:cs="Times New Roman"/>
        </w:rPr>
        <w:t>our</w:t>
      </w:r>
      <w:r w:rsidRPr="00B35D73">
        <w:rPr>
          <w:rFonts w:ascii="Times New Roman" w:hAnsi="Times New Roman" w:cs="Times New Roman"/>
        </w:rPr>
        <w:t xml:space="preserve"> tables is recorded verbatim in </w:t>
      </w:r>
      <w:r w:rsidRPr="00B35D73">
        <w:rPr>
          <w:rFonts w:ascii="Times New Roman" w:hAnsi="Times New Roman" w:cs="Times New Roman"/>
          <w:i/>
          <w:iCs/>
        </w:rPr>
        <w:t>analysis_pipeline.sql</w:t>
      </w:r>
      <w:r w:rsidRPr="00B35D73">
        <w:rPr>
          <w:rFonts w:ascii="Times New Roman" w:hAnsi="Times New Roman" w:cs="Times New Roman"/>
        </w:rPr>
        <w:t xml:space="preserve"> and was executed in Beekeeper Studio</w:t>
      </w:r>
      <w:r w:rsidR="008E03F0">
        <w:rPr>
          <w:rFonts w:ascii="Times New Roman" w:hAnsi="Times New Roman" w:cs="Times New Roman"/>
        </w:rPr>
        <w:t>’s SQLite GUI</w:t>
      </w:r>
      <w:r w:rsidR="00A809E1">
        <w:rPr>
          <w:rFonts w:ascii="Times New Roman" w:hAnsi="Times New Roman" w:cs="Times New Roman"/>
        </w:rPr>
        <w:t xml:space="preserve"> (</w:t>
      </w:r>
      <w:r w:rsidR="00FB383E">
        <w:rPr>
          <w:rFonts w:ascii="Times New Roman" w:hAnsi="Times New Roman" w:cs="Times New Roman"/>
        </w:rPr>
        <w:t>Beekeeper Studio, n.d</w:t>
      </w:r>
      <w:r w:rsidR="00A809E1">
        <w:rPr>
          <w:rFonts w:ascii="Times New Roman" w:hAnsi="Times New Roman" w:cs="Times New Roman"/>
        </w:rPr>
        <w:t>)</w:t>
      </w:r>
      <w:r w:rsidRPr="00B35D73">
        <w:rPr>
          <w:rFonts w:ascii="Times New Roman" w:hAnsi="Times New Roman" w:cs="Times New Roman"/>
        </w:rPr>
        <w:t xml:space="preserve">. The </w:t>
      </w:r>
      <w:r w:rsidR="004F1CDF">
        <w:rPr>
          <w:rFonts w:ascii="Times New Roman" w:hAnsi="Times New Roman" w:cs="Times New Roman"/>
        </w:rPr>
        <w:t xml:space="preserve">final </w:t>
      </w:r>
      <w:r w:rsidRPr="00B35D73">
        <w:rPr>
          <w:rFonts w:ascii="Times New Roman" w:hAnsi="Times New Roman" w:cs="Times New Roman"/>
        </w:rPr>
        <w:t>exported analysis table</w:t>
      </w:r>
      <w:r w:rsidR="004F1CDF">
        <w:rPr>
          <w:rFonts w:ascii="Times New Roman" w:hAnsi="Times New Roman" w:cs="Times New Roman"/>
        </w:rPr>
        <w:t xml:space="preserve"> we</w:t>
      </w:r>
      <w:r w:rsidRPr="00B35D73">
        <w:rPr>
          <w:rFonts w:ascii="Times New Roman" w:hAnsi="Times New Roman" w:cs="Times New Roman"/>
        </w:rPr>
        <w:t xml:space="preserve"> used for modeling is </w:t>
      </w:r>
      <w:r w:rsidRPr="00B35D73">
        <w:rPr>
          <w:rFonts w:ascii="Times New Roman" w:hAnsi="Times New Roman" w:cs="Times New Roman"/>
          <w:i/>
          <w:iCs/>
        </w:rPr>
        <w:t>timing_model_analysis_bft.csv</w:t>
      </w:r>
      <w:r w:rsidRPr="00B35D73">
        <w:rPr>
          <w:rFonts w:ascii="Times New Roman" w:hAnsi="Times New Roman" w:cs="Times New Roman"/>
        </w:rPr>
        <w:t>.</w:t>
      </w:r>
    </w:p>
    <w:p w14:paraId="5D3107C3" w14:textId="77777777" w:rsidR="00B35D73" w:rsidRPr="00B35D73" w:rsidRDefault="00B35D73" w:rsidP="00A809E1">
      <w:pPr>
        <w:spacing w:line="480" w:lineRule="auto"/>
        <w:jc w:val="center"/>
        <w:rPr>
          <w:rFonts w:ascii="Times New Roman" w:hAnsi="Times New Roman" w:cs="Times New Roman"/>
          <w:b/>
          <w:bCs/>
        </w:rPr>
      </w:pPr>
      <w:r w:rsidRPr="00B35D73">
        <w:rPr>
          <w:rFonts w:ascii="Times New Roman" w:hAnsi="Times New Roman" w:cs="Times New Roman"/>
          <w:b/>
          <w:bCs/>
        </w:rPr>
        <w:t>Model specification</w:t>
      </w:r>
    </w:p>
    <w:p w14:paraId="5D395FEE" w14:textId="77777777" w:rsidR="00283748" w:rsidRDefault="00283748" w:rsidP="009F2DAE">
      <w:pPr>
        <w:spacing w:line="480" w:lineRule="auto"/>
        <w:rPr>
          <w:rFonts w:ascii="Times New Roman" w:hAnsi="Times New Roman" w:cs="Times New Roman"/>
        </w:rPr>
      </w:pPr>
      <w:r w:rsidRPr="00283748">
        <w:rPr>
          <w:rFonts w:ascii="Times New Roman" w:hAnsi="Times New Roman" w:cs="Times New Roman"/>
        </w:rPr>
        <w:t xml:space="preserve">The key modeling move is to work on the implied hazard scale rather than directly on price levels. Price is a probability-like level. Hazard is a timing rate. For the same </w:t>
      </w:r>
      <w:r w:rsidRPr="00283748">
        <w:rPr>
          <w:rFonts w:ascii="Times New Roman" w:hAnsi="Times New Roman" w:cs="Times New Roman"/>
          <w:b/>
          <w:bCs/>
        </w:rPr>
        <w:t>p</w:t>
      </w:r>
      <w:r w:rsidRPr="00283748">
        <w:rPr>
          <w:rFonts w:ascii="Times New Roman" w:hAnsi="Times New Roman" w:cs="Times New Roman"/>
        </w:rPr>
        <w:t xml:space="preserve">, the implied </w:t>
      </w:r>
      <w:r w:rsidRPr="00283748">
        <w:rPr>
          <w:rFonts w:ascii="Times New Roman" w:hAnsi="Times New Roman" w:cs="Times New Roman"/>
          <w:b/>
          <w:bCs/>
        </w:rPr>
        <w:t>λ</w:t>
      </w:r>
      <w:r w:rsidRPr="00283748">
        <w:rPr>
          <w:rFonts w:ascii="Times New Roman" w:hAnsi="Times New Roman" w:cs="Times New Roman"/>
        </w:rPr>
        <w:t xml:space="preserve"> is much larger when </w:t>
      </w:r>
      <w:r w:rsidRPr="00283748">
        <w:rPr>
          <w:rFonts w:ascii="Times New Roman" w:hAnsi="Times New Roman" w:cs="Times New Roman"/>
          <w:b/>
          <w:bCs/>
        </w:rPr>
        <w:t>t</w:t>
      </w:r>
      <w:r w:rsidRPr="00283748">
        <w:rPr>
          <w:rFonts w:ascii="Times New Roman" w:hAnsi="Times New Roman" w:cs="Times New Roman"/>
        </w:rPr>
        <w:t xml:space="preserve"> is small than when </w:t>
      </w:r>
      <w:r w:rsidRPr="00283748">
        <w:rPr>
          <w:rFonts w:ascii="Times New Roman" w:hAnsi="Times New Roman" w:cs="Times New Roman"/>
          <w:b/>
          <w:bCs/>
        </w:rPr>
        <w:t>t</w:t>
      </w:r>
      <w:r w:rsidRPr="00283748">
        <w:rPr>
          <w:rFonts w:ascii="Times New Roman" w:hAnsi="Times New Roman" w:cs="Times New Roman"/>
        </w:rPr>
        <w:t xml:space="preserve"> is large, which makes hazard a natural object for studying horizon effects.</w:t>
      </w:r>
    </w:p>
    <w:p w14:paraId="2C82E19F" w14:textId="66BF50AB" w:rsidR="000A2738" w:rsidRPr="00910224" w:rsidRDefault="00B35D73" w:rsidP="009F2DAE">
      <w:pPr>
        <w:spacing w:line="480" w:lineRule="auto"/>
        <w:rPr>
          <w:rFonts w:ascii="Times New Roman" w:hAnsi="Times New Roman" w:cs="Times New Roman"/>
        </w:rPr>
      </w:pPr>
      <w:r w:rsidRPr="00B35D73">
        <w:rPr>
          <w:rFonts w:ascii="Times New Roman" w:hAnsi="Times New Roman" w:cs="Times New Roman"/>
        </w:rPr>
        <w:t xml:space="preserve">For market </w:t>
      </w:r>
      <w:r w:rsidR="000A2738">
        <w:rPr>
          <w:rFonts w:ascii="Times New Roman" w:hAnsi="Times New Roman" w:cs="Times New Roman"/>
          <w:b/>
          <w:bCs/>
        </w:rPr>
        <w:t>i</w:t>
      </w:r>
      <w:r w:rsidR="000A2738">
        <w:rPr>
          <w:rFonts w:ascii="Times New Roman" w:hAnsi="Times New Roman" w:cs="Times New Roman"/>
        </w:rPr>
        <w:t xml:space="preserve"> and horizon </w:t>
      </w:r>
      <m:oMath>
        <m:r>
          <m:rPr>
            <m:sty m:val="bi"/>
          </m:rPr>
          <w:rPr>
            <w:rFonts w:ascii="Cambria Math" w:hAnsi="Cambria Math" w:cs="Times New Roman"/>
          </w:rPr>
          <m:t>h ϵ {30, 7, 1}</m:t>
        </m:r>
        <m:r>
          <m:rPr>
            <m:sty m:val="bi"/>
          </m:rPr>
          <w:rPr>
            <w:rFonts w:ascii="Cambria Math" w:hAnsi="Cambria Math" w:cs="Times New Roman"/>
          </w:rPr>
          <m:t xml:space="preserve">, </m:t>
        </m:r>
      </m:oMath>
      <w:r w:rsidR="0016675E">
        <w:rPr>
          <w:rFonts w:ascii="Times New Roman" w:eastAsiaTheme="minorEastAsia" w:hAnsi="Times New Roman" w:cs="Times New Roman"/>
          <w:b/>
          <w:bCs/>
        </w:rPr>
        <w:t xml:space="preserve"> </w:t>
      </w:r>
      <w:r w:rsidR="0016675E">
        <w:rPr>
          <w:rFonts w:ascii="Times New Roman" w:eastAsiaTheme="minorEastAsia" w:hAnsi="Times New Roman" w:cs="Times New Roman"/>
        </w:rPr>
        <w:t xml:space="preserve">we </w:t>
      </w:r>
      <w:r w:rsidR="00C17844">
        <w:rPr>
          <w:rFonts w:ascii="Times New Roman" w:eastAsiaTheme="minorEastAsia" w:hAnsi="Times New Roman" w:cs="Times New Roman"/>
        </w:rPr>
        <w:t xml:space="preserve">let </w:t>
      </w:r>
      <m:oMath>
        <m:sSub>
          <m:sSubPr>
            <m:ctrlPr>
              <w:rPr>
                <w:rFonts w:ascii="Cambria Math" w:hAnsi="Cambria Math" w:cs="Times New Roman"/>
                <w:b/>
                <w:bCs/>
                <w:i/>
              </w:rPr>
            </m:ctrlPr>
          </m:sSubPr>
          <m:e>
            <m:r>
              <m:rPr>
                <m:sty m:val="bi"/>
              </m:rPr>
              <w:rPr>
                <w:rFonts w:ascii="Cambria Math" w:hAnsi="Cambria Math" w:cs="Times New Roman"/>
              </w:rPr>
              <m:t>p</m:t>
            </m:r>
          </m:e>
          <m:sub>
            <m:r>
              <m:rPr>
                <m:sty m:val="b"/>
              </m:rPr>
              <w:rPr>
                <w:rFonts w:ascii="Cambria Math" w:hAnsi="Cambria Math" w:cs="Times New Roman"/>
              </w:rPr>
              <m:t>{i,h}</m:t>
            </m:r>
          </m:sub>
        </m:sSub>
        <m:r>
          <w:rPr>
            <w:rFonts w:ascii="Cambria Math" w:hAnsi="Cambria Math" w:cs="Times New Roman"/>
          </w:rPr>
          <m:t xml:space="preserve"> </m:t>
        </m:r>
      </m:oMath>
      <w:r w:rsidR="00C17844" w:rsidRPr="00B35D73">
        <w:rPr>
          <w:rFonts w:ascii="Times New Roman" w:hAnsi="Times New Roman" w:cs="Times New Roman"/>
        </w:rPr>
        <w:t>be the YES price observed</w:t>
      </w:r>
      <w:r w:rsidR="00C17844">
        <w:rPr>
          <w:rFonts w:ascii="Times New Roman" w:hAnsi="Times New Roman" w:cs="Times New Roman"/>
        </w:rPr>
        <w:t xml:space="preserve"> at the selected snapshot, and let </w:t>
      </w:r>
      <m:oMath>
        <m:sSub>
          <m:sSubPr>
            <m:ctrlPr>
              <w:rPr>
                <w:rFonts w:ascii="Cambria Math" w:hAnsi="Cambria Math" w:cs="Times New Roman"/>
                <w:b/>
                <w:bCs/>
                <w:i/>
              </w:rPr>
            </m:ctrlPr>
          </m:sSubPr>
          <m:e>
            <m:r>
              <m:rPr>
                <m:sty m:val="bi"/>
              </m:rPr>
              <w:rPr>
                <w:rFonts w:ascii="Cambria Math" w:hAnsi="Cambria Math" w:cs="Times New Roman"/>
              </w:rPr>
              <m:t>t</m:t>
            </m:r>
          </m:e>
          <m:sub>
            <m:r>
              <m:rPr>
                <m:sty m:val="b"/>
              </m:rPr>
              <w:rPr>
                <w:rFonts w:ascii="Cambria Math" w:hAnsi="Cambria Math" w:cs="Times New Roman"/>
              </w:rPr>
              <m:t>{i,h}</m:t>
            </m:r>
          </m:sub>
        </m:sSub>
      </m:oMath>
      <w:r w:rsidR="00C17844">
        <w:rPr>
          <w:rFonts w:ascii="Times New Roman" w:eastAsiaTheme="minorEastAsia" w:hAnsi="Times New Roman" w:cs="Times New Roman"/>
          <w:b/>
          <w:bCs/>
        </w:rPr>
        <w:t xml:space="preserve"> </w:t>
      </w:r>
      <w:r w:rsidR="00C17844">
        <w:rPr>
          <w:rFonts w:ascii="Times New Roman" w:eastAsiaTheme="minorEastAsia" w:hAnsi="Times New Roman" w:cs="Times New Roman"/>
        </w:rPr>
        <w:t xml:space="preserve">be the days remaining to the deadline at that timestamp. We then compute </w:t>
      </w:r>
      <m:oMath>
        <m:sSub>
          <m:sSubPr>
            <m:ctrlPr>
              <w:rPr>
                <w:rFonts w:ascii="Cambria Math" w:hAnsi="Cambria Math" w:cs="Times New Roman"/>
                <w:b/>
                <w:bCs/>
                <w:i/>
              </w:rPr>
            </m:ctrlPr>
          </m:sSubPr>
          <m:e>
            <m:r>
              <m:rPr>
                <m:sty m:val="bi"/>
              </m:rPr>
              <w:rPr>
                <w:rFonts w:ascii="Cambria Math" w:hAnsi="Cambria Math" w:cs="Times New Roman"/>
              </w:rPr>
              <m:t>λ</m:t>
            </m:r>
          </m:e>
          <m:sub>
            <m:r>
              <m:rPr>
                <m:sty m:val="b"/>
              </m:rPr>
              <w:rPr>
                <w:rFonts w:ascii="Cambria Math" w:hAnsi="Cambria Math" w:cs="Times New Roman"/>
              </w:rPr>
              <m:t>{i,h}</m:t>
            </m:r>
          </m:sub>
        </m:sSub>
        <m:r>
          <m:rPr>
            <m:sty m:val="bi"/>
          </m:rPr>
          <w:rPr>
            <w:rFonts w:ascii="Cambria Math" w:hAnsi="Cambria Math" w:cs="Times New Roman"/>
          </w:rPr>
          <m:t xml:space="preserve">= - </m:t>
        </m:r>
        <m:f>
          <m:fPr>
            <m:ctrlPr>
              <w:rPr>
                <w:rFonts w:ascii="Cambria Math" w:hAnsi="Cambria Math" w:cs="Times New Roman"/>
                <w:b/>
                <w:bCs/>
                <w:i/>
              </w:rPr>
            </m:ctrlPr>
          </m:fPr>
          <m:num>
            <m:r>
              <m:rPr>
                <m:sty m:val="bi"/>
              </m:rPr>
              <w:rPr>
                <w:rFonts w:ascii="Cambria Math" w:hAnsi="Cambria Math" w:cs="Times New Roman"/>
              </w:rPr>
              <m:t xml:space="preserve">log(1 - </m:t>
            </m:r>
            <m:sSub>
              <m:sSubPr>
                <m:ctrlPr>
                  <w:rPr>
                    <w:rFonts w:ascii="Cambria Math" w:hAnsi="Cambria Math" w:cs="Times New Roman"/>
                    <w:b/>
                    <w:bCs/>
                    <w:i/>
                  </w:rPr>
                </m:ctrlPr>
              </m:sSubPr>
              <m:e>
                <m:r>
                  <m:rPr>
                    <m:sty m:val="bi"/>
                  </m:rPr>
                  <w:rPr>
                    <w:rFonts w:ascii="Cambria Math" w:hAnsi="Cambria Math" w:cs="Times New Roman"/>
                  </w:rPr>
                  <m:t>p</m:t>
                </m:r>
              </m:e>
              <m:sub>
                <m:r>
                  <m:rPr>
                    <m:sty m:val="b"/>
                  </m:rPr>
                  <w:rPr>
                    <w:rFonts w:ascii="Cambria Math" w:hAnsi="Cambria Math" w:cs="Times New Roman"/>
                  </w:rPr>
                  <m:t>{i,h}</m:t>
                </m:r>
              </m:sub>
            </m:sSub>
            <m:r>
              <m:rPr>
                <m:sty m:val="bi"/>
              </m:rPr>
              <w:rPr>
                <w:rFonts w:ascii="Cambria Math" w:hAnsi="Cambria Math" w:cs="Times New Roman"/>
              </w:rPr>
              <m:t>)</m:t>
            </m:r>
          </m:num>
          <m:den>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{i,h}</m:t>
                </m:r>
              </m:sub>
            </m:sSub>
          </m:den>
        </m:f>
      </m:oMath>
      <w:r w:rsidR="00910224">
        <w:rPr>
          <w:rFonts w:ascii="Times New Roman" w:eastAsiaTheme="minorEastAsia" w:hAnsi="Times New Roman" w:cs="Times New Roman"/>
          <w:b/>
          <w:bCs/>
        </w:rPr>
        <w:t xml:space="preserve"> </w:t>
      </w:r>
      <w:r w:rsidR="00910224">
        <w:rPr>
          <w:rFonts w:ascii="Times New Roman" w:eastAsiaTheme="minorEastAsia" w:hAnsi="Times New Roman" w:cs="Times New Roman"/>
        </w:rPr>
        <w:t xml:space="preserve">, and </w:t>
      </w:r>
      <w:r w:rsidR="00B65572">
        <w:rPr>
          <w:rFonts w:ascii="Times New Roman" w:eastAsiaTheme="minorEastAsia" w:hAnsi="Times New Roman" w:cs="Times New Roman"/>
        </w:rPr>
        <w:t xml:space="preserve">define the modeled response as: </w:t>
      </w:r>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m:t>
            </m:r>
            <m:r>
              <m:rPr>
                <m:sty m:val="bi"/>
              </m:rPr>
              <w:rPr>
                <w:rFonts w:ascii="Cambria Math" w:hAnsi="Cambria Math" w:cs="Times New Roman"/>
              </w:rPr>
              <m:t>i,h</m:t>
            </m:r>
            <m:r>
              <m:rPr>
                <m:sty m:val="bi"/>
              </m:rPr>
              <w:rPr>
                <w:rFonts w:ascii="Cambria Math" w:hAnsi="Cambria Math" w:cs="Times New Roman"/>
              </w:rPr>
              <m:t>}</m:t>
            </m:r>
          </m:sub>
        </m:sSub>
        <m:r>
          <m:rPr>
            <m:sty m:val="bi"/>
          </m:rPr>
          <w:rPr>
            <w:rFonts w:ascii="Cambria Math" w:hAnsi="Cambria Math" w:cs="Times New Roman"/>
          </w:rPr>
          <m:t>= log(</m:t>
        </m:r>
        <m:sSub>
          <m:sSubPr>
            <m:ctrlPr>
              <w:rPr>
                <w:rFonts w:ascii="Cambria Math" w:hAnsi="Cambria Math" w:cs="Times New Roman"/>
                <w:b/>
                <w:bCs/>
                <w:i/>
              </w:rPr>
            </m:ctrlPr>
          </m:sSubPr>
          <m:e>
            <m:r>
              <m:rPr>
                <m:sty m:val="bi"/>
              </m:rPr>
              <w:rPr>
                <w:rFonts w:ascii="Cambria Math" w:hAnsi="Cambria Math" w:cs="Times New Roman"/>
              </w:rPr>
              <m:t>λ</m:t>
            </m:r>
          </m:e>
          <m:sub>
            <m:r>
              <m:rPr>
                <m:sty m:val="b"/>
              </m:rPr>
              <w:rPr>
                <w:rFonts w:ascii="Cambria Math" w:hAnsi="Cambria Math" w:cs="Times New Roman"/>
              </w:rPr>
              <m:t>{i,h}</m:t>
            </m:r>
          </m:sub>
        </m:sSub>
        <m:r>
          <m:rPr>
            <m:sty m:val="bi"/>
          </m:rPr>
          <w:rPr>
            <w:rFonts w:ascii="Cambria Math" w:eastAsiaTheme="minorEastAsia" w:hAnsi="Cambria Math" w:cs="Times New Roman"/>
          </w:rPr>
          <m:t>)</m:t>
        </m:r>
      </m:oMath>
      <w:r w:rsidR="00B65572" w:rsidRPr="00832DA3">
        <w:rPr>
          <w:rFonts w:ascii="Times New Roman" w:eastAsiaTheme="minorEastAsia" w:hAnsi="Times New Roman" w:cs="Times New Roman"/>
        </w:rPr>
        <w:t>.</w:t>
      </w:r>
      <w:r w:rsidR="00300E7B">
        <w:rPr>
          <w:rFonts w:ascii="Times New Roman" w:eastAsiaTheme="minorEastAsia" w:hAnsi="Times New Roman" w:cs="Times New Roman"/>
        </w:rPr>
        <w:t xml:space="preserve"> </w:t>
      </w:r>
      <w:r w:rsidR="00300E7B">
        <w:rPr>
          <w:rFonts w:ascii="Times New Roman" w:eastAsiaTheme="minorEastAsia" w:hAnsi="Times New Roman" w:cs="Times New Roman"/>
        </w:rPr>
        <w:t xml:space="preserve">By working on the log-rate scale, horizon effects become interpretable as </w:t>
      </w:r>
      <w:r w:rsidR="00300E7B" w:rsidRPr="00B35D73">
        <w:rPr>
          <w:rFonts w:ascii="Times New Roman" w:hAnsi="Times New Roman" w:cs="Times New Roman"/>
        </w:rPr>
        <w:t xml:space="preserve">multiplicative changes in </w:t>
      </w:r>
      <w:r w:rsidR="00300E7B" w:rsidRPr="00B35D73">
        <w:rPr>
          <w:rFonts w:ascii="Times New Roman" w:hAnsi="Times New Roman" w:cs="Times New Roman"/>
          <w:b/>
          <w:bCs/>
        </w:rPr>
        <w:t>λ</w:t>
      </w:r>
      <w:r w:rsidR="00300E7B" w:rsidRPr="00B35D73">
        <w:rPr>
          <w:rFonts w:ascii="Times New Roman" w:hAnsi="Times New Roman" w:cs="Times New Roman"/>
        </w:rPr>
        <w:t>.</w:t>
      </w:r>
    </w:p>
    <w:p w14:paraId="63D4B6D4" w14:textId="5EA945E5" w:rsidR="00DD1207" w:rsidRDefault="00B16F9C" w:rsidP="009F2DAE">
      <w:pPr>
        <w:spacing w:line="480" w:lineRule="auto"/>
        <w:rPr>
          <w:rFonts w:ascii="Times New Roman" w:hAnsi="Times New Roman" w:cs="Times New Roman"/>
        </w:rPr>
      </w:pPr>
      <w:r>
        <w:rPr>
          <w:rFonts w:ascii="Times New Roman" w:hAnsi="Times New Roman" w:cs="Times New Roman"/>
        </w:rPr>
        <w:t>Moreover, m</w:t>
      </w:r>
      <w:r w:rsidR="00B35D73" w:rsidRPr="00B35D73">
        <w:rPr>
          <w:rFonts w:ascii="Times New Roman" w:hAnsi="Times New Roman" w:cs="Times New Roman"/>
        </w:rPr>
        <w:t xml:space="preserve">arkets differ dramatically in baseline likelihood because they refer to different underlying events. </w:t>
      </w:r>
      <w:r w:rsidR="00DD1207">
        <w:rPr>
          <w:rFonts w:ascii="Times New Roman" w:hAnsi="Times New Roman" w:cs="Times New Roman"/>
        </w:rPr>
        <w:t>If we ignore that heterogeneity, we risk confusing event-specific base rates with h</w:t>
      </w:r>
      <w:r w:rsidR="00502532">
        <w:rPr>
          <w:rFonts w:ascii="Times New Roman" w:hAnsi="Times New Roman" w:cs="Times New Roman"/>
        </w:rPr>
        <w:t xml:space="preserve">orizon effects. To address this, we use a hierarchical model with event-level pooling. Letting </w:t>
      </w:r>
      <w:r w:rsidR="00502532" w:rsidRPr="00B35D73">
        <w:rPr>
          <w:rFonts w:ascii="Times New Roman" w:hAnsi="Times New Roman" w:cs="Times New Roman"/>
          <w:b/>
          <w:bCs/>
        </w:rPr>
        <w:t>g(i)</w:t>
      </w:r>
      <w:r w:rsidR="00502532">
        <w:rPr>
          <w:rFonts w:ascii="Times New Roman" w:hAnsi="Times New Roman" w:cs="Times New Roman"/>
          <w:b/>
          <w:bCs/>
        </w:rPr>
        <w:t xml:space="preserve"> </w:t>
      </w:r>
      <w:r w:rsidR="00502532">
        <w:rPr>
          <w:rFonts w:ascii="Times New Roman" w:hAnsi="Times New Roman" w:cs="Times New Roman"/>
        </w:rPr>
        <w:t xml:space="preserve">be the event group for market </w:t>
      </w:r>
      <w:r w:rsidR="00502532">
        <w:rPr>
          <w:rFonts w:ascii="Times New Roman" w:hAnsi="Times New Roman" w:cs="Times New Roman"/>
          <w:b/>
          <w:bCs/>
        </w:rPr>
        <w:t>i</w:t>
      </w:r>
      <w:r w:rsidR="00502532">
        <w:rPr>
          <w:rFonts w:ascii="Times New Roman" w:hAnsi="Times New Roman" w:cs="Times New Roman"/>
        </w:rPr>
        <w:t xml:space="preserve"> (using </w:t>
      </w:r>
      <w:r w:rsidR="00502532">
        <w:rPr>
          <w:rFonts w:ascii="Times New Roman" w:hAnsi="Times New Roman" w:cs="Times New Roman"/>
          <w:i/>
          <w:iCs/>
        </w:rPr>
        <w:t>event_slug</w:t>
      </w:r>
      <w:r w:rsidR="00502532">
        <w:rPr>
          <w:rFonts w:ascii="Times New Roman" w:hAnsi="Times New Roman" w:cs="Times New Roman"/>
        </w:rPr>
        <w:t xml:space="preserve"> as the grouping label),</w:t>
      </w:r>
      <w:r w:rsidR="005F1979">
        <w:rPr>
          <w:rFonts w:ascii="Times New Roman" w:hAnsi="Times New Roman" w:cs="Times New Roman"/>
        </w:rPr>
        <w:t xml:space="preserve"> our model is:</w:t>
      </w:r>
    </w:p>
    <w:p w14:paraId="3910DE8C" w14:textId="24D884D2" w:rsidR="005F1979" w:rsidRPr="00ED60E1" w:rsidRDefault="005F1979" w:rsidP="00300E7B">
      <w:pPr>
        <w:spacing w:line="480" w:lineRule="auto"/>
        <w:ind w:firstLine="720"/>
        <w:rPr>
          <w:rFonts w:ascii="Times New Roman" w:eastAsiaTheme="minorEastAsia"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i,h</m:t>
              </m:r>
            </m:sub>
          </m:sSub>
          <m:r>
            <m:rPr>
              <m:sty m:val="bi"/>
            </m:rPr>
            <w:rPr>
              <w:rFonts w:ascii="Cambria Math" w:eastAsiaTheme="minorEastAsia" w:hAnsi="Cambria Math" w:cs="Times New Roman"/>
            </w:rPr>
            <m:t xml:space="preserve"> ~ Normal(μ +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u</m:t>
              </m:r>
            </m:e>
            <m:sub>
              <m:r>
                <m:rPr>
                  <m:sty m:val="bi"/>
                </m:rPr>
                <w:rPr>
                  <w:rFonts w:ascii="Cambria Math" w:eastAsiaTheme="minorEastAsia" w:hAnsi="Cambria Math" w:cs="Times New Roman"/>
                </w:rPr>
                <m:t>{g(i)}</m:t>
              </m:r>
            </m:sub>
          </m:sSub>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δ</m:t>
              </m:r>
            </m:e>
            <m:sub>
              <m:r>
                <m:rPr>
                  <m:sty m:val="bi"/>
                </m:rPr>
                <w:rPr>
                  <w:rFonts w:ascii="Cambria Math" w:eastAsiaTheme="minorEastAsia" w:hAnsi="Cambria Math" w:cs="Times New Roman"/>
                </w:rPr>
                <m:t>h</m:t>
              </m:r>
            </m:sub>
          </m:sSub>
          <m:r>
            <m:rPr>
              <m:sty m:val="bi"/>
            </m:rPr>
            <w:rPr>
              <w:rFonts w:ascii="Cambria Math" w:eastAsiaTheme="minorEastAsia" w:hAnsi="Cambria Math" w:cs="Times New Roman"/>
            </w:rPr>
            <m:t xml:space="preserve"> , σ)</m:t>
          </m:r>
        </m:oMath>
      </m:oMathPara>
    </w:p>
    <w:p w14:paraId="65B68829" w14:textId="22FF7367" w:rsidR="00B35D73" w:rsidRPr="00B35D73" w:rsidRDefault="00B35D73" w:rsidP="009F2DAE">
      <w:pPr>
        <w:spacing w:line="480" w:lineRule="auto"/>
        <w:rPr>
          <w:rFonts w:ascii="Times New Roman" w:hAnsi="Times New Roman" w:cs="Times New Roman"/>
        </w:rPr>
      </w:pPr>
      <w:r w:rsidRPr="00B35D73">
        <w:rPr>
          <w:rFonts w:ascii="Times New Roman" w:hAnsi="Times New Roman" w:cs="Times New Roman"/>
        </w:rPr>
        <w:t>Here</w:t>
      </w:r>
      <w:r w:rsidR="00625432">
        <w:rPr>
          <w:rFonts w:ascii="Times New Roman" w:hAnsi="Times New Roman" w:cs="Times New Roman"/>
        </w:rPr>
        <w:t>,</w:t>
      </w:r>
      <w:r w:rsidRPr="00B35D73">
        <w:rPr>
          <w:rFonts w:ascii="Times New Roman" w:hAnsi="Times New Roman" w:cs="Times New Roman"/>
        </w:rPr>
        <w:t xml:space="preserve"> </w:t>
      </w:r>
      <m:oMath>
        <m:r>
          <m:rPr>
            <m:sty m:val="bi"/>
          </m:rPr>
          <w:rPr>
            <w:rFonts w:ascii="Cambria Math" w:hAnsi="Cambria Math" w:cs="Times New Roman"/>
          </w:rPr>
          <m:t>μ</m:t>
        </m:r>
      </m:oMath>
      <w:r w:rsidR="00D6064F" w:rsidRPr="00770044">
        <w:rPr>
          <w:rFonts w:ascii="Times New Roman" w:hAnsi="Times New Roman" w:cs="Times New Roman"/>
        </w:rPr>
        <w:t xml:space="preserve"> is the global intercept (baseline log-rate at the reference horizon)</w:t>
      </w:r>
      <w:r w:rsidR="00043837">
        <w:rPr>
          <w:rFonts w:ascii="Times New Roman" w:hAnsi="Times New Roman" w:cs="Times New Roman"/>
        </w:rPr>
        <w:t>,</w:t>
      </w:r>
      <w:r w:rsidR="00D6064F">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μ</m:t>
            </m:r>
          </m:e>
          <m:sub>
            <m:r>
              <m:rPr>
                <m:sty m:val="bi"/>
              </m:rPr>
              <w:rPr>
                <w:rFonts w:ascii="Cambria Math" w:hAnsi="Cambria Math" w:cs="Times New Roman"/>
              </w:rPr>
              <m:t>{g(i)}</m:t>
            </m:r>
          </m:sub>
        </m:sSub>
        <m:r>
          <w:rPr>
            <w:rFonts w:ascii="Cambria Math" w:hAnsi="Cambria Math" w:cs="Times New Roman"/>
          </w:rPr>
          <m:t xml:space="preserve"> </m:t>
        </m:r>
      </m:oMath>
      <w:r w:rsidR="00D6064F" w:rsidRPr="00770044">
        <w:rPr>
          <w:rFonts w:ascii="Times New Roman" w:hAnsi="Times New Roman" w:cs="Times New Roman"/>
        </w:rPr>
        <w:t xml:space="preserve">is an event-level random intercept for the group </w:t>
      </w:r>
      <m:oMath>
        <m:r>
          <m:rPr>
            <m:sty m:val="bi"/>
          </m:rPr>
          <w:rPr>
            <w:rFonts w:ascii="Cambria Math" w:hAnsi="Cambria Math" w:cs="Times New Roman"/>
          </w:rPr>
          <m:t>g(i)</m:t>
        </m:r>
      </m:oMath>
      <w:r w:rsidR="00D6064F" w:rsidRPr="00770044">
        <w:rPr>
          <w:rFonts w:ascii="Times New Roman" w:hAnsi="Times New Roman" w:cs="Times New Roman"/>
        </w:rPr>
        <w:t xml:space="preserve"> associated with market </w:t>
      </w:r>
      <w:r w:rsidR="00D6064F" w:rsidRPr="00770044">
        <w:rPr>
          <w:rFonts w:ascii="Times New Roman" w:hAnsi="Times New Roman" w:cs="Times New Roman"/>
          <w:b/>
          <w:bCs/>
        </w:rPr>
        <w:t>i</w:t>
      </w:r>
      <w:r w:rsidR="00043837">
        <w:rPr>
          <w:rFonts w:ascii="Times New Roman" w:hAnsi="Times New Roman" w:cs="Times New Roman"/>
        </w:rPr>
        <w:t>, and</w:t>
      </w:r>
      <w:r w:rsidR="00043837">
        <w:rPr>
          <w:rFonts w:ascii="Times New Roman" w:hAnsi="Times New Roman" w:cs="Times New Roman"/>
        </w:rPr>
        <w:t xml:space="preserve"> </w:t>
      </w:r>
      <w:r w:rsidR="00043837" w:rsidRPr="00770044">
        <w:rPr>
          <w:rFonts w:ascii="Times New Roman" w:hAnsi="Times New Roman" w:cs="Times New Roman"/>
          <w:b/>
          <w:bCs/>
        </w:rPr>
        <w:t>σ</w:t>
      </w:r>
      <w:r w:rsidR="00043837" w:rsidRPr="00770044">
        <w:rPr>
          <w:rFonts w:ascii="Times New Roman" w:hAnsi="Times New Roman" w:cs="Times New Roman"/>
        </w:rPr>
        <w:t xml:space="preserve"> is residual noise capturing market-specific variation not explained by horizon or grouping</w:t>
      </w:r>
      <w:r w:rsidR="00252294">
        <w:rPr>
          <w:rFonts w:ascii="Times New Roman" w:hAnsi="Times New Roman" w:cs="Times New Roman"/>
        </w:rPr>
        <w:t>.</w:t>
      </w:r>
      <w:r w:rsidR="00D6064F">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AD1859" w:rsidRPr="00B35D73">
        <w:rPr>
          <w:rFonts w:ascii="Times New Roman" w:hAnsi="Times New Roman" w:cs="Times New Roman"/>
        </w:rPr>
        <w:t xml:space="preserve"> is the expected change in </w:t>
      </w:r>
      <w:r w:rsidR="00AD1859" w:rsidRPr="00B35D73">
        <w:rPr>
          <w:rFonts w:ascii="Times New Roman" w:hAnsi="Times New Roman" w:cs="Times New Roman"/>
          <w:b/>
          <w:bCs/>
        </w:rPr>
        <w:t>log λ</w:t>
      </w:r>
      <w:r w:rsidR="00AD1859" w:rsidRPr="00B35D73">
        <w:rPr>
          <w:rFonts w:ascii="Times New Roman" w:hAnsi="Times New Roman" w:cs="Times New Roman"/>
        </w:rPr>
        <w:t xml:space="preserve"> at roughly 7 days relative to 30 days</w:t>
      </w:r>
      <w:r w:rsidR="00AD1859">
        <w:rPr>
          <w:rFonts w:ascii="Times New Roman" w:hAnsi="Times New Roman" w:cs="Times New Roman"/>
        </w:rPr>
        <w:t>, holding event baseline fixed</w:t>
      </w:r>
      <w:r w:rsidR="00D03F8C">
        <w:rPr>
          <w:rFonts w:ascii="Times New Roman" w:hAnsi="Times New Roman" w:cs="Times New Roman"/>
        </w:rPr>
        <w:t>, and</w:t>
      </w:r>
      <w:r w:rsidR="00AD1859">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FE2FC2">
        <w:rPr>
          <w:rFonts w:ascii="Times New Roman" w:eastAsiaTheme="minorEastAsia" w:hAnsi="Times New Roman" w:cs="Times New Roman"/>
        </w:rPr>
        <w:t xml:space="preserve">, is the analogous change at roughly 1 day versus 30 days. On the hazard </w:t>
      </w:r>
      <w:r w:rsidR="00FE2FC2">
        <w:rPr>
          <w:rFonts w:ascii="Times New Roman" w:eastAsiaTheme="minorEastAsia" w:hAnsi="Times New Roman" w:cs="Times New Roman"/>
        </w:rPr>
        <w:lastRenderedPageBreak/>
        <w:t xml:space="preserve">scale, </w:t>
      </w:r>
      <m:oMath>
        <m:r>
          <m:rPr>
            <m:sty m:val="bi"/>
          </m:rPr>
          <w:rPr>
            <w:rFonts w:ascii="Cambria Math" w:eastAsiaTheme="minorEastAsia" w:hAnsi="Cambria Math" w:cs="Times New Roman"/>
          </w:rPr>
          <m:t>exp(</m:t>
        </m:r>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m:t>
        </m:r>
      </m:oMath>
      <w:r w:rsidR="00FE2FC2">
        <w:rPr>
          <w:rFonts w:ascii="Times New Roman" w:eastAsiaTheme="minorEastAsia" w:hAnsi="Times New Roman" w:cs="Times New Roman"/>
          <w:b/>
          <w:bCs/>
        </w:rPr>
        <w:t xml:space="preserve"> </w:t>
      </w:r>
      <w:r w:rsidR="00FE2FC2">
        <w:rPr>
          <w:rFonts w:ascii="Times New Roman" w:eastAsiaTheme="minorEastAsia" w:hAnsi="Times New Roman" w:cs="Times New Roman"/>
        </w:rPr>
        <w:t>is the multiplicative factor by which implied daily hazard increases at 1 day compared to 30 days.</w:t>
      </w:r>
      <w:r w:rsidR="00E93431">
        <w:rPr>
          <w:rFonts w:ascii="Times New Roman" w:eastAsiaTheme="minorEastAsia" w:hAnsi="Times New Roman" w:cs="Times New Roman"/>
        </w:rPr>
        <w:t xml:space="preserve"> This model is effective at answering our research question because if</w:t>
      </w:r>
      <w:r w:rsidR="00E93431">
        <w:rPr>
          <w:rFonts w:ascii="Times New Roman" w:hAnsi="Times New Roman" w:cs="Times New Roman"/>
        </w:rPr>
        <w:t xml:space="preserve"> the </w:t>
      </w:r>
      <w:r w:rsidR="00595905" w:rsidRPr="00770044">
        <w:rPr>
          <w:rFonts w:ascii="Times New Roman" w:hAnsi="Times New Roman" w:cs="Times New Roman"/>
        </w:rPr>
        <w:t xml:space="preserve">market-implied rate is stable across horizons for a fixed event, then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595905" w:rsidRPr="00770044">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595905" w:rsidRPr="00770044">
        <w:rPr>
          <w:rFonts w:ascii="Times New Roman" w:hAnsi="Times New Roman" w:cs="Times New Roman"/>
        </w:rPr>
        <w:t xml:space="preserve"> should be near zero. </w:t>
      </w:r>
      <w:r w:rsidR="00595905">
        <w:rPr>
          <w:rFonts w:ascii="Times New Roman" w:hAnsi="Times New Roman" w:cs="Times New Roman"/>
        </w:rPr>
        <w:t>Moreover, i</w:t>
      </w:r>
      <w:r w:rsidR="00595905" w:rsidRPr="00770044">
        <w:rPr>
          <w:rFonts w:ascii="Times New Roman" w:hAnsi="Times New Roman" w:cs="Times New Roman"/>
        </w:rPr>
        <w:t xml:space="preserve">f there is a systematic deadline effect, then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595905" w:rsidRPr="00770044">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595905" w:rsidRPr="00770044">
        <w:rPr>
          <w:rFonts w:ascii="Times New Roman" w:hAnsi="Times New Roman" w:cs="Times New Roman"/>
        </w:rPr>
        <w:t xml:space="preserve"> should differ from zero </w:t>
      </w:r>
      <w:r w:rsidR="00595905">
        <w:rPr>
          <w:rFonts w:ascii="Times New Roman" w:hAnsi="Times New Roman" w:cs="Times New Roman"/>
        </w:rPr>
        <w:t>(</w:t>
      </w:r>
      <w:r w:rsidR="00595905" w:rsidRPr="00770044">
        <w:rPr>
          <w:rFonts w:ascii="Times New Roman" w:hAnsi="Times New Roman" w:cs="Times New Roman"/>
        </w:rPr>
        <w:t>typically positive if implied rates rise as deadlines approach</w:t>
      </w:r>
      <w:r w:rsidR="00595905">
        <w:rPr>
          <w:rFonts w:ascii="Times New Roman" w:hAnsi="Times New Roman" w:cs="Times New Roman"/>
        </w:rPr>
        <w:t>)</w:t>
      </w:r>
      <w:r w:rsidR="00595905" w:rsidRPr="00770044">
        <w:rPr>
          <w:rFonts w:ascii="Times New Roman" w:hAnsi="Times New Roman" w:cs="Times New Roman"/>
        </w:rPr>
        <w:t>.</w:t>
      </w:r>
    </w:p>
    <w:p w14:paraId="269271E6" w14:textId="77777777" w:rsidR="00B35D73" w:rsidRPr="00B35D73" w:rsidRDefault="00B35D73" w:rsidP="000938C1">
      <w:pPr>
        <w:spacing w:line="480" w:lineRule="auto"/>
        <w:jc w:val="center"/>
        <w:rPr>
          <w:rFonts w:ascii="Times New Roman" w:hAnsi="Times New Roman" w:cs="Times New Roman"/>
          <w:b/>
          <w:bCs/>
        </w:rPr>
      </w:pPr>
      <w:r w:rsidRPr="00B35D73">
        <w:rPr>
          <w:rFonts w:ascii="Times New Roman" w:hAnsi="Times New Roman" w:cs="Times New Roman"/>
          <w:b/>
          <w:bCs/>
        </w:rPr>
        <w:t>Priors and hyperpriors</w:t>
      </w:r>
    </w:p>
    <w:p w14:paraId="5B2858B3" w14:textId="3ECC1E68" w:rsidR="00B35D73" w:rsidRDefault="00B35D73" w:rsidP="009F2DAE">
      <w:pPr>
        <w:spacing w:line="480" w:lineRule="auto"/>
        <w:rPr>
          <w:rFonts w:ascii="Times New Roman" w:hAnsi="Times New Roman" w:cs="Times New Roman"/>
        </w:rPr>
      </w:pPr>
      <w:r w:rsidRPr="00B35D73">
        <w:rPr>
          <w:rFonts w:ascii="Times New Roman" w:hAnsi="Times New Roman" w:cs="Times New Roman"/>
        </w:rPr>
        <w:t>We use weakly informative priors that regularize the model on the log-</w:t>
      </w:r>
      <w:r w:rsidR="009D7240">
        <w:rPr>
          <w:rFonts w:ascii="Times New Roman" w:hAnsi="Times New Roman" w:cs="Times New Roman"/>
        </w:rPr>
        <w:t>hazard</w:t>
      </w:r>
      <w:r w:rsidRPr="00B35D73">
        <w:rPr>
          <w:rFonts w:ascii="Times New Roman" w:hAnsi="Times New Roman" w:cs="Times New Roman"/>
        </w:rPr>
        <w:t xml:space="preserve"> scale </w:t>
      </w:r>
      <w:r w:rsidR="009D7240">
        <w:rPr>
          <w:rFonts w:ascii="Times New Roman" w:hAnsi="Times New Roman" w:cs="Times New Roman"/>
        </w:rPr>
        <w:t>while lea</w:t>
      </w:r>
      <w:r w:rsidR="00800755">
        <w:rPr>
          <w:rFonts w:ascii="Times New Roman" w:hAnsi="Times New Roman" w:cs="Times New Roman"/>
        </w:rPr>
        <w:t>v</w:t>
      </w:r>
      <w:r w:rsidR="009D7240">
        <w:rPr>
          <w:rFonts w:ascii="Times New Roman" w:hAnsi="Times New Roman" w:cs="Times New Roman"/>
        </w:rPr>
        <w:t>ing the sign and magnitude of the horizon effects to be learned from the data</w:t>
      </w:r>
      <w:r w:rsidR="00D33A2D">
        <w:rPr>
          <w:rFonts w:ascii="Times New Roman" w:hAnsi="Times New Roman" w:cs="Times New Roman"/>
        </w:rPr>
        <w:t>.</w:t>
      </w:r>
      <w:r w:rsidRPr="00B35D73">
        <w:rPr>
          <w:rFonts w:ascii="Times New Roman" w:hAnsi="Times New Roman" w:cs="Times New Roman"/>
        </w:rPr>
        <w:t xml:space="preserve"> The key design choice</w:t>
      </w:r>
      <w:r w:rsidR="00D33A2D">
        <w:rPr>
          <w:rFonts w:ascii="Times New Roman" w:hAnsi="Times New Roman" w:cs="Times New Roman"/>
        </w:rPr>
        <w:t xml:space="preserve"> here</w:t>
      </w:r>
      <w:r w:rsidRPr="00B35D73">
        <w:rPr>
          <w:rFonts w:ascii="Times New Roman" w:hAnsi="Times New Roman" w:cs="Times New Roman"/>
        </w:rPr>
        <w:t xml:space="preserve"> is that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Pr="00B35D73">
        <w:rPr>
          <w:rFonts w:ascii="Times New Roman" w:hAnsi="Times New Roman" w:cs="Times New Roman"/>
        </w:rPr>
        <w:t xml:space="preserve"> 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 xml:space="preserve"> </m:t>
        </m:r>
      </m:oMath>
      <w:r w:rsidRPr="00B35D73">
        <w:rPr>
          <w:rFonts w:ascii="Times New Roman" w:hAnsi="Times New Roman" w:cs="Times New Roman"/>
        </w:rPr>
        <w:t xml:space="preserve">are not given extremely wide priors; if they were, the posterior could be dominated by rare extreme </w:t>
      </w:r>
      <w:r w:rsidR="00D33A2D" w:rsidRPr="00B35D73">
        <w:rPr>
          <w:rFonts w:ascii="Times New Roman" w:hAnsi="Times New Roman" w:cs="Times New Roman"/>
        </w:rPr>
        <w:t>markets,</w:t>
      </w:r>
      <w:r w:rsidRPr="00B35D73">
        <w:rPr>
          <w:rFonts w:ascii="Times New Roman" w:hAnsi="Times New Roman" w:cs="Times New Roman"/>
        </w:rPr>
        <w:t xml:space="preserve"> and the model would become unstable.</w:t>
      </w:r>
    </w:p>
    <w:p w14:paraId="79927071" w14:textId="172FEF39" w:rsidR="00F53710" w:rsidRDefault="00831362" w:rsidP="00831362">
      <w:pPr>
        <w:spacing w:line="480" w:lineRule="auto"/>
        <w:rPr>
          <w:rFonts w:ascii="Times New Roman" w:eastAsiaTheme="minorEastAsia" w:hAnsi="Times New Roman" w:cs="Times New Roman"/>
        </w:rPr>
      </w:pPr>
      <w:r>
        <w:rPr>
          <w:rFonts w:ascii="Times New Roman" w:hAnsi="Times New Roman" w:cs="Times New Roman"/>
          <w:b/>
          <w:bCs/>
        </w:rPr>
        <w:t>Global Intercept</w:t>
      </w:r>
      <w:r>
        <w:rPr>
          <w:rFonts w:ascii="Times New Roman" w:hAnsi="Times New Roman" w:cs="Times New Roman"/>
          <w:b/>
          <w:bCs/>
        </w:rPr>
        <w:br/>
      </w:r>
      <m:oMathPara>
        <m:oMath>
          <m:r>
            <m:rPr>
              <m:sty m:val="bi"/>
            </m:rPr>
            <w:rPr>
              <w:rFonts w:ascii="Cambria Math" w:hAnsi="Cambria Math" w:cs="Times New Roman"/>
            </w:rPr>
            <m:t>μ</m:t>
          </m:r>
          <m:r>
            <m:rPr>
              <m:sty m:val="bi"/>
            </m:rPr>
            <w:rPr>
              <w:rFonts w:ascii="Cambria Math" w:hAnsi="Cambria Math" w:cs="Times New Roman"/>
            </w:rPr>
            <m:t>~Normal</m:t>
          </m:r>
          <m:d>
            <m:dPr>
              <m:ctrlPr>
                <w:rPr>
                  <w:rFonts w:ascii="Cambria Math" w:hAnsi="Cambria Math" w:cs="Times New Roman"/>
                  <w:b/>
                  <w:bCs/>
                  <w:i/>
                </w:rPr>
              </m:ctrlPr>
            </m:dPr>
            <m:e>
              <m:r>
                <m:rPr>
                  <m:sty m:val="bi"/>
                </m:rPr>
                <w:rPr>
                  <w:rFonts w:ascii="Cambria Math" w:hAnsi="Cambria Math" w:cs="Times New Roman"/>
                </w:rPr>
                <m:t>-5, 2</m:t>
              </m:r>
            </m:e>
          </m:d>
          <m:r>
            <m:rPr>
              <m:sty m:val="bi"/>
            </m:rPr>
            <w:rPr>
              <w:rFonts w:ascii="Cambria Math" w:hAnsi="Cambria Math" w:cs="Times New Roman"/>
            </w:rPr>
            <w:br/>
          </m:r>
        </m:oMath>
      </m:oMathPara>
      <w:r w:rsidR="00F53710">
        <w:rPr>
          <w:rFonts w:ascii="Times New Roman" w:eastAsiaTheme="minorEastAsia" w:hAnsi="Times New Roman" w:cs="Times New Roman"/>
        </w:rPr>
        <w:t>This prior centers log hazard around values consistent with the bulk of observed implied hazards while still allowing several orders of magnitude variation.</w:t>
      </w:r>
    </w:p>
    <w:p w14:paraId="19D2D129" w14:textId="5ED0F7A6" w:rsidR="00151BA1" w:rsidRPr="00151BA1" w:rsidRDefault="00F53710" w:rsidP="00831362">
      <w:pPr>
        <w:spacing w:line="480" w:lineRule="auto"/>
        <w:rPr>
          <w:rFonts w:ascii="Times New Roman" w:eastAsiaTheme="minorEastAsia" w:hAnsi="Times New Roman" w:cs="Times New Roman"/>
          <w:b/>
          <w:bCs/>
        </w:rPr>
      </w:pPr>
      <w:r>
        <w:rPr>
          <w:rFonts w:ascii="Times New Roman" w:eastAsiaTheme="minorEastAsia" w:hAnsi="Times New Roman" w:cs="Times New Roman"/>
          <w:b/>
          <w:bCs/>
        </w:rPr>
        <w:t>Horizon Effects with a Shared Scale Hyperprior</w:t>
      </w:r>
      <w:r>
        <w:rPr>
          <w:rFonts w:ascii="Times New Roman" w:eastAsiaTheme="minorEastAsia" w:hAnsi="Times New Roman" w:cs="Times New Roman"/>
          <w:b/>
          <w:bCs/>
        </w:rPr>
        <w:br/>
      </w: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δ</m:t>
              </m:r>
            </m:sub>
          </m:sSub>
          <m:r>
            <m:rPr>
              <m:sty m:val="bi"/>
            </m:rPr>
            <w:rPr>
              <w:rFonts w:ascii="Cambria Math" w:eastAsiaTheme="minorEastAsia" w:hAnsi="Cambria Math" w:cs="Times New Roman"/>
            </w:rPr>
            <m:t xml:space="preserve"> ~ HalfNormal</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1</m:t>
              </m:r>
            </m:e>
          </m:d>
          <m:r>
            <w:rPr>
              <w:rFonts w:ascii="Times New Roman" w:eastAsiaTheme="minorEastAsia" w:hAnsi="Times New Roman" w:cs="Times New Roman"/>
              <w:b/>
              <w:bCs/>
            </w:rPr>
            <w:br/>
          </m:r>
        </m:oMath>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r>
            <m:rPr>
              <m:sty m:val="bi"/>
            </m:rPr>
            <w:rPr>
              <w:rFonts w:ascii="Cambria Math" w:eastAsiaTheme="minorEastAsia" w:hAnsi="Cambria Math" w:cs="Times New Roman"/>
            </w:rPr>
            <m:t xml:space="preserve"> ~ Normal(0,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δ</m:t>
              </m:r>
            </m:sub>
          </m:sSub>
          <m:r>
            <m:rPr>
              <m:sty m:val="bi"/>
            </m:rPr>
            <w:rPr>
              <w:rFonts w:ascii="Cambria Math" w:eastAsiaTheme="minorEastAsia" w:hAnsi="Cambria Math" w:cs="Times New Roman"/>
            </w:rPr>
            <m:t>)</m:t>
          </m:r>
          <m:r>
            <w:rPr>
              <w:rFonts w:ascii="Times New Roman" w:eastAsiaTheme="minorEastAsia" w:hAnsi="Times New Roman" w:cs="Times New Roman"/>
              <w:b/>
              <w:bCs/>
            </w:rPr>
            <w:br/>
          </m:r>
        </m:oMath>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 xml:space="preserve"> ~ Normal(0,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δ</m:t>
              </m:r>
            </m:sub>
          </m:sSub>
          <m:r>
            <m:rPr>
              <m:sty m:val="bi"/>
            </m:rPr>
            <w:rPr>
              <w:rFonts w:ascii="Cambria Math" w:eastAsiaTheme="minorEastAsia" w:hAnsi="Cambria Math" w:cs="Times New Roman"/>
            </w:rPr>
            <m:t>)</m:t>
          </m:r>
        </m:oMath>
      </m:oMathPara>
    </w:p>
    <w:p w14:paraId="21415FD3" w14:textId="726F0C31" w:rsidR="00831362" w:rsidRDefault="009A64B4" w:rsidP="009F2DAE">
      <w:pPr>
        <w:spacing w:line="480" w:lineRule="auto"/>
        <w:rPr>
          <w:rFonts w:ascii="Times New Roman" w:eastAsiaTheme="minorEastAsia" w:hAnsi="Times New Roman" w:cs="Times New Roman"/>
        </w:rPr>
      </w:pPr>
      <w:r w:rsidRPr="009A64B4">
        <w:rPr>
          <w:rFonts w:ascii="Times New Roman" w:hAnsi="Times New Roman" w:cs="Times New Roman"/>
        </w:rPr>
        <w:t>This structure encodes that, a priori, we do not assume systematic horizon effects, but we allow effects of practical size. On the log scale, a coefficient of 1 corresponds to a hazard multiplier of</w:t>
      </w:r>
      <w:r>
        <w:rPr>
          <w:rFonts w:ascii="Times New Roman" w:hAnsi="Times New Roman" w:cs="Times New Roman"/>
        </w:rPr>
        <w:t xml:space="preserve"> </w:t>
      </w:r>
      <m:oMath>
        <m:r>
          <m:rPr>
            <m:sty m:val="bi"/>
          </m:rPr>
          <w:rPr>
            <w:rFonts w:ascii="Cambria Math" w:hAnsi="Cambria Math" w:cs="Times New Roman"/>
          </w:rPr>
          <m:t>exp(1) ≈ 2.7</m:t>
        </m:r>
      </m:oMath>
      <w:r w:rsidR="00AC0213">
        <w:rPr>
          <w:rFonts w:ascii="Times New Roman" w:eastAsiaTheme="minorEastAsia" w:hAnsi="Times New Roman" w:cs="Times New Roman"/>
        </w:rPr>
        <w:t>, which is large but not absurd for short-horizon dynamics.</w:t>
      </w:r>
    </w:p>
    <w:p w14:paraId="03E4C2BD" w14:textId="11B99644" w:rsidR="00574F3B" w:rsidRPr="00AD4C23" w:rsidRDefault="00B7067F" w:rsidP="00574F3B">
      <w:pPr>
        <w:spacing w:line="480" w:lineRule="auto"/>
        <w:rPr>
          <w:rFonts w:ascii="Times New Roman" w:eastAsiaTheme="minorEastAsia" w:hAnsi="Times New Roman" w:cs="Times New Roman"/>
          <w:b/>
          <w:bCs/>
        </w:rPr>
      </w:pPr>
      <w:r>
        <w:rPr>
          <w:rFonts w:ascii="Times New Roman" w:eastAsiaTheme="minorEastAsia" w:hAnsi="Times New Roman" w:cs="Times New Roman"/>
          <w:b/>
          <w:bCs/>
        </w:rPr>
        <w:t>Event-</w:t>
      </w:r>
      <w:r w:rsidR="00574F3B">
        <w:rPr>
          <w:rFonts w:ascii="Times New Roman" w:eastAsiaTheme="minorEastAsia" w:hAnsi="Times New Roman" w:cs="Times New Roman"/>
          <w:b/>
          <w:bCs/>
        </w:rPr>
        <w:t>level Pooling</w:t>
      </w:r>
      <w:r w:rsidR="00574F3B">
        <w:rPr>
          <w:rFonts w:ascii="Times New Roman" w:eastAsiaTheme="minorEastAsia" w:hAnsi="Times New Roman" w:cs="Times New Roman"/>
          <w:b/>
          <w:bCs/>
        </w:rPr>
        <w:br/>
      </w:r>
      <m:oMathPara>
        <m:oMath>
          <m:sSub>
            <m:sSubPr>
              <m:ctrlPr>
                <w:rPr>
                  <w:rFonts w:ascii="Cambria Math" w:hAnsi="Cambria Math" w:cs="Times New Roman"/>
                  <w:b/>
                  <w:bCs/>
                  <w:i/>
                </w:rPr>
              </m:ctrlPr>
            </m:sSubPr>
            <m:e>
              <m:r>
                <m:rPr>
                  <m:sty m:val="bi"/>
                </m:rPr>
                <w:rPr>
                  <w:rFonts w:ascii="Cambria Math" w:hAnsi="Cambria Math" w:cs="Times New Roman"/>
                </w:rPr>
                <m:t>μ</m:t>
              </m:r>
            </m:e>
            <m:sub>
              <m:r>
                <m:rPr>
                  <m:sty m:val="bi"/>
                </m:rPr>
                <w:rPr>
                  <w:rFonts w:ascii="Cambria Math" w:hAnsi="Cambria Math" w:cs="Times New Roman"/>
                </w:rPr>
                <m:t>g</m:t>
              </m:r>
            </m:sub>
          </m:sSub>
          <m:r>
            <m:rPr>
              <m:sty m:val="bi"/>
            </m:rPr>
            <w:rPr>
              <w:rFonts w:ascii="Cambria Math" w:hAnsi="Cambria Math" w:cs="Times New Roman"/>
            </w:rPr>
            <m:t>~Normal</m:t>
          </m:r>
          <m:d>
            <m:dPr>
              <m:ctrlPr>
                <w:rPr>
                  <w:rFonts w:ascii="Cambria Math" w:hAnsi="Cambria Math" w:cs="Times New Roman"/>
                  <w:b/>
                  <w:bCs/>
                  <w:i/>
                </w:rPr>
              </m:ctrlPr>
            </m:dPr>
            <m:e>
              <m:r>
                <m:rPr>
                  <m:sty m:val="bi"/>
                </m:rPr>
                <w:rPr>
                  <w:rFonts w:ascii="Cambria Math" w:hAnsi="Cambria Math" w:cs="Times New Roman"/>
                </w:rPr>
                <m:t>0,</m:t>
              </m:r>
              <m:sSub>
                <m:sSubPr>
                  <m:ctrlPr>
                    <w:rPr>
                      <w:rFonts w:ascii="Cambria Math" w:hAnsi="Cambria Math" w:cs="Times New Roman"/>
                      <w:b/>
                      <w:bCs/>
                      <w:i/>
                    </w:rPr>
                  </m:ctrlPr>
                </m:sSubPr>
                <m:e>
                  <m:r>
                    <m:rPr>
                      <m:sty m:val="bi"/>
                    </m:rPr>
                    <w:rPr>
                      <w:rFonts w:ascii="Cambria Math" w:hAnsi="Cambria Math" w:cs="Times New Roman"/>
                    </w:rPr>
                    <m:t>σ</m:t>
                  </m:r>
                </m:e>
                <m:sub>
                  <m:r>
                    <m:rPr>
                      <m:sty m:val="bi"/>
                    </m:rPr>
                    <w:rPr>
                      <w:rFonts w:ascii="Cambria Math" w:hAnsi="Cambria Math" w:cs="Times New Roman"/>
                    </w:rPr>
                    <m:t>g</m:t>
                  </m:r>
                </m:sub>
              </m:sSub>
            </m:e>
          </m:d>
          <m:r>
            <m:rPr>
              <m:sty m:val="bi"/>
            </m:rPr>
            <w:rPr>
              <w:rFonts w:ascii="Cambria Math" w:hAnsi="Cambria Math" w:cs="Times New Roman"/>
            </w:rPr>
            <w:br/>
          </m:r>
        </m:oMath>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r>
            <m:rPr>
              <m:sty m:val="bi"/>
            </m:rPr>
            <w:rPr>
              <w:rFonts w:ascii="Cambria Math" w:eastAsiaTheme="minorEastAsia" w:hAnsi="Cambria Math" w:cs="Times New Roman"/>
            </w:rPr>
            <m:t>~HalfNormal</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1</m:t>
              </m:r>
            </m:e>
          </m:d>
        </m:oMath>
      </m:oMathPara>
    </w:p>
    <w:p w14:paraId="17AC40EB" w14:textId="77777777" w:rsidR="00267331" w:rsidRDefault="00574F3B" w:rsidP="009F2DAE">
      <w:pPr>
        <w:spacing w:line="480" w:lineRule="auto"/>
        <w:rPr>
          <w:rFonts w:ascii="Times New Roman" w:hAnsi="Times New Roman" w:cs="Times New Roman"/>
        </w:rPr>
      </w:pPr>
      <w:r w:rsidRPr="00770044">
        <w:rPr>
          <w:rFonts w:ascii="Times New Roman" w:hAnsi="Times New Roman" w:cs="Times New Roman"/>
        </w:rPr>
        <w:t>Here</w:t>
      </w:r>
      <w:r>
        <w:rPr>
          <w:rFonts w:ascii="Times New Roman" w:hAnsi="Times New Roman" w:cs="Times New Roman"/>
        </w:rPr>
        <w:t>,</w:t>
      </w:r>
      <w:r w:rsidRPr="00770044">
        <w:rPr>
          <w:rFonts w:ascii="Times New Roman" w:hAnsi="Times New Roman" w:cs="Times New Roman"/>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r>
          <m:rPr>
            <m:sty m:val="bi"/>
          </m:rPr>
          <w:rPr>
            <w:rFonts w:ascii="Cambria Math" w:eastAsiaTheme="minorEastAsia" w:hAnsi="Cambria Math" w:cs="Times New Roman"/>
          </w:rPr>
          <m:t xml:space="preserve"> </m:t>
        </m:r>
      </m:oMath>
      <w:r w:rsidRPr="00770044">
        <w:rPr>
          <w:rFonts w:ascii="Times New Roman" w:hAnsi="Times New Roman" w:cs="Times New Roman"/>
        </w:rPr>
        <w:t xml:space="preserve">controls how much event-level log-rates vary across event groups. If events are truly very different,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oMath>
      <w:r>
        <w:rPr>
          <w:rFonts w:ascii="Times New Roman" w:eastAsiaTheme="minorEastAsia" w:hAnsi="Times New Roman" w:cs="Times New Roman"/>
          <w:b/>
          <w:bCs/>
        </w:rPr>
        <w:t xml:space="preserve"> </w:t>
      </w:r>
      <w:r w:rsidRPr="00770044">
        <w:rPr>
          <w:rFonts w:ascii="Times New Roman" w:hAnsi="Times New Roman" w:cs="Times New Roman"/>
        </w:rPr>
        <w:t>will be large</w:t>
      </w:r>
      <w:r>
        <w:rPr>
          <w:rFonts w:ascii="Times New Roman" w:hAnsi="Times New Roman" w:cs="Times New Roman"/>
        </w:rPr>
        <w:t>, and</w:t>
      </w:r>
      <w:r w:rsidRPr="00770044">
        <w:rPr>
          <w:rFonts w:ascii="Times New Roman" w:hAnsi="Times New Roman" w:cs="Times New Roman"/>
        </w:rPr>
        <w:t xml:space="preserve"> if they are similar</w:t>
      </w:r>
      <w:r>
        <w:rPr>
          <w:rFonts w:ascii="Times New Roman" w:hAnsi="Times New Roman" w:cs="Times New Roman"/>
        </w:rPr>
        <w:t xml:space="preserve"> then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r>
          <m:rPr>
            <m:sty m:val="bi"/>
          </m:rPr>
          <w:rPr>
            <w:rFonts w:ascii="Cambria Math" w:eastAsiaTheme="minorEastAsia" w:hAnsi="Cambria Math" w:cs="Times New Roman"/>
          </w:rPr>
          <m:t xml:space="preserve"> </m:t>
        </m:r>
      </m:oMath>
      <w:r w:rsidRPr="00770044">
        <w:rPr>
          <w:rFonts w:ascii="Times New Roman" w:hAnsi="Times New Roman" w:cs="Times New Roman"/>
        </w:rPr>
        <w:t>will shrink and we effectively pool more.</w:t>
      </w:r>
    </w:p>
    <w:p w14:paraId="7A0F7F9C" w14:textId="17C664F4" w:rsidR="00574F3B" w:rsidRDefault="00267331" w:rsidP="00267331">
      <w:pPr>
        <w:spacing w:line="480" w:lineRule="auto"/>
        <w:rPr>
          <w:rFonts w:ascii="Times New Roman" w:hAnsi="Times New Roman" w:cs="Times New Roman"/>
          <w:b/>
          <w:bCs/>
        </w:rPr>
      </w:pPr>
      <w:r>
        <w:rPr>
          <w:rFonts w:ascii="Times New Roman" w:hAnsi="Times New Roman" w:cs="Times New Roman"/>
          <w:b/>
          <w:bCs/>
        </w:rPr>
        <w:t>Residual Scale</w:t>
      </w:r>
    </w:p>
    <w:p w14:paraId="5FAACB7C" w14:textId="131B3E41" w:rsidR="00B35D73" w:rsidRPr="00B35D73" w:rsidRDefault="00267331" w:rsidP="00B35D73">
      <w:pPr>
        <w:spacing w:line="480" w:lineRule="auto"/>
        <w:ind w:firstLine="720"/>
        <w:rPr>
          <w:rFonts w:ascii="Times New Roman" w:hAnsi="Times New Roman" w:cs="Times New Roman"/>
          <w:b/>
          <w:bCs/>
        </w:rPr>
      </w:pPr>
      <m:oMathPara>
        <m:oMath>
          <m:r>
            <m:rPr>
              <m:sty m:val="bi"/>
            </m:rPr>
            <w:rPr>
              <w:rFonts w:ascii="Cambria Math" w:eastAsiaTheme="minorEastAsia" w:hAnsi="Cambria Math" w:cs="Times New Roman"/>
            </w:rPr>
            <m:t xml:space="preserve">σ </m:t>
          </m:r>
          <m:r>
            <m:rPr>
              <m:sty m:val="bi"/>
            </m:rPr>
            <w:rPr>
              <w:rFonts w:ascii="Cambria Math" w:eastAsiaTheme="minorEastAsia" w:hAnsi="Cambria Math" w:cs="Times New Roman"/>
            </w:rPr>
            <m:t>~HalfNormal</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1</m:t>
              </m:r>
            </m:e>
          </m:d>
          <m:r>
            <w:rPr>
              <w:rFonts w:ascii="Times New Roman" w:eastAsiaTheme="minorEastAsia" w:hAnsi="Times New Roman" w:cs="Times New Roman"/>
              <w:b/>
              <w:bCs/>
            </w:rPr>
            <w:br/>
          </m:r>
        </m:oMath>
      </m:oMathPara>
      <w:r w:rsidR="007C3DDC" w:rsidRPr="00770044">
        <w:rPr>
          <w:rFonts w:ascii="Times New Roman" w:hAnsi="Times New Roman" w:cs="Times New Roman"/>
        </w:rPr>
        <w:t xml:space="preserve">This prior regularizes the residual scale. If the data </w:t>
      </w:r>
      <w:r w:rsidR="00F05D93">
        <w:rPr>
          <w:rFonts w:ascii="Times New Roman" w:hAnsi="Times New Roman" w:cs="Times New Roman"/>
        </w:rPr>
        <w:t>is</w:t>
      </w:r>
      <w:r w:rsidR="007C3DDC" w:rsidRPr="00770044">
        <w:rPr>
          <w:rFonts w:ascii="Times New Roman" w:hAnsi="Times New Roman" w:cs="Times New Roman"/>
        </w:rPr>
        <w:t xml:space="preserve"> noisier than this scale suggests, </w:t>
      </w:r>
      <w:r w:rsidR="00F05D93">
        <w:rPr>
          <w:rFonts w:ascii="Times New Roman" w:hAnsi="Times New Roman" w:cs="Times New Roman"/>
        </w:rPr>
        <w:t xml:space="preserve">then </w:t>
      </w:r>
      <w:r w:rsidR="007C3DDC" w:rsidRPr="00770044">
        <w:rPr>
          <w:rFonts w:ascii="Times New Roman" w:hAnsi="Times New Roman" w:cs="Times New Roman"/>
          <w:b/>
          <w:bCs/>
        </w:rPr>
        <w:t>σ</w:t>
      </w:r>
      <w:r w:rsidR="007C3DDC" w:rsidRPr="00770044">
        <w:rPr>
          <w:rFonts w:ascii="Times New Roman" w:hAnsi="Times New Roman" w:cs="Times New Roman"/>
        </w:rPr>
        <w:t xml:space="preserve"> will move upward. The HalfNormal prior simply discourages massive residual variance unless it is clearly needed.</w:t>
      </w:r>
    </w:p>
    <w:p w14:paraId="364D2C2A" w14:textId="77777777" w:rsidR="00B35D73" w:rsidRPr="00B35D73" w:rsidRDefault="00B35D73" w:rsidP="005234E9">
      <w:pPr>
        <w:spacing w:line="480" w:lineRule="auto"/>
        <w:jc w:val="center"/>
        <w:rPr>
          <w:rFonts w:ascii="Times New Roman" w:hAnsi="Times New Roman" w:cs="Times New Roman"/>
          <w:b/>
          <w:bCs/>
        </w:rPr>
      </w:pPr>
      <w:r w:rsidRPr="00B35D73">
        <w:rPr>
          <w:rFonts w:ascii="Times New Roman" w:hAnsi="Times New Roman" w:cs="Times New Roman"/>
          <w:b/>
          <w:bCs/>
        </w:rPr>
        <w:t>Posterior inference (NUTS + ADVI)</w:t>
      </w:r>
    </w:p>
    <w:p w14:paraId="3832923F" w14:textId="1BE383F8" w:rsidR="00214125" w:rsidRPr="00BB7A78" w:rsidRDefault="00B35D73" w:rsidP="009F2DAE">
      <w:pPr>
        <w:spacing w:line="480" w:lineRule="auto"/>
        <w:rPr>
          <w:rFonts w:ascii="Times New Roman" w:hAnsi="Times New Roman" w:cs="Times New Roman"/>
          <w:b/>
          <w:bCs/>
        </w:rPr>
      </w:pPr>
      <w:r w:rsidRPr="00B35D73">
        <w:rPr>
          <w:rFonts w:ascii="Times New Roman" w:hAnsi="Times New Roman" w:cs="Times New Roman"/>
        </w:rPr>
        <w:t xml:space="preserve">We </w:t>
      </w:r>
      <w:r w:rsidR="00214125">
        <w:rPr>
          <w:rFonts w:ascii="Times New Roman" w:hAnsi="Times New Roman" w:cs="Times New Roman"/>
        </w:rPr>
        <w:t xml:space="preserve">performed posterior inference using two distinct methods. </w:t>
      </w:r>
      <w:r w:rsidR="008F08BB">
        <w:rPr>
          <w:rFonts w:ascii="Times New Roman" w:hAnsi="Times New Roman" w:cs="Times New Roman"/>
        </w:rPr>
        <w:t>First,</w:t>
      </w:r>
      <w:r w:rsidR="00214125">
        <w:rPr>
          <w:rFonts w:ascii="Times New Roman" w:hAnsi="Times New Roman" w:cs="Times New Roman"/>
        </w:rPr>
        <w:t xml:space="preserve"> we fit the model using ADVI (Automatic </w:t>
      </w:r>
      <w:r w:rsidR="00214125" w:rsidRPr="00B35D73">
        <w:rPr>
          <w:rFonts w:ascii="Times New Roman" w:hAnsi="Times New Roman" w:cs="Times New Roman"/>
        </w:rPr>
        <w:t>Differentiation Variational Inference</w:t>
      </w:r>
      <w:r w:rsidR="00214125">
        <w:rPr>
          <w:rFonts w:ascii="Times New Roman" w:hAnsi="Times New Roman" w:cs="Times New Roman"/>
        </w:rPr>
        <w:t>)</w:t>
      </w:r>
      <w:r w:rsidR="00032268">
        <w:rPr>
          <w:rFonts w:ascii="Times New Roman" w:hAnsi="Times New Roman" w:cs="Times New Roman"/>
        </w:rPr>
        <w:t>,</w:t>
      </w:r>
      <w:r w:rsidR="00032268" w:rsidRPr="00032268">
        <w:rPr>
          <w:rFonts w:ascii="Times New Roman" w:hAnsi="Times New Roman" w:cs="Times New Roman"/>
        </w:rPr>
        <w:t xml:space="preserve"> </w:t>
      </w:r>
      <w:r w:rsidR="00032268" w:rsidRPr="00B35D73">
        <w:rPr>
          <w:rFonts w:ascii="Times New Roman" w:hAnsi="Times New Roman" w:cs="Times New Roman"/>
        </w:rPr>
        <w:t>which approximates the posterior with a parameterized distribution</w:t>
      </w:r>
      <w:r w:rsidR="00032268">
        <w:rPr>
          <w:rFonts w:ascii="Times New Roman" w:hAnsi="Times New Roman" w:cs="Times New Roman"/>
        </w:rPr>
        <w:t xml:space="preserve"> and optimize</w:t>
      </w:r>
      <w:r w:rsidR="007D323F">
        <w:rPr>
          <w:rFonts w:ascii="Times New Roman" w:hAnsi="Times New Roman" w:cs="Times New Roman"/>
        </w:rPr>
        <w:t>s</w:t>
      </w:r>
      <w:r w:rsidR="00032268">
        <w:rPr>
          <w:rFonts w:ascii="Times New Roman" w:hAnsi="Times New Roman" w:cs="Times New Roman"/>
        </w:rPr>
        <w:t xml:space="preserve"> an evidence lower bound (ELBO) objective. We used ADVI because </w:t>
      </w:r>
      <w:r w:rsidR="007E1131">
        <w:rPr>
          <w:rFonts w:ascii="Times New Roman" w:hAnsi="Times New Roman" w:cs="Times New Roman"/>
        </w:rPr>
        <w:t xml:space="preserve">it is fast on the full dataset and gives us an immediate estimate of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7E1131">
        <w:rPr>
          <w:rFonts w:ascii="Times New Roman" w:eastAsiaTheme="minorEastAsia" w:hAnsi="Times New Roman" w:cs="Times New Roman"/>
          <w:b/>
          <w:bCs/>
        </w:rPr>
        <w:t xml:space="preserve"> </w:t>
      </w:r>
      <w:r w:rsidR="007E1131" w:rsidRPr="00770044">
        <w:rPr>
          <w:rFonts w:ascii="Times New Roman" w:hAnsi="Times New Roman" w:cs="Times New Roman"/>
        </w:rPr>
        <w:t xml:space="preserve">and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7E1131">
        <w:rPr>
          <w:rFonts w:ascii="Times New Roman" w:eastAsiaTheme="minorEastAsia" w:hAnsi="Times New Roman" w:cs="Times New Roman"/>
          <w:b/>
          <w:bCs/>
        </w:rPr>
        <w:t xml:space="preserve"> </w:t>
      </w:r>
      <w:r w:rsidR="00BB7A78">
        <w:rPr>
          <w:rFonts w:ascii="Times New Roman" w:eastAsiaTheme="minorEastAsia" w:hAnsi="Times New Roman" w:cs="Times New Roman"/>
        </w:rPr>
        <w:t xml:space="preserve">with uncertainty </w:t>
      </w:r>
      <w:r w:rsidR="00BB7A78" w:rsidRPr="00BB7A78">
        <w:rPr>
          <w:rFonts w:ascii="Times New Roman" w:eastAsiaTheme="minorEastAsia" w:hAnsi="Times New Roman" w:cs="Times New Roman"/>
        </w:rPr>
        <w:t>(Kucukelbir et al., 2017; Abril-Pla et al., 2023).</w:t>
      </w:r>
    </w:p>
    <w:p w14:paraId="52353ED7" w14:textId="50102226" w:rsidR="00BB7A78" w:rsidRDefault="008C2FF8" w:rsidP="009F2DAE">
      <w:pPr>
        <w:spacing w:line="480" w:lineRule="auto"/>
        <w:rPr>
          <w:rFonts w:ascii="Times New Roman" w:hAnsi="Times New Roman" w:cs="Times New Roman"/>
        </w:rPr>
      </w:pPr>
      <w:r>
        <w:rPr>
          <w:rFonts w:ascii="Times New Roman" w:hAnsi="Times New Roman" w:cs="Times New Roman"/>
        </w:rPr>
        <w:t>Next, we</w:t>
      </w:r>
      <w:r w:rsidR="00B35D73" w:rsidRPr="00B35D73">
        <w:rPr>
          <w:rFonts w:ascii="Times New Roman" w:hAnsi="Times New Roman" w:cs="Times New Roman"/>
        </w:rPr>
        <w:t xml:space="preserve"> </w:t>
      </w:r>
      <w:r w:rsidR="00BB7A78">
        <w:rPr>
          <w:rFonts w:ascii="Times New Roman" w:hAnsi="Times New Roman" w:cs="Times New Roman"/>
        </w:rPr>
        <w:t xml:space="preserve">ran MCMC using </w:t>
      </w:r>
      <w:r w:rsidR="00BB7A78" w:rsidRPr="00B35D73">
        <w:rPr>
          <w:rFonts w:ascii="Times New Roman" w:hAnsi="Times New Roman" w:cs="Times New Roman"/>
        </w:rPr>
        <w:t>NUTS (the No-U-Turn Sampler), a Hamiltonian Monte Carlo method that adaptively chooses trajectory lengths</w:t>
      </w:r>
      <w:r w:rsidR="00FA378D">
        <w:rPr>
          <w:rFonts w:ascii="Times New Roman" w:hAnsi="Times New Roman" w:cs="Times New Roman"/>
        </w:rPr>
        <w:t xml:space="preserve"> </w:t>
      </w:r>
      <w:r w:rsidR="00FA378D" w:rsidRPr="00FA378D">
        <w:rPr>
          <w:rFonts w:ascii="Times New Roman" w:hAnsi="Times New Roman" w:cs="Times New Roman"/>
        </w:rPr>
        <w:t>(Hoffman &amp; Gelman, 2014)</w:t>
      </w:r>
      <w:r w:rsidR="00FA378D">
        <w:rPr>
          <w:rFonts w:ascii="Times New Roman" w:hAnsi="Times New Roman" w:cs="Times New Roman"/>
        </w:rPr>
        <w:t>. Due to local computational constraints</w:t>
      </w:r>
      <w:r w:rsidR="00CA78B4">
        <w:rPr>
          <w:rFonts w:ascii="Times New Roman" w:hAnsi="Times New Roman" w:cs="Times New Roman"/>
        </w:rPr>
        <w:t xml:space="preserve">, we ran a “quick” NUTS configuration </w:t>
      </w:r>
      <w:r w:rsidR="00CA78B4" w:rsidRPr="00B35D73">
        <w:rPr>
          <w:rFonts w:ascii="Times New Roman" w:hAnsi="Times New Roman" w:cs="Times New Roman"/>
        </w:rPr>
        <w:t>(1 chain, 100 tuning iterations, 100 posterior draws)</w:t>
      </w:r>
      <w:r w:rsidR="00CA78B4">
        <w:rPr>
          <w:rFonts w:ascii="Times New Roman" w:hAnsi="Times New Roman" w:cs="Times New Roman"/>
        </w:rPr>
        <w:t xml:space="preserve"> on a random subsample of 2,500 horizon observations. </w:t>
      </w:r>
      <w:r w:rsidR="00D379D6">
        <w:rPr>
          <w:rFonts w:ascii="Times New Roman" w:hAnsi="Times New Roman" w:cs="Times New Roman"/>
        </w:rPr>
        <w:t>Thus, we</w:t>
      </w:r>
      <w:r w:rsidR="00D379D6" w:rsidRPr="00D379D6">
        <w:rPr>
          <w:rFonts w:ascii="Times New Roman" w:hAnsi="Times New Roman" w:cs="Times New Roman"/>
        </w:rPr>
        <w:t xml:space="preserve"> report NUTS-based posterior summaries as a second inference method (MCMC) and compare them to the variational results.</w:t>
      </w:r>
    </w:p>
    <w:p w14:paraId="6039C089" w14:textId="4CD903A0" w:rsidR="00B35D73" w:rsidRPr="00B35D73" w:rsidRDefault="00B35D73" w:rsidP="009F2DAE">
      <w:pPr>
        <w:spacing w:line="480" w:lineRule="auto"/>
        <w:rPr>
          <w:rFonts w:ascii="Times New Roman" w:hAnsi="Times New Roman" w:cs="Times New Roman"/>
        </w:rPr>
      </w:pPr>
      <w:r w:rsidRPr="00B35D73">
        <w:rPr>
          <w:rFonts w:ascii="Times New Roman" w:hAnsi="Times New Roman" w:cs="Times New Roman"/>
        </w:rPr>
        <w:t xml:space="preserve">Both </w:t>
      </w:r>
      <w:r w:rsidR="006812BA">
        <w:rPr>
          <w:rFonts w:ascii="Times New Roman" w:hAnsi="Times New Roman" w:cs="Times New Roman"/>
        </w:rPr>
        <w:t>ADVI and NUTS runs are stored as</w:t>
      </w:r>
      <w:r w:rsidRPr="00B35D73">
        <w:rPr>
          <w:rFonts w:ascii="Times New Roman" w:hAnsi="Times New Roman" w:cs="Times New Roman"/>
        </w:rPr>
        <w:t xml:space="preserve"> an ArviZ InferenceData object </w:t>
      </w:r>
      <w:r w:rsidR="00D60E09">
        <w:rPr>
          <w:rFonts w:ascii="Times New Roman" w:hAnsi="Times New Roman" w:cs="Times New Roman"/>
        </w:rPr>
        <w:t>in</w:t>
      </w:r>
      <w:r w:rsidRPr="00B35D73">
        <w:rPr>
          <w:rFonts w:ascii="Times New Roman" w:hAnsi="Times New Roman" w:cs="Times New Roman"/>
        </w:rPr>
        <w:t xml:space="preserve"> NetCDF </w:t>
      </w:r>
      <w:r w:rsidR="00D60E09">
        <w:rPr>
          <w:rFonts w:ascii="Times New Roman" w:hAnsi="Times New Roman" w:cs="Times New Roman"/>
        </w:rPr>
        <w:t xml:space="preserve">format </w:t>
      </w:r>
      <w:r w:rsidRPr="00B35D73">
        <w:rPr>
          <w:rFonts w:ascii="Times New Roman" w:hAnsi="Times New Roman" w:cs="Times New Roman"/>
        </w:rPr>
        <w:t>(</w:t>
      </w:r>
      <w:r w:rsidRPr="00B35D73">
        <w:rPr>
          <w:rFonts w:ascii="Times New Roman" w:hAnsi="Times New Roman" w:cs="Times New Roman"/>
          <w:i/>
          <w:iCs/>
        </w:rPr>
        <w:t>lambda_model_fixed_advi.nc</w:t>
      </w:r>
      <w:r w:rsidRPr="00B35D73">
        <w:rPr>
          <w:rFonts w:ascii="Times New Roman" w:hAnsi="Times New Roman" w:cs="Times New Roman"/>
        </w:rPr>
        <w:t xml:space="preserve"> and </w:t>
      </w:r>
      <w:r w:rsidRPr="00B35D73">
        <w:rPr>
          <w:rFonts w:ascii="Times New Roman" w:hAnsi="Times New Roman" w:cs="Times New Roman"/>
          <w:i/>
          <w:iCs/>
        </w:rPr>
        <w:t>lambda_model_fixed_nuts_quick.nc</w:t>
      </w:r>
      <w:r w:rsidRPr="00B35D73">
        <w:rPr>
          <w:rFonts w:ascii="Times New Roman" w:hAnsi="Times New Roman" w:cs="Times New Roman"/>
        </w:rPr>
        <w:t xml:space="preserve">), allowing </w:t>
      </w:r>
      <w:r w:rsidR="006D5580">
        <w:rPr>
          <w:rFonts w:ascii="Times New Roman" w:hAnsi="Times New Roman" w:cs="Times New Roman"/>
        </w:rPr>
        <w:t xml:space="preserve">for </w:t>
      </w:r>
      <w:r w:rsidRPr="00B35D73">
        <w:rPr>
          <w:rFonts w:ascii="Times New Roman" w:hAnsi="Times New Roman" w:cs="Times New Roman"/>
        </w:rPr>
        <w:t>the same diagnostic and plotting code to be applied to both. This is important for reproducibility, and it also makes it straightforward to rerun NUTS at higher fidelity if compute time allows.</w:t>
      </w:r>
    </w:p>
    <w:p w14:paraId="229C2150" w14:textId="77777777" w:rsidR="00B35D73" w:rsidRPr="00275782" w:rsidRDefault="00B35D73" w:rsidP="006C56C1">
      <w:pPr>
        <w:spacing w:line="480" w:lineRule="auto"/>
        <w:jc w:val="center"/>
        <w:rPr>
          <w:rFonts w:ascii="Times New Roman" w:hAnsi="Times New Roman" w:cs="Times New Roman"/>
          <w:b/>
          <w:bCs/>
        </w:rPr>
      </w:pPr>
      <w:r w:rsidRPr="00B35D73">
        <w:rPr>
          <w:rFonts w:ascii="Times New Roman" w:hAnsi="Times New Roman" w:cs="Times New Roman"/>
          <w:b/>
          <w:bCs/>
        </w:rPr>
        <w:t>Model checking</w:t>
      </w:r>
    </w:p>
    <w:p w14:paraId="3AEB6896" w14:textId="2779F509" w:rsidR="00FF2246" w:rsidRPr="00B35D73" w:rsidRDefault="00F90BC2" w:rsidP="00FF2246">
      <w:pPr>
        <w:spacing w:line="480" w:lineRule="auto"/>
        <w:rPr>
          <w:rFonts w:ascii="Times New Roman" w:hAnsi="Times New Roman" w:cs="Times New Roman"/>
        </w:rPr>
      </w:pPr>
      <w:r>
        <w:rPr>
          <w:rFonts w:ascii="Times New Roman" w:hAnsi="Times New Roman" w:cs="Times New Roman"/>
          <w:b/>
          <w:bCs/>
        </w:rPr>
        <w:lastRenderedPageBreak/>
        <w:t>Diagnostics and Convergence</w:t>
      </w:r>
    </w:p>
    <w:p w14:paraId="2D8574CC" w14:textId="538B7E7B" w:rsidR="00B35D73" w:rsidRDefault="00B35D73" w:rsidP="009F2DAE">
      <w:pPr>
        <w:spacing w:line="480" w:lineRule="auto"/>
        <w:rPr>
          <w:rFonts w:ascii="Times New Roman" w:hAnsi="Times New Roman" w:cs="Times New Roman"/>
        </w:rPr>
      </w:pPr>
      <w:r w:rsidRPr="00B35D73">
        <w:rPr>
          <w:rFonts w:ascii="Times New Roman" w:hAnsi="Times New Roman" w:cs="Times New Roman"/>
        </w:rPr>
        <w:t>For ADVI, we verif</w:t>
      </w:r>
      <w:r w:rsidR="00FF2246">
        <w:rPr>
          <w:rFonts w:ascii="Times New Roman" w:hAnsi="Times New Roman" w:cs="Times New Roman"/>
        </w:rPr>
        <w:t>ied</w:t>
      </w:r>
      <w:r w:rsidRPr="00B35D73">
        <w:rPr>
          <w:rFonts w:ascii="Times New Roman" w:hAnsi="Times New Roman" w:cs="Times New Roman"/>
        </w:rPr>
        <w:t xml:space="preserve"> that the ELBO stabilizes and that posterior summaries are not obviously pathological (for example, implausibly huge uncertainty in δ with no data explanation). For NUTS, we inspect</w:t>
      </w:r>
      <w:r w:rsidR="008560DD">
        <w:rPr>
          <w:rFonts w:ascii="Times New Roman" w:hAnsi="Times New Roman" w:cs="Times New Roman"/>
        </w:rPr>
        <w:t>ed</w:t>
      </w:r>
      <w:r w:rsidRPr="00B35D73">
        <w:rPr>
          <w:rFonts w:ascii="Times New Roman" w:hAnsi="Times New Roman" w:cs="Times New Roman"/>
        </w:rPr>
        <w:t xml:space="preserve"> trace plots for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 xml:space="preserve">d </m:t>
            </m:r>
          </m:sub>
        </m:sSub>
      </m:oMath>
      <w:r w:rsidR="006C56C1" w:rsidRPr="00B35D73">
        <w:rPr>
          <w:rFonts w:ascii="Times New Roman" w:hAnsi="Times New Roman" w:cs="Times New Roman"/>
        </w:rPr>
        <w:t xml:space="preserve"> 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Pr="00B35D73">
        <w:rPr>
          <w:rFonts w:ascii="Times New Roman" w:hAnsi="Times New Roman" w:cs="Times New Roman"/>
        </w:rPr>
        <w:t xml:space="preserve"> and </w:t>
      </w:r>
      <w:r w:rsidR="004E10DE">
        <w:rPr>
          <w:rFonts w:ascii="Times New Roman" w:hAnsi="Times New Roman" w:cs="Times New Roman"/>
        </w:rPr>
        <w:t>confirmed</w:t>
      </w:r>
      <w:r w:rsidRPr="00B35D73">
        <w:rPr>
          <w:rFonts w:ascii="Times New Roman" w:hAnsi="Times New Roman" w:cs="Times New Roman"/>
        </w:rPr>
        <w:t xml:space="preserve"> that the sampler reports zero divergences under the </w:t>
      </w:r>
      <w:r w:rsidR="004E10DE">
        <w:rPr>
          <w:rFonts w:ascii="Times New Roman" w:hAnsi="Times New Roman" w:cs="Times New Roman"/>
        </w:rPr>
        <w:t>“</w:t>
      </w:r>
      <w:r w:rsidRPr="00B35D73">
        <w:rPr>
          <w:rFonts w:ascii="Times New Roman" w:hAnsi="Times New Roman" w:cs="Times New Roman"/>
        </w:rPr>
        <w:t>quick</w:t>
      </w:r>
      <w:r w:rsidR="004E10DE">
        <w:rPr>
          <w:rFonts w:ascii="Times New Roman" w:hAnsi="Times New Roman" w:cs="Times New Roman"/>
        </w:rPr>
        <w:t>”</w:t>
      </w:r>
      <w:r w:rsidRPr="00B35D73">
        <w:rPr>
          <w:rFonts w:ascii="Times New Roman" w:hAnsi="Times New Roman" w:cs="Times New Roman"/>
        </w:rPr>
        <w:t xml:space="preserve"> run. Because only one chain was</w:t>
      </w:r>
      <w:r w:rsidR="00A44B59">
        <w:rPr>
          <w:rFonts w:ascii="Times New Roman" w:hAnsi="Times New Roman" w:cs="Times New Roman"/>
        </w:rPr>
        <w:t xml:space="preserve"> run</w:t>
      </w:r>
      <w:r w:rsidRPr="00B35D73">
        <w:rPr>
          <w:rFonts w:ascii="Times New Roman" w:hAnsi="Times New Roman" w:cs="Times New Roman"/>
        </w:rPr>
        <w:t xml:space="preserve">, R-hat </w:t>
      </w:r>
      <w:r w:rsidR="008560DD">
        <w:rPr>
          <w:rFonts w:ascii="Times New Roman" w:hAnsi="Times New Roman" w:cs="Times New Roman"/>
        </w:rPr>
        <w:t>was</w:t>
      </w:r>
      <w:r w:rsidRPr="00B35D73">
        <w:rPr>
          <w:rFonts w:ascii="Times New Roman" w:hAnsi="Times New Roman" w:cs="Times New Roman"/>
        </w:rPr>
        <w:t xml:space="preserve"> not available and full convergence claims are limited. </w:t>
      </w:r>
      <w:r w:rsidR="001C7DA7" w:rsidRPr="001C7DA7">
        <w:rPr>
          <w:rFonts w:ascii="Times New Roman" w:hAnsi="Times New Roman" w:cs="Times New Roman"/>
        </w:rPr>
        <w:t xml:space="preserve">With only 100 post-warmup draws, effective sample sizes for </w:t>
      </w:r>
      <w:r w:rsidR="001C7DA7" w:rsidRPr="00FD0A8B">
        <w:rPr>
          <w:rFonts w:ascii="Times New Roman" w:hAnsi="Times New Roman" w:cs="Times New Roman"/>
          <w:b/>
          <w:bCs/>
        </w:rPr>
        <w:t>δ</w:t>
      </w:r>
      <w:r w:rsidR="001C7DA7" w:rsidRPr="001C7DA7">
        <w:rPr>
          <w:rFonts w:ascii="Times New Roman" w:hAnsi="Times New Roman" w:cs="Times New Roman"/>
        </w:rPr>
        <w:t xml:space="preserve"> parameters are modest</w:t>
      </w:r>
      <w:r w:rsidR="00A04FC2">
        <w:rPr>
          <w:rFonts w:ascii="Times New Roman" w:hAnsi="Times New Roman" w:cs="Times New Roman"/>
        </w:rPr>
        <w:t xml:space="preserve">, </w:t>
      </w:r>
      <w:r w:rsidR="001C7DA7" w:rsidRPr="001C7DA7">
        <w:rPr>
          <w:rFonts w:ascii="Times New Roman" w:hAnsi="Times New Roman" w:cs="Times New Roman"/>
        </w:rPr>
        <w:t>on the order of ~10</w:t>
      </w:r>
      <w:r w:rsidR="00FD0A8B">
        <w:rPr>
          <w:rFonts w:ascii="Times New Roman" w:hAnsi="Times New Roman" w:cs="Times New Roman"/>
          <w:vertAlign w:val="superscript"/>
        </w:rPr>
        <w:t>2</w:t>
      </w:r>
      <w:r w:rsidR="00A04FC2">
        <w:rPr>
          <w:rFonts w:ascii="Times New Roman" w:hAnsi="Times New Roman" w:cs="Times New Roman"/>
        </w:rPr>
        <w:t xml:space="preserve"> (</w:t>
      </w:r>
      <w:r w:rsidR="00F74483">
        <w:rPr>
          <w:rFonts w:ascii="Times New Roman" w:hAnsi="Times New Roman" w:cs="Times New Roman"/>
        </w:rPr>
        <w:t>ArviZ bulk ESS)</w:t>
      </w:r>
      <w:r w:rsidR="001C7DA7" w:rsidRPr="001C7DA7">
        <w:rPr>
          <w:rFonts w:ascii="Times New Roman" w:hAnsi="Times New Roman" w:cs="Times New Roman"/>
        </w:rPr>
        <w:t>, so NUTS uncertainty estimates here should be interpreted as approximate.</w:t>
      </w:r>
      <w:r w:rsidR="005A405A">
        <w:rPr>
          <w:rFonts w:ascii="Times New Roman" w:hAnsi="Times New Roman" w:cs="Times New Roman"/>
        </w:rPr>
        <w:t xml:space="preserve"> </w:t>
      </w:r>
      <w:r w:rsidR="008560DD">
        <w:rPr>
          <w:rFonts w:ascii="Times New Roman" w:hAnsi="Times New Roman" w:cs="Times New Roman"/>
        </w:rPr>
        <w:t>As such, we</w:t>
      </w:r>
      <w:r w:rsidRPr="00B35D73">
        <w:rPr>
          <w:rFonts w:ascii="Times New Roman" w:hAnsi="Times New Roman" w:cs="Times New Roman"/>
        </w:rPr>
        <w:t xml:space="preserve"> treat</w:t>
      </w:r>
      <w:r w:rsidR="008560DD">
        <w:rPr>
          <w:rFonts w:ascii="Times New Roman" w:hAnsi="Times New Roman" w:cs="Times New Roman"/>
        </w:rPr>
        <w:t>ed this</w:t>
      </w:r>
      <w:r w:rsidRPr="00B35D73">
        <w:rPr>
          <w:rFonts w:ascii="Times New Roman" w:hAnsi="Times New Roman" w:cs="Times New Roman"/>
        </w:rPr>
        <w:t xml:space="preserve"> NUTS run as a validation of the ADVI result rather than</w:t>
      </w:r>
      <w:r w:rsidR="0026305A">
        <w:rPr>
          <w:rFonts w:ascii="Times New Roman" w:hAnsi="Times New Roman" w:cs="Times New Roman"/>
        </w:rPr>
        <w:t xml:space="preserve"> as a</w:t>
      </w:r>
      <w:r w:rsidRPr="00B35D73">
        <w:rPr>
          <w:rFonts w:ascii="Times New Roman" w:hAnsi="Times New Roman" w:cs="Times New Roman"/>
        </w:rPr>
        <w:t xml:space="preserve"> final word on convergence.</w:t>
      </w:r>
    </w:p>
    <w:p w14:paraId="7431D544" w14:textId="0A17CE49" w:rsidR="004E10DE" w:rsidRPr="00B35D73" w:rsidRDefault="00213E4A" w:rsidP="004E10DE">
      <w:pPr>
        <w:spacing w:line="480" w:lineRule="auto"/>
        <w:rPr>
          <w:rFonts w:ascii="Times New Roman" w:hAnsi="Times New Roman" w:cs="Times New Roman"/>
          <w:b/>
          <w:bCs/>
        </w:rPr>
      </w:pPr>
      <w:r>
        <w:rPr>
          <w:rFonts w:ascii="Times New Roman" w:hAnsi="Times New Roman" w:cs="Times New Roman"/>
          <w:b/>
          <w:bCs/>
        </w:rPr>
        <w:t>Prior Predictive Checking</w:t>
      </w:r>
    </w:p>
    <w:p w14:paraId="434773BB" w14:textId="3C83DDE7" w:rsidR="00ED2C25" w:rsidRDefault="00327271" w:rsidP="009F2DAE">
      <w:pPr>
        <w:spacing w:line="480" w:lineRule="auto"/>
        <w:rPr>
          <w:rFonts w:ascii="Times New Roman" w:hAnsi="Times New Roman" w:cs="Times New Roman"/>
        </w:rPr>
      </w:pPr>
      <w:r w:rsidRPr="00327271">
        <w:rPr>
          <w:rFonts w:ascii="Times New Roman" w:hAnsi="Times New Roman" w:cs="Times New Roman"/>
        </w:rPr>
        <w:t>We simulate</w:t>
      </w:r>
      <w:r>
        <w:rPr>
          <w:rFonts w:ascii="Times New Roman" w:hAnsi="Times New Roman" w:cs="Times New Roman"/>
        </w:rPr>
        <w:t>d</w:t>
      </w:r>
      <w:r w:rsidRPr="00327271">
        <w:rPr>
          <w:rFonts w:ascii="Times New Roman" w:hAnsi="Times New Roman" w:cs="Times New Roman"/>
        </w:rPr>
        <w:t xml:space="preserve"> log hazards from the prior predictive distribution and compare</w:t>
      </w:r>
      <w:r w:rsidR="00D3347C">
        <w:rPr>
          <w:rFonts w:ascii="Times New Roman" w:hAnsi="Times New Roman" w:cs="Times New Roman"/>
        </w:rPr>
        <w:t>d</w:t>
      </w:r>
      <w:r w:rsidRPr="00327271">
        <w:rPr>
          <w:rFonts w:ascii="Times New Roman" w:hAnsi="Times New Roman" w:cs="Times New Roman"/>
        </w:rPr>
        <w:t xml:space="preserve"> them to the observed distribution of log implied hazards in the modeling sample. Figure 2 shows that the prior predictive mass overlaps the observed distribution and is not wildly mis</w:t>
      </w:r>
      <w:r w:rsidR="004828B8">
        <w:rPr>
          <w:rFonts w:ascii="Times New Roman" w:hAnsi="Times New Roman" w:cs="Times New Roman"/>
        </w:rPr>
        <w:t>s-</w:t>
      </w:r>
      <w:r w:rsidRPr="00327271">
        <w:rPr>
          <w:rFonts w:ascii="Times New Roman" w:hAnsi="Times New Roman" w:cs="Times New Roman"/>
        </w:rPr>
        <w:t>scaled. This supports the claim that the priors are weakly informative rather than contradictory to the data.</w:t>
      </w:r>
    </w:p>
    <w:p w14:paraId="679708B3" w14:textId="7BC8FEC0" w:rsidR="00ED2C25" w:rsidRDefault="00A01835" w:rsidP="00AF11E6">
      <w:pPr>
        <w:spacing w:line="480" w:lineRule="auto"/>
        <w:rPr>
          <w:rFonts w:ascii="Times New Roman" w:hAnsi="Times New Roman" w:cs="Times New Roman"/>
        </w:rPr>
      </w:pPr>
      <w:r>
        <w:rPr>
          <w:rFonts w:ascii="Times New Roman" w:hAnsi="Times New Roman" w:cs="Times New Roman"/>
          <w:noProof/>
        </w:rPr>
        <w:drawing>
          <wp:inline distT="0" distB="0" distL="0" distR="0" wp14:anchorId="7725DC17" wp14:editId="33184F20">
            <wp:extent cx="6876063" cy="2838450"/>
            <wp:effectExtent l="19050" t="19050" r="20320" b="19050"/>
            <wp:docPr id="1299174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06808" cy="2851142"/>
                    </a:xfrm>
                    <a:prstGeom prst="rect">
                      <a:avLst/>
                    </a:prstGeom>
                    <a:noFill/>
                    <a:ln w="6350">
                      <a:solidFill>
                        <a:schemeClr val="tx1"/>
                      </a:solidFill>
                    </a:ln>
                  </pic:spPr>
                </pic:pic>
              </a:graphicData>
            </a:graphic>
          </wp:inline>
        </w:drawing>
      </w:r>
    </w:p>
    <w:p w14:paraId="23C48665" w14:textId="3AC7F5EB" w:rsidR="004803CA" w:rsidRPr="004C6F67" w:rsidRDefault="004803CA" w:rsidP="004803CA">
      <w:pPr>
        <w:spacing w:line="480" w:lineRule="auto"/>
        <w:rPr>
          <w:rFonts w:ascii="Times New Roman" w:hAnsi="Times New Roman" w:cs="Times New Roman"/>
        </w:rPr>
      </w:pPr>
      <w:r w:rsidRPr="000A0A65">
        <w:rPr>
          <w:rFonts w:ascii="Times New Roman" w:hAnsi="Times New Roman" w:cs="Times New Roman"/>
          <w:b/>
          <w:bCs/>
          <w:i/>
          <w:iCs/>
        </w:rPr>
        <w:t xml:space="preserve">Figure 2. </w:t>
      </w:r>
      <w:r w:rsidR="004C6F67" w:rsidRPr="000A0A65">
        <w:rPr>
          <w:rFonts w:ascii="Times New Roman" w:hAnsi="Times New Roman" w:cs="Times New Roman"/>
          <w:i/>
          <w:iCs/>
        </w:rPr>
        <w:t>Prior predictive check on the log hazard scale. The prior predictive distribution overlaps the observed log implied hazards, indicating priors are on a reasonable scale.</w:t>
      </w:r>
    </w:p>
    <w:p w14:paraId="632E25A6" w14:textId="17A794DA" w:rsidR="003507B1" w:rsidRPr="003507B1" w:rsidRDefault="003507B1" w:rsidP="003507B1">
      <w:pPr>
        <w:spacing w:line="480" w:lineRule="auto"/>
        <w:rPr>
          <w:rFonts w:ascii="Times New Roman" w:hAnsi="Times New Roman" w:cs="Times New Roman"/>
          <w:b/>
          <w:bCs/>
        </w:rPr>
      </w:pPr>
      <w:r>
        <w:rPr>
          <w:rFonts w:ascii="Times New Roman" w:hAnsi="Times New Roman" w:cs="Times New Roman"/>
          <w:b/>
          <w:bCs/>
        </w:rPr>
        <w:lastRenderedPageBreak/>
        <w:t>Posterior Predictive Checking</w:t>
      </w:r>
    </w:p>
    <w:p w14:paraId="4E187FB0" w14:textId="4CA6FD72" w:rsidR="003507B1" w:rsidRDefault="003507B1" w:rsidP="009F2DAE">
      <w:pPr>
        <w:spacing w:line="480" w:lineRule="auto"/>
        <w:rPr>
          <w:rFonts w:ascii="Times New Roman" w:hAnsi="Times New Roman" w:cs="Times New Roman"/>
        </w:rPr>
      </w:pPr>
      <w:r>
        <w:rPr>
          <w:rFonts w:ascii="Times New Roman" w:hAnsi="Times New Roman" w:cs="Times New Roman"/>
        </w:rPr>
        <w:t xml:space="preserve">We generated posterior predictive draws from both the </w:t>
      </w:r>
      <w:r w:rsidR="00FA6A19" w:rsidRPr="00FA6A19">
        <w:rPr>
          <w:rFonts w:ascii="Times New Roman" w:hAnsi="Times New Roman" w:cs="Times New Roman"/>
        </w:rPr>
        <w:t xml:space="preserve">ADVI fit and the NUTS </w:t>
      </w:r>
      <w:r w:rsidR="00FA6A19">
        <w:rPr>
          <w:rFonts w:ascii="Times New Roman" w:hAnsi="Times New Roman" w:cs="Times New Roman"/>
        </w:rPr>
        <w:t>“</w:t>
      </w:r>
      <w:r w:rsidR="00FA6A19" w:rsidRPr="00FA6A19">
        <w:rPr>
          <w:rFonts w:ascii="Times New Roman" w:hAnsi="Times New Roman" w:cs="Times New Roman"/>
        </w:rPr>
        <w:t>quick</w:t>
      </w:r>
      <w:r w:rsidR="00FA6A19">
        <w:rPr>
          <w:rFonts w:ascii="Times New Roman" w:hAnsi="Times New Roman" w:cs="Times New Roman"/>
        </w:rPr>
        <w:t>”</w:t>
      </w:r>
      <w:r w:rsidR="00FA6A19" w:rsidRPr="00FA6A19">
        <w:rPr>
          <w:rFonts w:ascii="Times New Roman" w:hAnsi="Times New Roman" w:cs="Times New Roman"/>
        </w:rPr>
        <w:t xml:space="preserve"> fit and compare</w:t>
      </w:r>
      <w:r w:rsidR="00FA6A19">
        <w:rPr>
          <w:rFonts w:ascii="Times New Roman" w:hAnsi="Times New Roman" w:cs="Times New Roman"/>
        </w:rPr>
        <w:t>d</w:t>
      </w:r>
      <w:r w:rsidR="00FA6A19" w:rsidRPr="00FA6A19">
        <w:rPr>
          <w:rFonts w:ascii="Times New Roman" w:hAnsi="Times New Roman" w:cs="Times New Roman"/>
        </w:rPr>
        <w:t xml:space="preserve"> them to the observed distribution of log implied hazards. Figure 3 shows that the posterior predictive distributions match the central mass of the observed data well but understate</w:t>
      </w:r>
      <w:r w:rsidR="009E06D3">
        <w:rPr>
          <w:rFonts w:ascii="Times New Roman" w:hAnsi="Times New Roman" w:cs="Times New Roman"/>
        </w:rPr>
        <w:t>s</w:t>
      </w:r>
      <w:r w:rsidR="00FA6A19" w:rsidRPr="00FA6A19">
        <w:rPr>
          <w:rFonts w:ascii="Times New Roman" w:hAnsi="Times New Roman" w:cs="Times New Roman"/>
        </w:rPr>
        <w:t xml:space="preserve"> the extreme right tail (very large hazards). A quick quantile summary makes this clear: the observed 95th and 99th percentiles are much larger (less negative) than the posterior predictive 95th and 99th percentiles. This suggests the Normal likelihood may be too light-tailed for the extremes, or that a small subset of markets behaves differently (</w:t>
      </w:r>
      <w:r w:rsidR="002156D0">
        <w:rPr>
          <w:rFonts w:ascii="Times New Roman" w:hAnsi="Times New Roman" w:cs="Times New Roman"/>
        </w:rPr>
        <w:t>e.g.,</w:t>
      </w:r>
      <w:r w:rsidR="00FA6A19" w:rsidRPr="00FA6A19">
        <w:rPr>
          <w:rFonts w:ascii="Times New Roman" w:hAnsi="Times New Roman" w:cs="Times New Roman"/>
        </w:rPr>
        <w:t xml:space="preserve"> microstructure noise, late-stage information shocks, or edge cases where prices approach 1</w:t>
      </w:r>
      <w:r w:rsidR="002156D0">
        <w:rPr>
          <w:rFonts w:ascii="Times New Roman" w:hAnsi="Times New Roman" w:cs="Times New Roman"/>
        </w:rPr>
        <w:t xml:space="preserve"> </w:t>
      </w:r>
      <w:r w:rsidR="007C3604">
        <w:rPr>
          <w:rFonts w:ascii="Times New Roman" w:hAnsi="Times New Roman" w:cs="Times New Roman"/>
        </w:rPr>
        <w:t>etc.</w:t>
      </w:r>
      <w:r w:rsidR="00FA6A19" w:rsidRPr="00FA6A19">
        <w:rPr>
          <w:rFonts w:ascii="Times New Roman" w:hAnsi="Times New Roman" w:cs="Times New Roman"/>
        </w:rPr>
        <w:t>).</w:t>
      </w:r>
    </w:p>
    <w:p w14:paraId="73BF45E0" w14:textId="6CBCEF5A" w:rsidR="003507B1" w:rsidRDefault="002527AF" w:rsidP="00AF11E6">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3A24AAA8" wp14:editId="2E84AE1D">
            <wp:extent cx="6814536" cy="2813050"/>
            <wp:effectExtent l="19050" t="19050" r="24765" b="25400"/>
            <wp:docPr id="896965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4104" cy="2829384"/>
                    </a:xfrm>
                    <a:prstGeom prst="rect">
                      <a:avLst/>
                    </a:prstGeom>
                    <a:noFill/>
                    <a:ln w="6350">
                      <a:solidFill>
                        <a:schemeClr val="tx1"/>
                      </a:solidFill>
                    </a:ln>
                  </pic:spPr>
                </pic:pic>
              </a:graphicData>
            </a:graphic>
          </wp:inline>
        </w:drawing>
      </w:r>
    </w:p>
    <w:p w14:paraId="7472F360" w14:textId="76C04654" w:rsidR="003507B1" w:rsidRPr="00492C26" w:rsidRDefault="00492C26" w:rsidP="00492C26">
      <w:pPr>
        <w:spacing w:line="480" w:lineRule="auto"/>
        <w:rPr>
          <w:rFonts w:ascii="Times New Roman" w:hAnsi="Times New Roman" w:cs="Times New Roman"/>
        </w:rPr>
      </w:pPr>
      <w:r w:rsidRPr="00903BC2">
        <w:rPr>
          <w:rFonts w:ascii="Times New Roman" w:hAnsi="Times New Roman" w:cs="Times New Roman"/>
          <w:b/>
          <w:bCs/>
          <w:i/>
          <w:iCs/>
        </w:rPr>
        <w:t>Figure 3</w:t>
      </w:r>
      <w:r>
        <w:rPr>
          <w:rFonts w:ascii="Times New Roman" w:hAnsi="Times New Roman" w:cs="Times New Roman"/>
          <w:b/>
          <w:bCs/>
        </w:rPr>
        <w:t xml:space="preserve">. </w:t>
      </w:r>
      <w:r w:rsidR="000A0A65" w:rsidRPr="000A0A65">
        <w:rPr>
          <w:rFonts w:ascii="Times New Roman" w:hAnsi="Times New Roman" w:cs="Times New Roman"/>
          <w:i/>
          <w:iCs/>
        </w:rPr>
        <w:t>Posterior predictive check on the log hazard scale. Both ADVI and NUTS quick reproduce the bulk of the distribution but miss the extreme right tail.</w:t>
      </w:r>
    </w:p>
    <w:p w14:paraId="53CF4010" w14:textId="2A658139" w:rsidR="007C3604" w:rsidRPr="003B0A6C" w:rsidRDefault="007C3604" w:rsidP="007C3604">
      <w:pPr>
        <w:spacing w:line="480" w:lineRule="auto"/>
        <w:rPr>
          <w:rFonts w:ascii="Times New Roman" w:hAnsi="Times New Roman" w:cs="Times New Roman"/>
        </w:rPr>
      </w:pPr>
      <w:r>
        <w:rPr>
          <w:rFonts w:ascii="Times New Roman" w:hAnsi="Times New Roman" w:cs="Times New Roman"/>
          <w:b/>
          <w:bCs/>
        </w:rPr>
        <w:t>Prior Sensitivity</w:t>
      </w:r>
      <w:r>
        <w:rPr>
          <w:rFonts w:ascii="Times New Roman" w:hAnsi="Times New Roman" w:cs="Times New Roman"/>
          <w:b/>
          <w:bCs/>
        </w:rPr>
        <w:br/>
      </w:r>
      <w:r>
        <w:rPr>
          <w:rFonts w:ascii="Times New Roman" w:hAnsi="Times New Roman" w:cs="Times New Roman"/>
        </w:rPr>
        <w:t xml:space="preserve">We re-ran the NUTS “quick” analysis under a tighter prior on the horizon-effect scale </w:t>
      </w:r>
      <w:r w:rsidRPr="008C1157">
        <w:rPr>
          <w:rFonts w:ascii="Times New Roman" w:hAnsi="Times New Roman" w:cs="Times New Roman"/>
          <w:b/>
          <w:bCs/>
        </w:rPr>
        <w:t>(</w:t>
      </w:r>
      <m:oMath>
        <m:sSub>
          <m:sSubPr>
            <m:ctrlPr>
              <w:rPr>
                <w:rFonts w:ascii="Cambria Math" w:hAnsi="Cambria Math" w:cs="Times New Roman"/>
                <w:b/>
                <w:bCs/>
                <w:i/>
              </w:rPr>
            </m:ctrlPr>
          </m:sSubPr>
          <m:e>
            <m:r>
              <m:rPr>
                <m:sty m:val="bi"/>
              </m:rPr>
              <w:rPr>
                <w:rFonts w:ascii="Cambria Math" w:hAnsi="Cambria Math" w:cs="Times New Roman"/>
              </w:rPr>
              <m:t>σ</m:t>
            </m:r>
          </m:e>
          <m:sub>
            <m:r>
              <m:rPr>
                <m:sty m:val="bi"/>
              </m:rPr>
              <w:rPr>
                <w:rFonts w:ascii="Cambria Math" w:hAnsi="Cambria Math" w:cs="Times New Roman"/>
              </w:rPr>
              <m:t>δ</m:t>
            </m:r>
          </m:sub>
        </m:sSub>
        <m:r>
          <m:rPr>
            <m:sty m:val="bi"/>
          </m:rPr>
          <w:rPr>
            <w:rFonts w:ascii="Cambria Math" w:hAnsi="Cambria Math" w:cs="Times New Roman"/>
          </w:rPr>
          <m:t xml:space="preserve"> ~ HalfNormal(0.5)</m:t>
        </m:r>
      </m:oMath>
      <w:r w:rsidR="008C1157" w:rsidRPr="008C1157">
        <w:rPr>
          <w:rFonts w:ascii="Times New Roman" w:eastAsiaTheme="minorEastAsia" w:hAnsi="Times New Roman" w:cs="Times New Roman"/>
          <w:b/>
          <w:bCs/>
        </w:rPr>
        <w:t xml:space="preserve"> </w:t>
      </w:r>
      <w:r w:rsidR="008C1157">
        <w:rPr>
          <w:rFonts w:ascii="Times New Roman" w:eastAsiaTheme="minorEastAsia" w:hAnsi="Times New Roman" w:cs="Times New Roman"/>
        </w:rPr>
        <w:t xml:space="preserve">instead of </w:t>
      </w:r>
      <m:oMath>
        <m:r>
          <m:rPr>
            <m:sty m:val="bi"/>
          </m:rPr>
          <w:rPr>
            <w:rFonts w:ascii="Cambria Math" w:eastAsiaTheme="minorEastAsia" w:hAnsi="Cambria Math" w:cs="Times New Roman"/>
          </w:rPr>
          <m:t>HalfNormal(1)</m:t>
        </m:r>
      </m:oMath>
      <w:r w:rsidR="008C1157">
        <w:rPr>
          <w:rFonts w:ascii="Times New Roman" w:eastAsiaTheme="minorEastAsia" w:hAnsi="Times New Roman" w:cs="Times New Roman"/>
        </w:rPr>
        <w:t>).</w:t>
      </w:r>
      <w:r w:rsidR="00167A7B">
        <w:rPr>
          <w:rFonts w:ascii="Times New Roman" w:eastAsiaTheme="minorEastAsia" w:hAnsi="Times New Roman" w:cs="Times New Roman"/>
        </w:rPr>
        <w:t xml:space="preserve"> The estimated</w:t>
      </w:r>
      <w:r w:rsidR="00167A7B" w:rsidRPr="00B35D73">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3B0A6C">
        <w:rPr>
          <w:rFonts w:ascii="Times New Roman" w:eastAsiaTheme="minorEastAsia" w:hAnsi="Times New Roman" w:cs="Times New Roman"/>
          <w:b/>
          <w:bCs/>
        </w:rPr>
        <w:t xml:space="preserve"> </w:t>
      </w:r>
      <w:r w:rsidR="003B0A6C">
        <w:rPr>
          <w:rFonts w:ascii="Times New Roman" w:eastAsiaTheme="minorEastAsia" w:hAnsi="Times New Roman" w:cs="Times New Roman"/>
        </w:rPr>
        <w:t xml:space="preserve">remained strongly positive 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 xml:space="preserve">d </m:t>
            </m:r>
          </m:sub>
        </m:sSub>
      </m:oMath>
      <w:r w:rsidR="003B0A6C">
        <w:rPr>
          <w:rFonts w:ascii="Times New Roman" w:eastAsiaTheme="minorEastAsia" w:hAnsi="Times New Roman" w:cs="Times New Roman"/>
        </w:rPr>
        <w:t>remained small with an interval that overlaps 0. This indicates that the main conclusion is not a fragile artifact of the default prior scale.</w:t>
      </w:r>
    </w:p>
    <w:p w14:paraId="6FE325C1" w14:textId="539B1D57" w:rsidR="000605E6" w:rsidRDefault="00B35D73" w:rsidP="000605E6">
      <w:pPr>
        <w:spacing w:line="480" w:lineRule="auto"/>
        <w:jc w:val="center"/>
        <w:rPr>
          <w:rFonts w:ascii="Times New Roman" w:hAnsi="Times New Roman" w:cs="Times New Roman"/>
          <w:b/>
          <w:bCs/>
        </w:rPr>
      </w:pPr>
      <w:r w:rsidRPr="00B35D73">
        <w:rPr>
          <w:rFonts w:ascii="Times New Roman" w:hAnsi="Times New Roman" w:cs="Times New Roman"/>
          <w:b/>
          <w:bCs/>
        </w:rPr>
        <w:lastRenderedPageBreak/>
        <w:t>Results</w:t>
      </w:r>
    </w:p>
    <w:p w14:paraId="091574C4" w14:textId="6723A6BC" w:rsidR="003B0A6C" w:rsidRDefault="003B0A6C" w:rsidP="000605E6">
      <w:pPr>
        <w:spacing w:line="480" w:lineRule="auto"/>
        <w:rPr>
          <w:rFonts w:ascii="Times New Roman" w:hAnsi="Times New Roman" w:cs="Times New Roman"/>
        </w:rPr>
      </w:pPr>
      <w:r>
        <w:rPr>
          <w:rFonts w:ascii="Times New Roman" w:hAnsi="Times New Roman" w:cs="Times New Roman"/>
          <w:b/>
          <w:bCs/>
        </w:rPr>
        <w:t>Descriptive Term Structure</w:t>
      </w:r>
      <w:r>
        <w:rPr>
          <w:rFonts w:ascii="Times New Roman" w:hAnsi="Times New Roman" w:cs="Times New Roman"/>
        </w:rPr>
        <w:br/>
      </w:r>
      <w:r w:rsidR="00DD12F2">
        <w:rPr>
          <w:rFonts w:ascii="Times New Roman" w:hAnsi="Times New Roman" w:cs="Times New Roman"/>
        </w:rPr>
        <w:t xml:space="preserve">Figure 1 already shows that implied hazards increase as the deadline approaches when summarized on the log scale. In the modeling sample, the </w:t>
      </w:r>
      <w:r w:rsidR="006B5A58" w:rsidRPr="006B5A58">
        <w:rPr>
          <w:rFonts w:ascii="Times New Roman" w:hAnsi="Times New Roman" w:cs="Times New Roman"/>
        </w:rPr>
        <w:t>mean log implied hazard rises from about −6.59 at 30 days to −6.43 at 7 days and then to −5.64 at 1 day. The increase is concentrated very close to the deadline, consistent with the idea that the “1-day regime” is meaningfully different from the “30-day regime” in implied timing dynamics.</w:t>
      </w:r>
    </w:p>
    <w:p w14:paraId="6D757D45" w14:textId="0E69F00F" w:rsidR="00F57536" w:rsidRDefault="00F57536" w:rsidP="000605E6">
      <w:pPr>
        <w:spacing w:line="480" w:lineRule="auto"/>
        <w:rPr>
          <w:rFonts w:ascii="Times New Roman" w:eastAsiaTheme="minorEastAsia" w:hAnsi="Times New Roman" w:cs="Times New Roman"/>
        </w:rPr>
      </w:pPr>
      <w:r>
        <w:rPr>
          <w:rFonts w:ascii="Times New Roman" w:hAnsi="Times New Roman" w:cs="Times New Roman"/>
          <w:b/>
          <w:bCs/>
        </w:rPr>
        <w:t>Posterior Estimates of Horizon Effects</w:t>
      </w:r>
      <w:r>
        <w:rPr>
          <w:rFonts w:ascii="Times New Roman" w:hAnsi="Times New Roman" w:cs="Times New Roman"/>
        </w:rPr>
        <w:br/>
        <w:t>Table 1</w:t>
      </w:r>
      <w:r w:rsidR="001837FC">
        <w:rPr>
          <w:rFonts w:ascii="Times New Roman" w:hAnsi="Times New Roman" w:cs="Times New Roman"/>
        </w:rPr>
        <w:t xml:space="preserve"> summarizes the posterior for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 xml:space="preserve">d </m:t>
            </m:r>
          </m:sub>
        </m:sSub>
      </m:oMath>
      <w:r w:rsidR="001837FC">
        <w:rPr>
          <w:rFonts w:ascii="Times New Roman" w:eastAsiaTheme="minorEastAsia" w:hAnsi="Times New Roman" w:cs="Times New Roman"/>
        </w:rPr>
        <w:t xml:space="preserve">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BE69F0">
        <w:rPr>
          <w:rFonts w:ascii="Times New Roman" w:eastAsiaTheme="minorEastAsia" w:hAnsi="Times New Roman" w:cs="Times New Roman"/>
          <w:b/>
          <w:bCs/>
        </w:rPr>
        <w:t xml:space="preserve"> </w:t>
      </w:r>
      <w:r w:rsidR="00BE69F0">
        <w:rPr>
          <w:rFonts w:ascii="Times New Roman" w:eastAsiaTheme="minorEastAsia" w:hAnsi="Times New Roman" w:cs="Times New Roman"/>
        </w:rPr>
        <w:t xml:space="preserve">under both of our inference methods. The key quantity is </w:t>
      </w:r>
      <m:oMath>
        <m:r>
          <m:rPr>
            <m:sty m:val="bi"/>
          </m:rPr>
          <w:rPr>
            <w:rFonts w:ascii="Cambria Math" w:eastAsiaTheme="minorEastAsia" w:hAnsi="Cambria Math" w:cs="Times New Roman"/>
          </w:rPr>
          <m:t>exp(δ)</m:t>
        </m:r>
      </m:oMath>
      <w:r w:rsidR="00BE69F0">
        <w:rPr>
          <w:rFonts w:ascii="Times New Roman" w:eastAsiaTheme="minorEastAsia" w:hAnsi="Times New Roman" w:cs="Times New Roman"/>
        </w:rPr>
        <w:t>, which is the hazard multiplier relative to the 30-day baseline</w:t>
      </w:r>
      <w:r w:rsidR="0051798B">
        <w:rPr>
          <w:rFonts w:ascii="Times New Roman" w:eastAsiaTheme="minorEastAsia" w:hAnsi="Times New Roman" w:cs="Times New Roman"/>
        </w:rPr>
        <w:t>.</w:t>
      </w:r>
    </w:p>
    <w:tbl>
      <w:tblPr>
        <w:tblStyle w:val="GridTable2"/>
        <w:tblW w:w="0" w:type="auto"/>
        <w:tblLook w:val="04A0" w:firstRow="1" w:lastRow="0" w:firstColumn="1" w:lastColumn="0" w:noHBand="0" w:noVBand="1"/>
      </w:tblPr>
      <w:tblGrid>
        <w:gridCol w:w="1795"/>
        <w:gridCol w:w="1796"/>
        <w:gridCol w:w="1794"/>
        <w:gridCol w:w="1794"/>
        <w:gridCol w:w="1796"/>
        <w:gridCol w:w="1795"/>
      </w:tblGrid>
      <w:tr w:rsidR="00732CA1" w:rsidRPr="00732CA1" w14:paraId="6E4BC216" w14:textId="77777777" w:rsidTr="008D38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Borders>
              <w:top w:val="single" w:sz="12" w:space="0" w:color="auto"/>
              <w:left w:val="single" w:sz="12" w:space="0" w:color="auto"/>
              <w:right w:val="single" w:sz="12" w:space="0" w:color="auto"/>
            </w:tcBorders>
          </w:tcPr>
          <w:p w14:paraId="23991A80" w14:textId="71BFD78E" w:rsidR="00732CA1" w:rsidRPr="00732CA1" w:rsidRDefault="00732CA1" w:rsidP="00F11E2E">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Inference method</w:t>
            </w:r>
          </w:p>
        </w:tc>
        <w:tc>
          <w:tcPr>
            <w:tcW w:w="1798" w:type="dxa"/>
            <w:tcBorders>
              <w:top w:val="single" w:sz="12" w:space="0" w:color="auto"/>
              <w:left w:val="single" w:sz="12" w:space="0" w:color="auto"/>
              <w:right w:val="single" w:sz="12" w:space="0" w:color="auto"/>
            </w:tcBorders>
          </w:tcPr>
          <w:p w14:paraId="439A65E2" w14:textId="6472F482" w:rsidR="00732CA1" w:rsidRPr="00732CA1" w:rsidRDefault="00732CA1" w:rsidP="00F11E2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Parameter</w:t>
            </w:r>
          </w:p>
        </w:tc>
        <w:tc>
          <w:tcPr>
            <w:tcW w:w="1798" w:type="dxa"/>
            <w:tcBorders>
              <w:top w:val="single" w:sz="12" w:space="0" w:color="auto"/>
              <w:left w:val="single" w:sz="12" w:space="0" w:color="auto"/>
              <w:right w:val="single" w:sz="12" w:space="0" w:color="auto"/>
            </w:tcBorders>
          </w:tcPr>
          <w:p w14:paraId="15437096" w14:textId="0EB745FA" w:rsidR="00732CA1" w:rsidRPr="00732CA1" w:rsidRDefault="00732CA1" w:rsidP="00F11E2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Mean δ (log)</w:t>
            </w:r>
          </w:p>
        </w:tc>
        <w:tc>
          <w:tcPr>
            <w:tcW w:w="1798" w:type="dxa"/>
            <w:tcBorders>
              <w:top w:val="single" w:sz="12" w:space="0" w:color="auto"/>
              <w:left w:val="single" w:sz="12" w:space="0" w:color="auto"/>
              <w:right w:val="single" w:sz="12" w:space="0" w:color="auto"/>
            </w:tcBorders>
          </w:tcPr>
          <w:p w14:paraId="5742EA08" w14:textId="43BD174B" w:rsidR="00732CA1" w:rsidRPr="00732CA1" w:rsidRDefault="00732CA1" w:rsidP="00F11E2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94% HDI for δ (log)</w:t>
            </w:r>
          </w:p>
        </w:tc>
        <w:tc>
          <w:tcPr>
            <w:tcW w:w="1799" w:type="dxa"/>
            <w:tcBorders>
              <w:top w:val="single" w:sz="12" w:space="0" w:color="auto"/>
              <w:left w:val="single" w:sz="12" w:space="0" w:color="auto"/>
              <w:right w:val="single" w:sz="12" w:space="0" w:color="auto"/>
            </w:tcBorders>
          </w:tcPr>
          <w:p w14:paraId="3D190FF2" w14:textId="7767B646" w:rsidR="00732CA1" w:rsidRPr="00732CA1" w:rsidRDefault="00732CA1" w:rsidP="00F11E2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exp(mean δ)</w:t>
            </w:r>
          </w:p>
        </w:tc>
        <w:tc>
          <w:tcPr>
            <w:tcW w:w="1799" w:type="dxa"/>
            <w:tcBorders>
              <w:top w:val="single" w:sz="12" w:space="0" w:color="auto"/>
              <w:left w:val="single" w:sz="12" w:space="0" w:color="auto"/>
              <w:right w:val="single" w:sz="12" w:space="0" w:color="auto"/>
            </w:tcBorders>
          </w:tcPr>
          <w:p w14:paraId="058584FE" w14:textId="60C8A080" w:rsidR="00732CA1" w:rsidRPr="00732CA1" w:rsidRDefault="00732CA1" w:rsidP="00F11E2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94% HDI for exp(δ)</w:t>
            </w:r>
          </w:p>
        </w:tc>
      </w:tr>
      <w:tr w:rsidR="00732CA1" w:rsidRPr="00732CA1" w14:paraId="60EE8EE9" w14:textId="77777777" w:rsidTr="00AA7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Borders>
              <w:left w:val="single" w:sz="12" w:space="0" w:color="auto"/>
            </w:tcBorders>
          </w:tcPr>
          <w:p w14:paraId="6B61C093" w14:textId="0BC23F1F" w:rsidR="00732CA1" w:rsidRPr="00732CA1" w:rsidRDefault="00732CA1" w:rsidP="00F11E2E">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ADVI</w:t>
            </w:r>
          </w:p>
        </w:tc>
        <w:tc>
          <w:tcPr>
            <w:tcW w:w="1798" w:type="dxa"/>
          </w:tcPr>
          <w:p w14:paraId="2025A78A" w14:textId="289532F2"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δ_7d</w:t>
            </w:r>
          </w:p>
        </w:tc>
        <w:tc>
          <w:tcPr>
            <w:tcW w:w="1798" w:type="dxa"/>
          </w:tcPr>
          <w:p w14:paraId="5F990E68" w14:textId="1571FEE7"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0.072</w:t>
            </w:r>
          </w:p>
        </w:tc>
        <w:tc>
          <w:tcPr>
            <w:tcW w:w="1798" w:type="dxa"/>
          </w:tcPr>
          <w:p w14:paraId="0DCA8B3E" w14:textId="0469B792"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[-0.119, 0.251]</w:t>
            </w:r>
          </w:p>
        </w:tc>
        <w:tc>
          <w:tcPr>
            <w:tcW w:w="1799" w:type="dxa"/>
          </w:tcPr>
          <w:p w14:paraId="2E4C8CBC" w14:textId="260BBDE2"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1.075</w:t>
            </w:r>
          </w:p>
        </w:tc>
        <w:tc>
          <w:tcPr>
            <w:tcW w:w="1799" w:type="dxa"/>
            <w:tcBorders>
              <w:right w:val="single" w:sz="12" w:space="0" w:color="auto"/>
            </w:tcBorders>
          </w:tcPr>
          <w:p w14:paraId="49BFDF83" w14:textId="2B80570D"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[0.888, 1.285]</w:t>
            </w:r>
          </w:p>
        </w:tc>
      </w:tr>
      <w:tr w:rsidR="00732CA1" w:rsidRPr="00732CA1" w14:paraId="3CFD1983" w14:textId="77777777" w:rsidTr="00AA7B3D">
        <w:tc>
          <w:tcPr>
            <w:cnfStyle w:val="001000000000" w:firstRow="0" w:lastRow="0" w:firstColumn="1" w:lastColumn="0" w:oddVBand="0" w:evenVBand="0" w:oddHBand="0" w:evenHBand="0" w:firstRowFirstColumn="0" w:firstRowLastColumn="0" w:lastRowFirstColumn="0" w:lastRowLastColumn="0"/>
            <w:tcW w:w="1798" w:type="dxa"/>
            <w:tcBorders>
              <w:left w:val="single" w:sz="12" w:space="0" w:color="auto"/>
            </w:tcBorders>
          </w:tcPr>
          <w:p w14:paraId="3AED772F" w14:textId="7598604A" w:rsidR="00732CA1" w:rsidRPr="00732CA1" w:rsidRDefault="00732CA1" w:rsidP="00F11E2E">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ADVI</w:t>
            </w:r>
          </w:p>
        </w:tc>
        <w:tc>
          <w:tcPr>
            <w:tcW w:w="1798" w:type="dxa"/>
          </w:tcPr>
          <w:p w14:paraId="43020730" w14:textId="7AB50D9D"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δ_1d</w:t>
            </w:r>
          </w:p>
        </w:tc>
        <w:tc>
          <w:tcPr>
            <w:tcW w:w="1798" w:type="dxa"/>
          </w:tcPr>
          <w:p w14:paraId="3FDA905C" w14:textId="18C37A4F"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0.848</w:t>
            </w:r>
          </w:p>
        </w:tc>
        <w:tc>
          <w:tcPr>
            <w:tcW w:w="1798" w:type="dxa"/>
          </w:tcPr>
          <w:p w14:paraId="3EE0DDAF" w14:textId="5F00E7C9"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[0.689, 1.024]</w:t>
            </w:r>
          </w:p>
        </w:tc>
        <w:tc>
          <w:tcPr>
            <w:tcW w:w="1799" w:type="dxa"/>
          </w:tcPr>
          <w:p w14:paraId="53A54842" w14:textId="7A3E2E06"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2.335</w:t>
            </w:r>
          </w:p>
        </w:tc>
        <w:tc>
          <w:tcPr>
            <w:tcW w:w="1799" w:type="dxa"/>
            <w:tcBorders>
              <w:right w:val="single" w:sz="12" w:space="0" w:color="auto"/>
            </w:tcBorders>
          </w:tcPr>
          <w:p w14:paraId="06D1E2F9" w14:textId="3E789BDC"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[1.992, 2.784]</w:t>
            </w:r>
          </w:p>
        </w:tc>
      </w:tr>
      <w:tr w:rsidR="00732CA1" w:rsidRPr="00732CA1" w14:paraId="68D3888C" w14:textId="77777777" w:rsidTr="00AA7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Borders>
              <w:left w:val="single" w:sz="12" w:space="0" w:color="auto"/>
            </w:tcBorders>
          </w:tcPr>
          <w:p w14:paraId="54C89320" w14:textId="34000E2E" w:rsidR="00732CA1" w:rsidRPr="00732CA1" w:rsidRDefault="00732CA1" w:rsidP="00F11E2E">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NUTS (quick)</w:t>
            </w:r>
          </w:p>
        </w:tc>
        <w:tc>
          <w:tcPr>
            <w:tcW w:w="1798" w:type="dxa"/>
          </w:tcPr>
          <w:p w14:paraId="2DC118FA" w14:textId="2E64A819"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δ_7d</w:t>
            </w:r>
          </w:p>
        </w:tc>
        <w:tc>
          <w:tcPr>
            <w:tcW w:w="1798" w:type="dxa"/>
          </w:tcPr>
          <w:p w14:paraId="63E80D4E" w14:textId="77ACEAE2"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0.109</w:t>
            </w:r>
          </w:p>
        </w:tc>
        <w:tc>
          <w:tcPr>
            <w:tcW w:w="1798" w:type="dxa"/>
          </w:tcPr>
          <w:p w14:paraId="5853450C" w14:textId="26E37349"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[-0.030, 0.243]</w:t>
            </w:r>
          </w:p>
        </w:tc>
        <w:tc>
          <w:tcPr>
            <w:tcW w:w="1799" w:type="dxa"/>
          </w:tcPr>
          <w:p w14:paraId="0D8CC3CA" w14:textId="3C346839"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1.115</w:t>
            </w:r>
          </w:p>
        </w:tc>
        <w:tc>
          <w:tcPr>
            <w:tcW w:w="1799" w:type="dxa"/>
            <w:tcBorders>
              <w:right w:val="single" w:sz="12" w:space="0" w:color="auto"/>
            </w:tcBorders>
          </w:tcPr>
          <w:p w14:paraId="6C3FDB78" w14:textId="418F304B" w:rsidR="00732CA1" w:rsidRPr="00732CA1" w:rsidRDefault="00732CA1" w:rsidP="00F11E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[0.970, 1.275]</w:t>
            </w:r>
          </w:p>
        </w:tc>
      </w:tr>
      <w:tr w:rsidR="00732CA1" w:rsidRPr="00732CA1" w14:paraId="7FB0109E" w14:textId="77777777" w:rsidTr="00AA7B3D">
        <w:tc>
          <w:tcPr>
            <w:cnfStyle w:val="001000000000" w:firstRow="0" w:lastRow="0" w:firstColumn="1" w:lastColumn="0" w:oddVBand="0" w:evenVBand="0" w:oddHBand="0" w:evenHBand="0" w:firstRowFirstColumn="0" w:firstRowLastColumn="0" w:lastRowFirstColumn="0" w:lastRowLastColumn="0"/>
            <w:tcW w:w="1798" w:type="dxa"/>
            <w:tcBorders>
              <w:left w:val="single" w:sz="12" w:space="0" w:color="auto"/>
              <w:bottom w:val="single" w:sz="12" w:space="0" w:color="auto"/>
            </w:tcBorders>
          </w:tcPr>
          <w:p w14:paraId="162A49BD" w14:textId="2D3C8211" w:rsidR="00732CA1" w:rsidRPr="00732CA1" w:rsidRDefault="00732CA1" w:rsidP="00F11E2E">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NUTS (quick)</w:t>
            </w:r>
          </w:p>
        </w:tc>
        <w:tc>
          <w:tcPr>
            <w:tcW w:w="1798" w:type="dxa"/>
            <w:tcBorders>
              <w:bottom w:val="single" w:sz="12" w:space="0" w:color="auto"/>
            </w:tcBorders>
          </w:tcPr>
          <w:p w14:paraId="6F5B9A32" w14:textId="65122479"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δ_1d</w:t>
            </w:r>
          </w:p>
        </w:tc>
        <w:tc>
          <w:tcPr>
            <w:tcW w:w="1798" w:type="dxa"/>
            <w:tcBorders>
              <w:bottom w:val="single" w:sz="12" w:space="0" w:color="auto"/>
            </w:tcBorders>
          </w:tcPr>
          <w:p w14:paraId="28375565" w14:textId="2AC013F0"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0.867</w:t>
            </w:r>
          </w:p>
        </w:tc>
        <w:tc>
          <w:tcPr>
            <w:tcW w:w="1798" w:type="dxa"/>
            <w:tcBorders>
              <w:bottom w:val="single" w:sz="12" w:space="0" w:color="auto"/>
            </w:tcBorders>
          </w:tcPr>
          <w:p w14:paraId="6DD3C673" w14:textId="447DCF0C"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[0.675, 0.989]</w:t>
            </w:r>
          </w:p>
        </w:tc>
        <w:tc>
          <w:tcPr>
            <w:tcW w:w="1799" w:type="dxa"/>
            <w:tcBorders>
              <w:bottom w:val="single" w:sz="12" w:space="0" w:color="auto"/>
            </w:tcBorders>
          </w:tcPr>
          <w:p w14:paraId="707123E8" w14:textId="336C24CF"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2.380</w:t>
            </w:r>
          </w:p>
        </w:tc>
        <w:tc>
          <w:tcPr>
            <w:tcW w:w="1799" w:type="dxa"/>
            <w:tcBorders>
              <w:bottom w:val="single" w:sz="12" w:space="0" w:color="auto"/>
              <w:right w:val="single" w:sz="12" w:space="0" w:color="auto"/>
            </w:tcBorders>
          </w:tcPr>
          <w:p w14:paraId="3F7B7E7B" w14:textId="56CCD690" w:rsidR="00732CA1" w:rsidRPr="00732CA1" w:rsidRDefault="00732CA1" w:rsidP="00F11E2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[1.964, 2.689]</w:t>
            </w:r>
          </w:p>
        </w:tc>
      </w:tr>
    </w:tbl>
    <w:p w14:paraId="241C6D0D" w14:textId="22BB18EF" w:rsidR="0058543A" w:rsidRPr="00EA1019" w:rsidRDefault="008A06C7" w:rsidP="00215BBD">
      <w:pPr>
        <w:spacing w:line="480" w:lineRule="auto"/>
        <w:rPr>
          <w:rFonts w:ascii="Times New Roman" w:hAnsi="Times New Roman" w:cs="Times New Roman"/>
          <w:i/>
          <w:iCs/>
        </w:rPr>
      </w:pPr>
      <w:r>
        <w:rPr>
          <w:rFonts w:ascii="Times New Roman" w:eastAsiaTheme="minorEastAsia" w:hAnsi="Times New Roman" w:cs="Times New Roman"/>
          <w:b/>
          <w:bCs/>
          <w:i/>
          <w:iCs/>
        </w:rPr>
        <w:br/>
      </w:r>
      <w:r w:rsidR="0058543A" w:rsidRPr="00056CE6">
        <w:rPr>
          <w:rFonts w:ascii="Times New Roman" w:eastAsiaTheme="minorEastAsia" w:hAnsi="Times New Roman" w:cs="Times New Roman"/>
          <w:b/>
          <w:bCs/>
          <w:i/>
          <w:iCs/>
        </w:rPr>
        <w:t xml:space="preserve">Table 1. </w:t>
      </w:r>
      <w:r w:rsidR="008D0444" w:rsidRPr="008D0444">
        <w:rPr>
          <w:rFonts w:ascii="Times New Roman" w:eastAsiaTheme="minorEastAsia" w:hAnsi="Times New Roman" w:cs="Times New Roman"/>
          <w:i/>
          <w:iCs/>
        </w:rPr>
        <w:t xml:space="preserve">Posterior horizon effects on the log hazard scale (δ) and implied hazard multipliers exp(δ), relative to </w:t>
      </w:r>
      <w:r w:rsidR="008D0444" w:rsidRPr="00EA1019">
        <w:rPr>
          <w:rFonts w:ascii="Times New Roman" w:eastAsiaTheme="minorEastAsia" w:hAnsi="Times New Roman" w:cs="Times New Roman"/>
          <w:i/>
          <w:iCs/>
        </w:rPr>
        <w:t>the 30-day baseline. Intervals are 94% HDIs (3% to 97%)</w:t>
      </w:r>
      <w:r w:rsidR="00B211BD" w:rsidRPr="00EA1019">
        <w:rPr>
          <w:rFonts w:ascii="Times New Roman" w:eastAsiaTheme="minorEastAsia" w:hAnsi="Times New Roman" w:cs="Times New Roman"/>
          <w:i/>
          <w:iCs/>
        </w:rPr>
        <w:t>.</w:t>
      </w:r>
    </w:p>
    <w:p w14:paraId="6B25C966" w14:textId="7B32EBD2" w:rsidR="00B35D73" w:rsidRPr="00B35D73" w:rsidRDefault="00056CE6" w:rsidP="006A771F">
      <w:pPr>
        <w:spacing w:line="480" w:lineRule="auto"/>
        <w:rPr>
          <w:rFonts w:ascii="Times New Roman" w:hAnsi="Times New Roman" w:cs="Times New Roman"/>
        </w:rPr>
      </w:pPr>
      <w:r w:rsidRPr="00EA1019">
        <w:rPr>
          <w:rFonts w:ascii="Times New Roman" w:hAnsi="Times New Roman" w:cs="Times New Roman"/>
        </w:rPr>
        <w:t xml:space="preserve">Our </w:t>
      </w:r>
      <w:r w:rsidR="00623F33" w:rsidRPr="00EA1019">
        <w:rPr>
          <w:rFonts w:ascii="Times New Roman" w:hAnsi="Times New Roman" w:cs="Times New Roman"/>
        </w:rPr>
        <w:t xml:space="preserve">ADVI and NUTS analyses agree on the main conclusion: the 1-day horizon effect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623F33" w:rsidRPr="00EA1019">
        <w:rPr>
          <w:rFonts w:ascii="Times New Roman" w:eastAsiaTheme="minorEastAsia" w:hAnsi="Times New Roman" w:cs="Times New Roman"/>
          <w:b/>
          <w:bCs/>
        </w:rPr>
        <w:t xml:space="preserve"> </w:t>
      </w:r>
      <w:r w:rsidR="00623F33" w:rsidRPr="00EA1019">
        <w:rPr>
          <w:rFonts w:ascii="Times New Roman" w:eastAsiaTheme="minorEastAsia" w:hAnsi="Times New Roman" w:cs="Times New Roman"/>
        </w:rPr>
        <w:t>is strongly positive, with a hazard multi</w:t>
      </w:r>
      <w:r w:rsidR="005C0DE9" w:rsidRPr="00EA1019">
        <w:rPr>
          <w:rFonts w:ascii="Times New Roman" w:eastAsiaTheme="minorEastAsia" w:hAnsi="Times New Roman" w:cs="Times New Roman"/>
        </w:rPr>
        <w:t>plier around 2.3 to 2.4. That is, after controlling</w:t>
      </w:r>
      <w:r w:rsidR="00F16BDB" w:rsidRPr="00EA1019">
        <w:rPr>
          <w:rFonts w:ascii="Times New Roman" w:eastAsiaTheme="minorEastAsia" w:hAnsi="Times New Roman" w:cs="Times New Roman"/>
        </w:rPr>
        <w:t xml:space="preserve"> </w:t>
      </w:r>
      <w:r w:rsidR="00F16BDB" w:rsidRPr="00EA1019">
        <w:rPr>
          <w:rFonts w:ascii="Times New Roman" w:eastAsiaTheme="minorEastAsia" w:hAnsi="Times New Roman" w:cs="Times New Roman"/>
        </w:rPr>
        <w:t>for event-level baseline differences via partial pooling, the market-implied daily hazard at around 1 day to deadline is roughly 2.3 to 2.4 times the implied hazard at around 30 days to deadline. The 7-day effect</w:t>
      </w:r>
      <w:r w:rsidR="00F16BDB" w:rsidRPr="00EA1019">
        <w:rPr>
          <w:rFonts w:ascii="Times New Roman" w:eastAsiaTheme="minorEastAsia"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 xml:space="preserve">d </m:t>
            </m:r>
          </m:sub>
        </m:sSub>
      </m:oMath>
      <w:r w:rsidR="00F16BDB" w:rsidRPr="00EA1019">
        <w:rPr>
          <w:rFonts w:ascii="Times New Roman" w:eastAsiaTheme="minorEastAsia" w:hAnsi="Times New Roman" w:cs="Times New Roman"/>
          <w:iCs/>
        </w:rPr>
        <w:t xml:space="preserve"> however, </w:t>
      </w:r>
      <w:r w:rsidR="00F16BDB" w:rsidRPr="00EA1019">
        <w:rPr>
          <w:rFonts w:ascii="Times New Roman" w:eastAsiaTheme="minorEastAsia" w:hAnsi="Times New Roman" w:cs="Times New Roman"/>
        </w:rPr>
        <w:t>is smaller and more uncertain. Its interval overlaps 0 in both of our inference methods, which suggests that most of the systematic increase occurs very close to the deadline.</w:t>
      </w:r>
      <w:r w:rsidR="006A771F" w:rsidRPr="00EA1019">
        <w:rPr>
          <w:rFonts w:ascii="Times New Roman" w:hAnsi="Times New Roman" w:cs="Times New Roman"/>
        </w:rPr>
        <w:t xml:space="preserve"> </w:t>
      </w:r>
      <w:r w:rsidR="00B35D73" w:rsidRPr="00B35D73">
        <w:rPr>
          <w:rFonts w:ascii="Times New Roman" w:hAnsi="Times New Roman" w:cs="Times New Roman"/>
        </w:rPr>
        <w:t xml:space="preserve">Interestingly, this pattern is not driven by prices increasing on average. The mean </w:t>
      </w:r>
      <w:r w:rsidR="00B35D73" w:rsidRPr="00B35D73">
        <w:rPr>
          <w:rFonts w:ascii="Times New Roman" w:hAnsi="Times New Roman" w:cs="Times New Roman"/>
        </w:rPr>
        <w:lastRenderedPageBreak/>
        <w:t xml:space="preserve">YES price declines slightly from about 0.302 at around 30 days to about 0.283 at around 1 day, and the median price declines substantially. This matters because it rules out the simplest story that “rates rise because probabilities rise”. Instead, it highlights why the rate transform is useful: for small </w:t>
      </w:r>
      <w:r w:rsidR="00B35D73" w:rsidRPr="00B35D73">
        <w:rPr>
          <w:rFonts w:ascii="Times New Roman" w:hAnsi="Times New Roman" w:cs="Times New Roman"/>
          <w:b/>
          <w:bCs/>
        </w:rPr>
        <w:t>p</w:t>
      </w:r>
      <w:r w:rsidR="00B35D73" w:rsidRPr="00B35D73">
        <w:rPr>
          <w:rFonts w:ascii="Times New Roman" w:hAnsi="Times New Roman" w:cs="Times New Roman"/>
        </w:rPr>
        <w:t xml:space="preserve">, </w:t>
      </w:r>
      <w:r w:rsidR="00B35D73" w:rsidRPr="00B35D73">
        <w:rPr>
          <w:rFonts w:ascii="Times New Roman" w:hAnsi="Times New Roman" w:cs="Times New Roman"/>
          <w:b/>
          <w:bCs/>
        </w:rPr>
        <w:t>λ</w:t>
      </w:r>
      <w:r w:rsidR="00B35D73" w:rsidRPr="00B35D73">
        <w:rPr>
          <w:rFonts w:ascii="Times New Roman" w:hAnsi="Times New Roman" w:cs="Times New Roman"/>
        </w:rPr>
        <w:t xml:space="preserve"> behaves roughly like </w:t>
      </w:r>
      <m:oMath>
        <m:f>
          <m:fPr>
            <m:ctrlPr>
              <w:rPr>
                <w:rFonts w:ascii="Cambria Math" w:hAnsi="Cambria Math" w:cs="Times New Roman"/>
                <w:b/>
                <w:bCs/>
                <w:i/>
              </w:rPr>
            </m:ctrlPr>
          </m:fPr>
          <m:num>
            <m:r>
              <m:rPr>
                <m:sty m:val="bi"/>
              </m:rPr>
              <w:rPr>
                <w:rFonts w:ascii="Cambria Math" w:hAnsi="Cambria Math" w:cs="Times New Roman"/>
              </w:rPr>
              <m:t>p</m:t>
            </m:r>
          </m:num>
          <m:den>
            <m:r>
              <m:rPr>
                <m:sty m:val="bi"/>
              </m:rPr>
              <w:rPr>
                <w:rFonts w:ascii="Cambria Math" w:hAnsi="Cambria Math" w:cs="Times New Roman"/>
              </w:rPr>
              <m:t>t</m:t>
            </m:r>
          </m:den>
        </m:f>
        <m:r>
          <m:rPr>
            <m:sty m:val="bi"/>
          </m:rPr>
          <w:rPr>
            <w:rFonts w:ascii="Cambria Math" w:eastAsiaTheme="minorEastAsia" w:hAnsi="Cambria Math" w:cs="Times New Roman"/>
          </w:rPr>
          <m:t xml:space="preserve"> </m:t>
        </m:r>
      </m:oMath>
      <w:r w:rsidR="00BE5665" w:rsidRPr="00EA1019">
        <w:rPr>
          <w:rFonts w:ascii="Times New Roman" w:eastAsiaTheme="minorEastAsia" w:hAnsi="Times New Roman" w:cs="Times New Roman"/>
          <w:b/>
          <w:bCs/>
        </w:rPr>
        <w:t>,</w:t>
      </w:r>
      <w:r w:rsidR="00B35D73" w:rsidRPr="00B35D73">
        <w:rPr>
          <w:rFonts w:ascii="Times New Roman" w:hAnsi="Times New Roman" w:cs="Times New Roman"/>
        </w:rPr>
        <w:t xml:space="preserve"> so even modest probabilities at very short horizons can imply large daily hazard rates.</w:t>
      </w:r>
    </w:p>
    <w:p w14:paraId="763FD0F8" w14:textId="77777777" w:rsidR="00B35D73" w:rsidRPr="00B35D73" w:rsidRDefault="00B35D73" w:rsidP="00960B07">
      <w:pPr>
        <w:spacing w:line="480" w:lineRule="auto"/>
        <w:jc w:val="center"/>
        <w:rPr>
          <w:rFonts w:ascii="Times New Roman" w:hAnsi="Times New Roman" w:cs="Times New Roman"/>
          <w:b/>
          <w:bCs/>
        </w:rPr>
      </w:pPr>
      <w:r w:rsidRPr="00B35D73">
        <w:rPr>
          <w:rFonts w:ascii="Times New Roman" w:hAnsi="Times New Roman" w:cs="Times New Roman"/>
          <w:b/>
          <w:bCs/>
        </w:rPr>
        <w:t>Discussion</w:t>
      </w:r>
    </w:p>
    <w:p w14:paraId="0490DD50" w14:textId="6D67B90D" w:rsidR="00D8307D" w:rsidRPr="00D8307D" w:rsidRDefault="00C37417" w:rsidP="009F2DAE">
      <w:pPr>
        <w:spacing w:line="480" w:lineRule="auto"/>
        <w:rPr>
          <w:rFonts w:ascii="Times New Roman" w:hAnsi="Times New Roman" w:cs="Times New Roman"/>
        </w:rPr>
      </w:pPr>
      <w:r>
        <w:rPr>
          <w:rFonts w:ascii="Times New Roman" w:hAnsi="Times New Roman" w:cs="Times New Roman"/>
        </w:rPr>
        <w:t xml:space="preserve">Our results indicate a clear term structure in Polymarket deadline markets when prices are translated into implied </w:t>
      </w:r>
      <w:r w:rsidRPr="000F7972">
        <w:rPr>
          <w:rFonts w:ascii="Times New Roman" w:hAnsi="Times New Roman" w:cs="Times New Roman"/>
        </w:rPr>
        <w:t xml:space="preserve">hazards. </w:t>
      </w:r>
      <w:r w:rsidR="000F7972" w:rsidRPr="000F7972">
        <w:rPr>
          <w:rFonts w:ascii="Times New Roman" w:hAnsi="Times New Roman" w:cs="Times New Roman"/>
        </w:rPr>
        <w:t>Figure 1 shows this directly on the log hazard scale, and the hierarchical Bayesian model confirms it after accounting for large event-to-event heterogeneity</w:t>
      </w:r>
      <w:r w:rsidR="00D8307D" w:rsidRPr="00D8307D">
        <w:rPr>
          <w:rFonts w:ascii="Times New Roman" w:hAnsi="Times New Roman" w:cs="Times New Roman"/>
        </w:rPr>
        <w:t>. The strongest and most robust effect is at the 1-day horizon.</w:t>
      </w:r>
    </w:p>
    <w:p w14:paraId="4486FABD" w14:textId="310431F4" w:rsidR="00D8307D" w:rsidRPr="00D8307D" w:rsidRDefault="00D8307D" w:rsidP="009F2DAE">
      <w:pPr>
        <w:spacing w:line="480" w:lineRule="auto"/>
        <w:rPr>
          <w:rFonts w:ascii="Times New Roman" w:hAnsi="Times New Roman" w:cs="Times New Roman"/>
        </w:rPr>
      </w:pPr>
      <w:r w:rsidRPr="00D8307D">
        <w:rPr>
          <w:rFonts w:ascii="Times New Roman" w:hAnsi="Times New Roman" w:cs="Times New Roman"/>
        </w:rPr>
        <w:t xml:space="preserve">There are at least two plausible mechanisms. One is an information and attention story: as a deadline approaches, traders focus on the market, relevant news arrives, and updating accelerates. Another is a mechanical scaling story: because </w:t>
      </w:r>
      <w:r w:rsidRPr="002B55FB">
        <w:rPr>
          <w:rFonts w:ascii="Times New Roman" w:hAnsi="Times New Roman" w:cs="Times New Roman"/>
          <w:b/>
          <w:bCs/>
        </w:rPr>
        <w:t>λ</w:t>
      </w:r>
      <w:r w:rsidRPr="00D8307D">
        <w:rPr>
          <w:rFonts w:ascii="Times New Roman" w:hAnsi="Times New Roman" w:cs="Times New Roman"/>
        </w:rPr>
        <w:t xml:space="preserve"> depends roughly on </w:t>
      </w:r>
      <m:oMath>
        <m: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p</m:t>
            </m:r>
          </m:num>
          <m:den>
            <m:r>
              <m:rPr>
                <m:sty m:val="bi"/>
              </m:rPr>
              <w:rPr>
                <w:rFonts w:ascii="Cambria Math" w:hAnsi="Cambria Math" w:cs="Times New Roman"/>
              </w:rPr>
              <m:t>t</m:t>
            </m:r>
          </m:den>
        </m:f>
      </m:oMath>
      <w:r w:rsidRPr="00D8307D">
        <w:rPr>
          <w:rFonts w:ascii="Times New Roman" w:hAnsi="Times New Roman" w:cs="Times New Roman"/>
        </w:rPr>
        <w:t xml:space="preserve"> </w:t>
      </w:r>
      <w:r w:rsidR="002B55FB">
        <w:rPr>
          <w:rFonts w:ascii="Times New Roman" w:hAnsi="Times New Roman" w:cs="Times New Roman"/>
        </w:rPr>
        <w:t xml:space="preserve"> </w:t>
      </w:r>
      <w:r w:rsidRPr="00D8307D">
        <w:rPr>
          <w:rFonts w:ascii="Times New Roman" w:hAnsi="Times New Roman" w:cs="Times New Roman"/>
        </w:rPr>
        <w:t xml:space="preserve">for small </w:t>
      </w:r>
      <w:r w:rsidRPr="00D8307D">
        <w:rPr>
          <w:rFonts w:ascii="Times New Roman" w:hAnsi="Times New Roman" w:cs="Times New Roman"/>
          <w:b/>
          <w:bCs/>
        </w:rPr>
        <w:t>p</w:t>
      </w:r>
      <w:r w:rsidRPr="00D8307D">
        <w:rPr>
          <w:rFonts w:ascii="Times New Roman" w:hAnsi="Times New Roman" w:cs="Times New Roman"/>
        </w:rPr>
        <w:t xml:space="preserve">, shrinking </w:t>
      </w:r>
      <w:r w:rsidRPr="00D8307D">
        <w:rPr>
          <w:rFonts w:ascii="Times New Roman" w:hAnsi="Times New Roman" w:cs="Times New Roman"/>
          <w:b/>
          <w:bCs/>
        </w:rPr>
        <w:t>t</w:t>
      </w:r>
      <w:r w:rsidRPr="00D8307D">
        <w:rPr>
          <w:rFonts w:ascii="Times New Roman" w:hAnsi="Times New Roman" w:cs="Times New Roman"/>
        </w:rPr>
        <w:t xml:space="preserve"> can raise implied daily hazard even if </w:t>
      </w:r>
      <w:r w:rsidRPr="00D8307D">
        <w:rPr>
          <w:rFonts w:ascii="Times New Roman" w:hAnsi="Times New Roman" w:cs="Times New Roman"/>
          <w:b/>
          <w:bCs/>
        </w:rPr>
        <w:t>p</w:t>
      </w:r>
      <w:r w:rsidRPr="00D8307D">
        <w:rPr>
          <w:rFonts w:ascii="Times New Roman" w:hAnsi="Times New Roman" w:cs="Times New Roman"/>
        </w:rPr>
        <w:t xml:space="preserve"> stays flat or declines modestly. Our analysis is primarily descriptive in the sense that we estimate the effect and quantify uncertainty, but we do not isolate causality.</w:t>
      </w:r>
    </w:p>
    <w:p w14:paraId="0E65FA7B" w14:textId="51C0608F" w:rsidR="00D8307D" w:rsidRPr="00D8307D" w:rsidRDefault="00D8307D" w:rsidP="009F2DAE">
      <w:pPr>
        <w:spacing w:line="480" w:lineRule="auto"/>
        <w:rPr>
          <w:rFonts w:ascii="Times New Roman" w:hAnsi="Times New Roman" w:cs="Times New Roman"/>
        </w:rPr>
      </w:pPr>
      <w:r w:rsidRPr="00D8307D">
        <w:rPr>
          <w:rFonts w:ascii="Times New Roman" w:hAnsi="Times New Roman" w:cs="Times New Roman"/>
        </w:rPr>
        <w:t xml:space="preserve">Model limitations are visible in the posterior predictive checks. Both ADVI and NUTS quick understate the extreme right tail of log hazards. This likely reflects a mismatch between a light-tailed Normal likelihood and occasional extreme market dynamics. A straightforward extension would replace the Normal likelihood with a Student-t likelihood, or include a mixture component for outlier markets, or allow σ to vary with liquidity proxies. These extensions would be valuable if the goal were a better generative model of the full distribution, but they are not required to support the headline conclusion about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Pr="00D8307D">
        <w:rPr>
          <w:rFonts w:ascii="Times New Roman" w:hAnsi="Times New Roman" w:cs="Times New Roman"/>
        </w:rPr>
        <w:t>, which is stable across inference methods and prior sensitivity checks.</w:t>
      </w:r>
    </w:p>
    <w:p w14:paraId="091FF779" w14:textId="77777777" w:rsidR="009F2DAE" w:rsidRDefault="00FD0B3B" w:rsidP="009F2DAE">
      <w:pPr>
        <w:spacing w:line="480" w:lineRule="auto"/>
        <w:rPr>
          <w:rFonts w:ascii="Times New Roman" w:hAnsi="Times New Roman" w:cs="Times New Roman"/>
        </w:rPr>
      </w:pPr>
      <w:r>
        <w:rPr>
          <w:rFonts w:ascii="Times New Roman" w:hAnsi="Times New Roman" w:cs="Times New Roman"/>
        </w:rPr>
        <w:t>Next</w:t>
      </w:r>
      <w:r w:rsidR="00D8307D" w:rsidRPr="00D8307D">
        <w:rPr>
          <w:rFonts w:ascii="Times New Roman" w:hAnsi="Times New Roman" w:cs="Times New Roman"/>
        </w:rPr>
        <w:t>, the NUTS results here are computationally constrained. We used a quick configuration and a single chain, so the NUTS run is best interpreted as a qualitative validation of the ADVI inference rather than a high-</w:t>
      </w:r>
      <w:r w:rsidR="00D8307D" w:rsidRPr="00D8307D">
        <w:rPr>
          <w:rFonts w:ascii="Times New Roman" w:hAnsi="Times New Roman" w:cs="Times New Roman"/>
        </w:rPr>
        <w:lastRenderedPageBreak/>
        <w:t xml:space="preserve">precision MCMC estimate. The fact that it agrees closely with ADVI on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 xml:space="preserve"> </m:t>
        </m:r>
      </m:oMath>
      <w:r w:rsidR="00D8307D" w:rsidRPr="00D8307D">
        <w:rPr>
          <w:rFonts w:ascii="Times New Roman" w:hAnsi="Times New Roman" w:cs="Times New Roman"/>
        </w:rPr>
        <w:t>strengthens confidence that the variational approximation is not producing a sign error or a wildly biased effect estimate.</w:t>
      </w:r>
      <w:r>
        <w:rPr>
          <w:rFonts w:ascii="Times New Roman" w:hAnsi="Times New Roman" w:cs="Times New Roman"/>
        </w:rPr>
        <w:t xml:space="preserve"> </w:t>
      </w:r>
    </w:p>
    <w:p w14:paraId="17F8619B" w14:textId="2CF9E055" w:rsidR="00B35D73" w:rsidRPr="00B35D73" w:rsidRDefault="00FD0B3B" w:rsidP="009F2DAE">
      <w:pPr>
        <w:spacing w:line="480" w:lineRule="auto"/>
        <w:rPr>
          <w:rFonts w:ascii="Times New Roman" w:hAnsi="Times New Roman" w:cs="Times New Roman"/>
        </w:rPr>
      </w:pPr>
      <w:r>
        <w:rPr>
          <w:rFonts w:ascii="Times New Roman" w:hAnsi="Times New Roman" w:cs="Times New Roman"/>
        </w:rPr>
        <w:t>Furthermore,</w:t>
      </w:r>
      <w:r w:rsidR="00B4560A">
        <w:rPr>
          <w:rFonts w:ascii="Times New Roman" w:hAnsi="Times New Roman" w:cs="Times New Roman"/>
        </w:rPr>
        <w:t xml:space="preserve"> t</w:t>
      </w:r>
      <w:r w:rsidR="00B35D73" w:rsidRPr="00B35D73">
        <w:rPr>
          <w:rFonts w:ascii="Times New Roman" w:hAnsi="Times New Roman" w:cs="Times New Roman"/>
        </w:rPr>
        <w:t>here are clear extensions that we did not fully pursue here but that follow naturally from the proposal. First, event groupings can be enriched beyond event_slug, for example using extracted actor-action-subject factors, which would allow partial pooling across semantically related events that are not identical slugs. Second, liquidity and trading volume can be added as covariates or as a noise model component, since thin markets can show large price jumps that do not necessarily reflect information. Finally, the term-structure model can be connected to decision analysis by comparing posterior-implied beliefs to contemporaneous market prices and evaluating simple betting strategies under uncertainty.</w:t>
      </w:r>
    </w:p>
    <w:p w14:paraId="2EC52910" w14:textId="77777777" w:rsidR="00B35D73" w:rsidRPr="00B35D73" w:rsidRDefault="00B35D73" w:rsidP="00027E54">
      <w:pPr>
        <w:spacing w:line="480" w:lineRule="auto"/>
        <w:jc w:val="center"/>
        <w:rPr>
          <w:rFonts w:ascii="Times New Roman" w:hAnsi="Times New Roman" w:cs="Times New Roman"/>
          <w:b/>
          <w:bCs/>
        </w:rPr>
      </w:pPr>
      <w:r w:rsidRPr="00B35D73">
        <w:rPr>
          <w:rFonts w:ascii="Times New Roman" w:hAnsi="Times New Roman" w:cs="Times New Roman"/>
          <w:b/>
          <w:bCs/>
        </w:rPr>
        <w:t>Conclusion</w:t>
      </w:r>
    </w:p>
    <w:p w14:paraId="107DE6E6" w14:textId="1DD3E9CC" w:rsidR="00A471B4" w:rsidRDefault="00A471B4" w:rsidP="00E53807">
      <w:pPr>
        <w:spacing w:line="480" w:lineRule="auto"/>
        <w:rPr>
          <w:rFonts w:ascii="Times New Roman" w:hAnsi="Times New Roman" w:cs="Times New Roman"/>
        </w:rPr>
      </w:pPr>
      <w:r w:rsidRPr="00A471B4">
        <w:rPr>
          <w:rFonts w:ascii="Times New Roman" w:hAnsi="Times New Roman" w:cs="Times New Roman"/>
        </w:rPr>
        <w:t>Polymarket deadline</w:t>
      </w:r>
      <w:r>
        <w:rPr>
          <w:rFonts w:ascii="Times New Roman" w:hAnsi="Times New Roman" w:cs="Times New Roman"/>
        </w:rPr>
        <w:t xml:space="preserve">-style </w:t>
      </w:r>
      <w:r w:rsidRPr="00A471B4">
        <w:rPr>
          <w:rFonts w:ascii="Times New Roman" w:hAnsi="Times New Roman" w:cs="Times New Roman"/>
        </w:rPr>
        <w:t>markets exhibit a strong horizon effect when interpreted through implied event-arrival hazards. After pooling across events with a hierarchical model, the implied daily hazard at about 1 day to deadline is estimated to be roughly 2.3 to 2.4 times larger than the implied hazard at about 30 days to deadline. This conclusion is consistent across ADVI and a quick NUTS run and is robust to a tighter prior on the horizon-effect scale. The 7-day effect is modest and remains uncertain at the current level of precision.</w:t>
      </w:r>
    </w:p>
    <w:p w14:paraId="0FDD0635" w14:textId="553294A8" w:rsidR="00B35D73" w:rsidRPr="00B35D73" w:rsidRDefault="00B35D73" w:rsidP="00E53807">
      <w:pPr>
        <w:spacing w:line="480" w:lineRule="auto"/>
        <w:rPr>
          <w:rFonts w:ascii="Times New Roman" w:hAnsi="Times New Roman" w:cs="Times New Roman"/>
          <w:b/>
          <w:bCs/>
        </w:rPr>
      </w:pPr>
      <w:r w:rsidRPr="00B35D73">
        <w:rPr>
          <w:rFonts w:ascii="Times New Roman" w:hAnsi="Times New Roman" w:cs="Times New Roman"/>
          <w:b/>
          <w:bCs/>
        </w:rPr>
        <w:t xml:space="preserve">Reproducibility </w:t>
      </w:r>
      <w:r w:rsidR="00E53807" w:rsidRPr="00E53807">
        <w:rPr>
          <w:rFonts w:ascii="Times New Roman" w:hAnsi="Times New Roman" w:cs="Times New Roman"/>
          <w:b/>
          <w:bCs/>
        </w:rPr>
        <w:t>and C</w:t>
      </w:r>
      <w:r w:rsidRPr="00B35D73">
        <w:rPr>
          <w:rFonts w:ascii="Times New Roman" w:hAnsi="Times New Roman" w:cs="Times New Roman"/>
          <w:b/>
          <w:bCs/>
        </w:rPr>
        <w:t>ode</w:t>
      </w:r>
    </w:p>
    <w:p w14:paraId="2D43E4DD" w14:textId="3B1744D6" w:rsidR="00B35D73" w:rsidRPr="00B35D73" w:rsidRDefault="00B35D73" w:rsidP="00A35838">
      <w:pPr>
        <w:spacing w:line="480" w:lineRule="auto"/>
        <w:rPr>
          <w:rFonts w:ascii="Times New Roman" w:hAnsi="Times New Roman" w:cs="Times New Roman"/>
        </w:rPr>
      </w:pPr>
      <w:r w:rsidRPr="00B35D73">
        <w:rPr>
          <w:rFonts w:ascii="Times New Roman" w:hAnsi="Times New Roman" w:cs="Times New Roman"/>
        </w:rPr>
        <w:t xml:space="preserve">All processing and analysis steps are reproducible from the project repository. The SQLite database is not committed to Git due to size, but the analysis assumes </w:t>
      </w:r>
      <w:r w:rsidRPr="00B35D73">
        <w:rPr>
          <w:rFonts w:ascii="Times New Roman" w:hAnsi="Times New Roman" w:cs="Times New Roman"/>
          <w:i/>
          <w:iCs/>
        </w:rPr>
        <w:t>polymarket.db</w:t>
      </w:r>
      <w:r w:rsidRPr="00B35D73">
        <w:rPr>
          <w:rFonts w:ascii="Times New Roman" w:hAnsi="Times New Roman" w:cs="Times New Roman"/>
        </w:rPr>
        <w:t xml:space="preserve"> is present locally with the expected schema. The SQL pipeline used to construct the long join and the wide snapshot table is recorded in </w:t>
      </w:r>
      <w:r w:rsidRPr="00B35D73">
        <w:rPr>
          <w:rFonts w:ascii="Times New Roman" w:hAnsi="Times New Roman" w:cs="Times New Roman"/>
          <w:i/>
          <w:iCs/>
        </w:rPr>
        <w:t>analysis_pipeline.sql</w:t>
      </w:r>
      <w:r w:rsidRPr="00B35D73">
        <w:rPr>
          <w:rFonts w:ascii="Times New Roman" w:hAnsi="Times New Roman" w:cs="Times New Roman"/>
        </w:rPr>
        <w:t xml:space="preserve">. The final analysis table is exported as </w:t>
      </w:r>
      <w:r w:rsidRPr="00B35D73">
        <w:rPr>
          <w:rFonts w:ascii="Times New Roman" w:hAnsi="Times New Roman" w:cs="Times New Roman"/>
          <w:i/>
          <w:iCs/>
        </w:rPr>
        <w:t>timing_model_analysis_bft.csv</w:t>
      </w:r>
      <w:r w:rsidRPr="00B35D73">
        <w:rPr>
          <w:rFonts w:ascii="Times New Roman" w:hAnsi="Times New Roman" w:cs="Times New Roman"/>
        </w:rPr>
        <w:t>, which decouples model fitting from the database tooling and makes it easy to rerun inference without a GUI.</w:t>
      </w:r>
      <w:r w:rsidR="005579D6">
        <w:rPr>
          <w:rFonts w:ascii="Times New Roman" w:hAnsi="Times New Roman" w:cs="Times New Roman"/>
        </w:rPr>
        <w:t xml:space="preserve"> </w:t>
      </w:r>
      <w:r w:rsidR="00764029">
        <w:rPr>
          <w:rFonts w:ascii="Times New Roman" w:hAnsi="Times New Roman" w:cs="Times New Roman"/>
        </w:rPr>
        <w:t>All q</w:t>
      </w:r>
      <w:r w:rsidR="005579D6" w:rsidRPr="005579D6">
        <w:rPr>
          <w:rFonts w:ascii="Times New Roman" w:hAnsi="Times New Roman" w:cs="Times New Roman"/>
        </w:rPr>
        <w:t xml:space="preserve">ueries were executed in Beekeeper Studio. </w:t>
      </w:r>
    </w:p>
    <w:p w14:paraId="355D9790" w14:textId="38AF6AC8" w:rsidR="00F24737" w:rsidRDefault="00E53799" w:rsidP="00E53807">
      <w:pPr>
        <w:spacing w:line="480" w:lineRule="auto"/>
        <w:rPr>
          <w:rFonts w:ascii="Times New Roman" w:hAnsi="Times New Roman" w:cs="Times New Roman"/>
        </w:rPr>
      </w:pPr>
      <w:r w:rsidRPr="00E53799">
        <w:rPr>
          <w:rFonts w:ascii="Times New Roman" w:hAnsi="Times New Roman" w:cs="Times New Roman"/>
        </w:rPr>
        <w:lastRenderedPageBreak/>
        <w:t>Model fitting</w:t>
      </w:r>
      <w:r>
        <w:rPr>
          <w:rFonts w:ascii="Times New Roman" w:hAnsi="Times New Roman" w:cs="Times New Roman"/>
        </w:rPr>
        <w:t xml:space="preserve">, </w:t>
      </w:r>
      <w:r w:rsidRPr="00E53799">
        <w:rPr>
          <w:rFonts w:ascii="Times New Roman" w:hAnsi="Times New Roman" w:cs="Times New Roman"/>
        </w:rPr>
        <w:t>inference</w:t>
      </w:r>
      <w:r>
        <w:rPr>
          <w:rFonts w:ascii="Times New Roman" w:hAnsi="Times New Roman" w:cs="Times New Roman"/>
        </w:rPr>
        <w:t xml:space="preserve">s, and plotting were </w:t>
      </w:r>
      <w:r w:rsidRPr="00E53799">
        <w:rPr>
          <w:rFonts w:ascii="Times New Roman" w:hAnsi="Times New Roman" w:cs="Times New Roman"/>
        </w:rPr>
        <w:t xml:space="preserve">performed in Python using PyMC, with outputs and diagnostics handled via ArviZ. The main scripts are: </w:t>
      </w:r>
      <w:r w:rsidRPr="00A35838">
        <w:rPr>
          <w:rFonts w:ascii="Times New Roman" w:hAnsi="Times New Roman" w:cs="Times New Roman"/>
          <w:i/>
          <w:iCs/>
        </w:rPr>
        <w:t>run_lambda_model_fixed.py</w:t>
      </w:r>
      <w:r w:rsidRPr="00E53799">
        <w:rPr>
          <w:rFonts w:ascii="Times New Roman" w:hAnsi="Times New Roman" w:cs="Times New Roman"/>
        </w:rPr>
        <w:t xml:space="preserve"> (ADVI fit and saved InferenceData), </w:t>
      </w:r>
      <w:r w:rsidRPr="00A35838">
        <w:rPr>
          <w:rFonts w:ascii="Times New Roman" w:hAnsi="Times New Roman" w:cs="Times New Roman"/>
          <w:i/>
          <w:iCs/>
        </w:rPr>
        <w:t>run_fixed_nuts_quick.py</w:t>
      </w:r>
      <w:r w:rsidRPr="00E53799">
        <w:rPr>
          <w:rFonts w:ascii="Times New Roman" w:hAnsi="Times New Roman" w:cs="Times New Roman"/>
        </w:rPr>
        <w:t xml:space="preserve"> and </w:t>
      </w:r>
      <w:r w:rsidRPr="00A35838">
        <w:rPr>
          <w:rFonts w:ascii="Times New Roman" w:hAnsi="Times New Roman" w:cs="Times New Roman"/>
          <w:i/>
          <w:iCs/>
        </w:rPr>
        <w:t>run_fixed_nuts_quick_sensitivity.py</w:t>
      </w:r>
      <w:r w:rsidRPr="00E53799">
        <w:rPr>
          <w:rFonts w:ascii="Times New Roman" w:hAnsi="Times New Roman" w:cs="Times New Roman"/>
        </w:rPr>
        <w:t xml:space="preserve"> (MCMC), </w:t>
      </w:r>
      <w:r w:rsidRPr="00A35838">
        <w:rPr>
          <w:rFonts w:ascii="Times New Roman" w:hAnsi="Times New Roman" w:cs="Times New Roman"/>
          <w:i/>
          <w:iCs/>
        </w:rPr>
        <w:t>summarize_fixed.py</w:t>
      </w:r>
      <w:r w:rsidRPr="00E53799">
        <w:rPr>
          <w:rFonts w:ascii="Times New Roman" w:hAnsi="Times New Roman" w:cs="Times New Roman"/>
        </w:rPr>
        <w:t xml:space="preserve"> (posterior summaries), </w:t>
      </w:r>
      <w:r w:rsidRPr="00A35838">
        <w:rPr>
          <w:rFonts w:ascii="Times New Roman" w:hAnsi="Times New Roman" w:cs="Times New Roman"/>
          <w:i/>
          <w:iCs/>
        </w:rPr>
        <w:t>plot_diagnostics.py</w:t>
      </w:r>
      <w:r w:rsidRPr="00E53799">
        <w:rPr>
          <w:rFonts w:ascii="Times New Roman" w:hAnsi="Times New Roman" w:cs="Times New Roman"/>
        </w:rPr>
        <w:t xml:space="preserve"> (posterior density and trace plots), and </w:t>
      </w:r>
      <w:r w:rsidRPr="00A35838">
        <w:rPr>
          <w:rFonts w:ascii="Times New Roman" w:hAnsi="Times New Roman" w:cs="Times New Roman"/>
          <w:i/>
          <w:iCs/>
        </w:rPr>
        <w:t>ppc_quick.py</w:t>
      </w:r>
      <w:r w:rsidRPr="00E53799">
        <w:rPr>
          <w:rFonts w:ascii="Times New Roman" w:hAnsi="Times New Roman" w:cs="Times New Roman"/>
        </w:rPr>
        <w:t xml:space="preserve"> (prior and posterior predictive checks). Running these scripts after rebuilding the analysis table reproduces the figures and numerical results reported above</w:t>
      </w:r>
      <w:r w:rsidR="00304C98">
        <w:rPr>
          <w:rFonts w:ascii="Times New Roman" w:hAnsi="Times New Roman" w:cs="Times New Roman"/>
        </w:rPr>
        <w:t>.</w:t>
      </w:r>
    </w:p>
    <w:p w14:paraId="754F78B6" w14:textId="77777777" w:rsidR="004378CA" w:rsidRDefault="004378CA" w:rsidP="00B35D73">
      <w:pPr>
        <w:spacing w:line="480" w:lineRule="auto"/>
        <w:ind w:firstLine="720"/>
        <w:rPr>
          <w:rFonts w:ascii="Times New Roman" w:hAnsi="Times New Roman" w:cs="Times New Roman"/>
          <w:b/>
          <w:bCs/>
        </w:rPr>
      </w:pPr>
    </w:p>
    <w:p w14:paraId="723FE204" w14:textId="77777777" w:rsidR="00E34408" w:rsidRDefault="00E34408" w:rsidP="00B35D73">
      <w:pPr>
        <w:spacing w:line="480" w:lineRule="auto"/>
        <w:ind w:firstLine="720"/>
        <w:rPr>
          <w:rFonts w:ascii="Times New Roman" w:hAnsi="Times New Roman" w:cs="Times New Roman"/>
          <w:b/>
          <w:bCs/>
        </w:rPr>
      </w:pPr>
    </w:p>
    <w:p w14:paraId="6DEEFB4C" w14:textId="77777777" w:rsidR="00E34408" w:rsidRDefault="00E34408" w:rsidP="00B35D73">
      <w:pPr>
        <w:spacing w:line="480" w:lineRule="auto"/>
        <w:ind w:firstLine="720"/>
        <w:rPr>
          <w:rFonts w:ascii="Times New Roman" w:hAnsi="Times New Roman" w:cs="Times New Roman"/>
          <w:b/>
          <w:bCs/>
        </w:rPr>
      </w:pPr>
    </w:p>
    <w:p w14:paraId="1641AC2C" w14:textId="77777777" w:rsidR="00E34408" w:rsidRDefault="00E34408" w:rsidP="00B35D73">
      <w:pPr>
        <w:spacing w:line="480" w:lineRule="auto"/>
        <w:ind w:firstLine="720"/>
        <w:rPr>
          <w:rFonts w:ascii="Times New Roman" w:hAnsi="Times New Roman" w:cs="Times New Roman"/>
          <w:b/>
          <w:bCs/>
        </w:rPr>
      </w:pPr>
    </w:p>
    <w:p w14:paraId="19AED5F2" w14:textId="77777777" w:rsidR="00E34408" w:rsidRDefault="00E34408" w:rsidP="00B35D73">
      <w:pPr>
        <w:spacing w:line="480" w:lineRule="auto"/>
        <w:ind w:firstLine="720"/>
        <w:rPr>
          <w:rFonts w:ascii="Times New Roman" w:hAnsi="Times New Roman" w:cs="Times New Roman"/>
          <w:b/>
          <w:bCs/>
        </w:rPr>
      </w:pPr>
    </w:p>
    <w:p w14:paraId="696082A3" w14:textId="77777777" w:rsidR="00E34408" w:rsidRDefault="00E34408" w:rsidP="00B35D73">
      <w:pPr>
        <w:spacing w:line="480" w:lineRule="auto"/>
        <w:ind w:firstLine="720"/>
        <w:rPr>
          <w:rFonts w:ascii="Times New Roman" w:hAnsi="Times New Roman" w:cs="Times New Roman"/>
          <w:b/>
          <w:bCs/>
        </w:rPr>
      </w:pPr>
    </w:p>
    <w:p w14:paraId="7C033AD2" w14:textId="77777777" w:rsidR="00E34408" w:rsidRDefault="00E34408" w:rsidP="00B35D73">
      <w:pPr>
        <w:spacing w:line="480" w:lineRule="auto"/>
        <w:ind w:firstLine="720"/>
        <w:rPr>
          <w:rFonts w:ascii="Times New Roman" w:hAnsi="Times New Roman" w:cs="Times New Roman"/>
          <w:b/>
          <w:bCs/>
        </w:rPr>
      </w:pPr>
    </w:p>
    <w:p w14:paraId="1BDC053A" w14:textId="77777777" w:rsidR="00E34408" w:rsidRDefault="00E34408" w:rsidP="00B35D73">
      <w:pPr>
        <w:spacing w:line="480" w:lineRule="auto"/>
        <w:ind w:firstLine="720"/>
        <w:rPr>
          <w:rFonts w:ascii="Times New Roman" w:hAnsi="Times New Roman" w:cs="Times New Roman"/>
          <w:b/>
          <w:bCs/>
        </w:rPr>
      </w:pPr>
    </w:p>
    <w:p w14:paraId="2CD64380" w14:textId="77777777" w:rsidR="00E34408" w:rsidRDefault="00E34408" w:rsidP="00B35D73">
      <w:pPr>
        <w:spacing w:line="480" w:lineRule="auto"/>
        <w:ind w:firstLine="720"/>
        <w:rPr>
          <w:rFonts w:ascii="Times New Roman" w:hAnsi="Times New Roman" w:cs="Times New Roman"/>
          <w:b/>
          <w:bCs/>
        </w:rPr>
      </w:pPr>
    </w:p>
    <w:p w14:paraId="180E793D" w14:textId="77777777" w:rsidR="00E34408" w:rsidRDefault="00E34408" w:rsidP="00B35D73">
      <w:pPr>
        <w:spacing w:line="480" w:lineRule="auto"/>
        <w:ind w:firstLine="720"/>
        <w:rPr>
          <w:rFonts w:ascii="Times New Roman" w:hAnsi="Times New Roman" w:cs="Times New Roman"/>
          <w:b/>
          <w:bCs/>
        </w:rPr>
      </w:pPr>
    </w:p>
    <w:p w14:paraId="08884836" w14:textId="77777777" w:rsidR="00E34408" w:rsidRDefault="00E34408" w:rsidP="00B35D73">
      <w:pPr>
        <w:spacing w:line="480" w:lineRule="auto"/>
        <w:ind w:firstLine="720"/>
        <w:rPr>
          <w:rFonts w:ascii="Times New Roman" w:hAnsi="Times New Roman" w:cs="Times New Roman"/>
          <w:b/>
          <w:bCs/>
        </w:rPr>
      </w:pPr>
    </w:p>
    <w:p w14:paraId="10392DC6" w14:textId="77777777" w:rsidR="00E34408" w:rsidRDefault="00E34408" w:rsidP="00B35D73">
      <w:pPr>
        <w:spacing w:line="480" w:lineRule="auto"/>
        <w:ind w:firstLine="720"/>
        <w:rPr>
          <w:rFonts w:ascii="Times New Roman" w:hAnsi="Times New Roman" w:cs="Times New Roman"/>
          <w:b/>
          <w:bCs/>
        </w:rPr>
      </w:pPr>
    </w:p>
    <w:p w14:paraId="49A1407D" w14:textId="77777777" w:rsidR="00E34408" w:rsidRDefault="00E34408" w:rsidP="00B35D73">
      <w:pPr>
        <w:spacing w:line="480" w:lineRule="auto"/>
        <w:ind w:firstLine="720"/>
        <w:rPr>
          <w:rFonts w:ascii="Times New Roman" w:hAnsi="Times New Roman" w:cs="Times New Roman"/>
          <w:b/>
          <w:bCs/>
        </w:rPr>
      </w:pPr>
    </w:p>
    <w:p w14:paraId="60BF8065" w14:textId="77777777" w:rsidR="002908B1" w:rsidRDefault="002908B1" w:rsidP="002908B1">
      <w:pPr>
        <w:spacing w:line="480" w:lineRule="auto"/>
        <w:rPr>
          <w:rFonts w:ascii="Times New Roman" w:hAnsi="Times New Roman" w:cs="Times New Roman"/>
        </w:rPr>
      </w:pPr>
    </w:p>
    <w:p w14:paraId="061A0028" w14:textId="77777777" w:rsidR="00AF11E6" w:rsidRPr="00B35D73" w:rsidRDefault="00AF11E6" w:rsidP="002908B1">
      <w:pPr>
        <w:spacing w:line="480" w:lineRule="auto"/>
        <w:rPr>
          <w:rFonts w:ascii="Times New Roman" w:hAnsi="Times New Roman" w:cs="Times New Roman"/>
        </w:rPr>
      </w:pPr>
    </w:p>
    <w:p w14:paraId="5F682DA9" w14:textId="77777777" w:rsidR="00B35D73" w:rsidRPr="00B35D73" w:rsidRDefault="00B35D73" w:rsidP="004378CA">
      <w:pPr>
        <w:spacing w:line="480" w:lineRule="auto"/>
        <w:jc w:val="center"/>
        <w:rPr>
          <w:rFonts w:ascii="Times New Roman" w:hAnsi="Times New Roman" w:cs="Times New Roman"/>
          <w:b/>
          <w:bCs/>
        </w:rPr>
      </w:pPr>
      <w:r w:rsidRPr="00B35D73">
        <w:rPr>
          <w:rFonts w:ascii="Times New Roman" w:hAnsi="Times New Roman" w:cs="Times New Roman"/>
          <w:b/>
          <w:bCs/>
        </w:rPr>
        <w:lastRenderedPageBreak/>
        <w:t>References</w:t>
      </w:r>
    </w:p>
    <w:p w14:paraId="0E2E6190" w14:textId="77777777" w:rsid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Abril-Pla, O., Andreani, V., Carroll, C., Dong, L., Fonnesbeck, C. J., Kochurov, M., Kumar, R., Lao, J., Luhmann, C. C., Martin, O. A., Osthege, M., Vieira, R., Wiecki, T., &amp; Zinkov, R. (2023). PyMC: A modern and comprehensive probabilistic programming framework in Python. PeerJ </w:t>
      </w:r>
      <w:r w:rsidRPr="00C8316C">
        <w:rPr>
          <w:rFonts w:ascii="Times New Roman" w:hAnsi="Times New Roman" w:cs="Times New Roman"/>
          <w:i/>
          <w:iCs/>
        </w:rPr>
        <w:t>Computer Science</w:t>
      </w:r>
      <w:r w:rsidRPr="002908B1">
        <w:rPr>
          <w:rFonts w:ascii="Times New Roman" w:hAnsi="Times New Roman" w:cs="Times New Roman"/>
        </w:rPr>
        <w:t>, 9, e1516.</w:t>
      </w:r>
    </w:p>
    <w:p w14:paraId="48124B2F" w14:textId="2417744F" w:rsidR="008C59EB" w:rsidRPr="002908B1" w:rsidRDefault="008C59EB" w:rsidP="008C59EB">
      <w:pPr>
        <w:spacing w:line="360" w:lineRule="auto"/>
        <w:ind w:left="720" w:hanging="720"/>
        <w:rPr>
          <w:rFonts w:ascii="Times New Roman" w:hAnsi="Times New Roman" w:cs="Times New Roman"/>
        </w:rPr>
      </w:pPr>
      <w:r w:rsidRPr="008C59EB">
        <w:rPr>
          <w:rFonts w:ascii="Times New Roman" w:hAnsi="Times New Roman" w:cs="Times New Roman"/>
        </w:rPr>
        <w:t>Beekeeper Studio. (n.d.). Beekeeper Studio</w:t>
      </w:r>
      <w:r w:rsidR="000B1990">
        <w:rPr>
          <w:rFonts w:ascii="Times New Roman" w:hAnsi="Times New Roman" w:cs="Times New Roman"/>
        </w:rPr>
        <w:t xml:space="preserve">: </w:t>
      </w:r>
      <w:r w:rsidRPr="008C59EB">
        <w:rPr>
          <w:rFonts w:ascii="Times New Roman" w:hAnsi="Times New Roman" w:cs="Times New Roman"/>
        </w:rPr>
        <w:t>SQL editor and database manager</w:t>
      </w:r>
      <w:r w:rsidR="000B1990">
        <w:rPr>
          <w:rFonts w:ascii="Times New Roman" w:hAnsi="Times New Roman" w:cs="Times New Roman"/>
        </w:rPr>
        <w:t xml:space="preserve"> [Computer Software]</w:t>
      </w:r>
      <w:r w:rsidRPr="008C59EB">
        <w:rPr>
          <w:rFonts w:ascii="Times New Roman" w:hAnsi="Times New Roman" w:cs="Times New Roman"/>
        </w:rPr>
        <w:t>. (Used for SQLite query execution during the project</w:t>
      </w:r>
      <w:r w:rsidR="000B1990">
        <w:rPr>
          <w:rFonts w:ascii="Times New Roman" w:hAnsi="Times New Roman" w:cs="Times New Roman"/>
        </w:rPr>
        <w:t>)</w:t>
      </w:r>
      <w:r w:rsidRPr="008C59EB">
        <w:rPr>
          <w:rFonts w:ascii="Times New Roman" w:hAnsi="Times New Roman" w:cs="Times New Roman"/>
        </w:rPr>
        <w:t>.</w:t>
      </w:r>
    </w:p>
    <w:p w14:paraId="4B1097FD"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Frederick, S., Loewenstein, G., &amp; O’Donoghue, T. (2002). Time discounting and time preference: A critical review. </w:t>
      </w:r>
      <w:r w:rsidRPr="00C8316C">
        <w:rPr>
          <w:rFonts w:ascii="Times New Roman" w:hAnsi="Times New Roman" w:cs="Times New Roman"/>
          <w:i/>
          <w:iCs/>
        </w:rPr>
        <w:t>Journal of Economic Literature</w:t>
      </w:r>
      <w:r w:rsidRPr="002908B1">
        <w:rPr>
          <w:rFonts w:ascii="Times New Roman" w:hAnsi="Times New Roman" w:cs="Times New Roman"/>
        </w:rPr>
        <w:t>, 40(2), 351–401.</w:t>
      </w:r>
    </w:p>
    <w:p w14:paraId="5C814F44"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Hoffman, M. D., &amp; Gelman, A. (2014). The No-U-Turn sampler: Adaptively setting path lengths in Hamiltonian Monte Carlo. </w:t>
      </w:r>
      <w:r w:rsidRPr="00C8316C">
        <w:rPr>
          <w:rFonts w:ascii="Times New Roman" w:hAnsi="Times New Roman" w:cs="Times New Roman"/>
          <w:i/>
          <w:iCs/>
        </w:rPr>
        <w:t>Journal of Machine Learning Research</w:t>
      </w:r>
      <w:r w:rsidRPr="002908B1">
        <w:rPr>
          <w:rFonts w:ascii="Times New Roman" w:hAnsi="Times New Roman" w:cs="Times New Roman"/>
        </w:rPr>
        <w:t>, 15, 1593–1623.</w:t>
      </w:r>
    </w:p>
    <w:p w14:paraId="6C82195E"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Kucukelbir, A., Tran, D., Ranganath, R., Gelman, A., &amp; Blei, D. M. (2017). Automatic differentiation variational inference. </w:t>
      </w:r>
      <w:r w:rsidRPr="00C8316C">
        <w:rPr>
          <w:rFonts w:ascii="Times New Roman" w:hAnsi="Times New Roman" w:cs="Times New Roman"/>
          <w:i/>
          <w:iCs/>
        </w:rPr>
        <w:t>Journal of Machine Learning Research</w:t>
      </w:r>
      <w:r w:rsidRPr="002908B1">
        <w:rPr>
          <w:rFonts w:ascii="Times New Roman" w:hAnsi="Times New Roman" w:cs="Times New Roman"/>
        </w:rPr>
        <w:t>, 18(14), 1–45.</w:t>
      </w:r>
    </w:p>
    <w:p w14:paraId="5ACADBBD"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Kumar, R., Carroll, C., Hartikainen, A., &amp; Martin, O. (2019). ArviZ a unified library for exploratory analysis of Bayesian models in Python. </w:t>
      </w:r>
      <w:r w:rsidRPr="00C8316C">
        <w:rPr>
          <w:rFonts w:ascii="Times New Roman" w:hAnsi="Times New Roman" w:cs="Times New Roman"/>
          <w:i/>
          <w:iCs/>
        </w:rPr>
        <w:t>Journal of Open Source Software</w:t>
      </w:r>
      <w:r w:rsidRPr="002908B1">
        <w:rPr>
          <w:rFonts w:ascii="Times New Roman" w:hAnsi="Times New Roman" w:cs="Times New Roman"/>
        </w:rPr>
        <w:t>, 4(33), 1143.</w:t>
      </w:r>
    </w:p>
    <w:p w14:paraId="4DF68124" w14:textId="0B2CA5A9" w:rsidR="00770044"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Polymarket. (n.d.). Polymarket platform data exports used in this project (downloaded during the project period).</w:t>
      </w:r>
    </w:p>
    <w:p w14:paraId="56A427FE" w14:textId="4AF6542B" w:rsidR="00A33CB8" w:rsidRPr="00770044" w:rsidRDefault="00A33CB8" w:rsidP="002908B1">
      <w:pPr>
        <w:spacing w:line="360" w:lineRule="auto"/>
        <w:ind w:left="720" w:hanging="720"/>
        <w:rPr>
          <w:rFonts w:ascii="Times New Roman" w:hAnsi="Times New Roman" w:cs="Times New Roman"/>
        </w:rPr>
      </w:pPr>
      <w:r w:rsidRPr="00A33CB8">
        <w:rPr>
          <w:rFonts w:ascii="Times New Roman" w:hAnsi="Times New Roman" w:cs="Times New Roman"/>
        </w:rPr>
        <w:t xml:space="preserve">Wolfers, J., &amp; Zitzewitz, E. (2004). Prediction markets. </w:t>
      </w:r>
      <w:r w:rsidRPr="00A33CB8">
        <w:rPr>
          <w:rFonts w:ascii="Times New Roman" w:hAnsi="Times New Roman" w:cs="Times New Roman"/>
          <w:i/>
          <w:iCs/>
        </w:rPr>
        <w:t>Journal of Economic Perspectives, 18</w:t>
      </w:r>
      <w:r w:rsidRPr="00A33CB8">
        <w:rPr>
          <w:rFonts w:ascii="Times New Roman" w:hAnsi="Times New Roman" w:cs="Times New Roman"/>
        </w:rPr>
        <w:t>(2), 107–126.</w:t>
      </w:r>
    </w:p>
    <w:sectPr w:rsidR="00A33CB8" w:rsidRPr="00770044" w:rsidSect="00770044">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7D540" w14:textId="77777777" w:rsidR="00A30611" w:rsidRDefault="00A30611" w:rsidP="00770044">
      <w:pPr>
        <w:spacing w:after="0" w:line="240" w:lineRule="auto"/>
      </w:pPr>
      <w:r>
        <w:separator/>
      </w:r>
    </w:p>
  </w:endnote>
  <w:endnote w:type="continuationSeparator" w:id="0">
    <w:p w14:paraId="6FC2DBFD" w14:textId="77777777" w:rsidR="00A30611" w:rsidRDefault="00A30611" w:rsidP="0077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696F" w14:textId="77777777" w:rsidR="00A30611" w:rsidRDefault="00A30611" w:rsidP="00770044">
      <w:pPr>
        <w:spacing w:after="0" w:line="240" w:lineRule="auto"/>
      </w:pPr>
      <w:r>
        <w:separator/>
      </w:r>
    </w:p>
  </w:footnote>
  <w:footnote w:type="continuationSeparator" w:id="0">
    <w:p w14:paraId="33DF8A69" w14:textId="77777777" w:rsidR="00A30611" w:rsidRDefault="00A30611" w:rsidP="00770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271858"/>
      <w:docPartObj>
        <w:docPartGallery w:val="Page Numbers (Top of Page)"/>
        <w:docPartUnique/>
      </w:docPartObj>
    </w:sdtPr>
    <w:sdtEndPr>
      <w:rPr>
        <w:rFonts w:ascii="Times New Roman" w:hAnsi="Times New Roman" w:cs="Times New Roman"/>
        <w:noProof/>
      </w:rPr>
    </w:sdtEndPr>
    <w:sdtContent>
      <w:p w14:paraId="436BB2AC" w14:textId="735BA983" w:rsidR="00770044" w:rsidRPr="00770044" w:rsidRDefault="00770044">
        <w:pPr>
          <w:pStyle w:val="Header"/>
          <w:jc w:val="right"/>
          <w:rPr>
            <w:rFonts w:ascii="Times New Roman" w:hAnsi="Times New Roman" w:cs="Times New Roman"/>
          </w:rPr>
        </w:pPr>
        <w:r w:rsidRPr="00770044">
          <w:rPr>
            <w:rFonts w:ascii="Times New Roman" w:hAnsi="Times New Roman" w:cs="Times New Roman"/>
          </w:rPr>
          <w:fldChar w:fldCharType="begin"/>
        </w:r>
        <w:r w:rsidRPr="00770044">
          <w:rPr>
            <w:rFonts w:ascii="Times New Roman" w:hAnsi="Times New Roman" w:cs="Times New Roman"/>
          </w:rPr>
          <w:instrText xml:space="preserve"> PAGE   \* MERGEFORMAT </w:instrText>
        </w:r>
        <w:r w:rsidRPr="00770044">
          <w:rPr>
            <w:rFonts w:ascii="Times New Roman" w:hAnsi="Times New Roman" w:cs="Times New Roman"/>
          </w:rPr>
          <w:fldChar w:fldCharType="separate"/>
        </w:r>
        <w:r w:rsidRPr="00770044">
          <w:rPr>
            <w:rFonts w:ascii="Times New Roman" w:hAnsi="Times New Roman" w:cs="Times New Roman"/>
            <w:noProof/>
          </w:rPr>
          <w:t>2</w:t>
        </w:r>
        <w:r w:rsidRPr="00770044">
          <w:rPr>
            <w:rFonts w:ascii="Times New Roman" w:hAnsi="Times New Roman" w:cs="Times New Roman"/>
            <w:noProof/>
          </w:rPr>
          <w:fldChar w:fldCharType="end"/>
        </w:r>
      </w:p>
    </w:sdtContent>
  </w:sdt>
  <w:p w14:paraId="33B36808" w14:textId="77777777" w:rsidR="00770044" w:rsidRDefault="007700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044"/>
    <w:rsid w:val="00014E34"/>
    <w:rsid w:val="000216F8"/>
    <w:rsid w:val="000237EE"/>
    <w:rsid w:val="0002414D"/>
    <w:rsid w:val="000261B2"/>
    <w:rsid w:val="00027E54"/>
    <w:rsid w:val="00032268"/>
    <w:rsid w:val="00043837"/>
    <w:rsid w:val="00050741"/>
    <w:rsid w:val="00056CE6"/>
    <w:rsid w:val="000605E6"/>
    <w:rsid w:val="0008344C"/>
    <w:rsid w:val="000938C1"/>
    <w:rsid w:val="000A0A65"/>
    <w:rsid w:val="000A2738"/>
    <w:rsid w:val="000B1990"/>
    <w:rsid w:val="000E15F7"/>
    <w:rsid w:val="000E1CB0"/>
    <w:rsid w:val="000F7972"/>
    <w:rsid w:val="001160BB"/>
    <w:rsid w:val="0013774A"/>
    <w:rsid w:val="00151BA1"/>
    <w:rsid w:val="00164C1F"/>
    <w:rsid w:val="0016675E"/>
    <w:rsid w:val="00167A7B"/>
    <w:rsid w:val="001732B3"/>
    <w:rsid w:val="001837FC"/>
    <w:rsid w:val="00195907"/>
    <w:rsid w:val="001A50F6"/>
    <w:rsid w:val="001A69EF"/>
    <w:rsid w:val="001B10FE"/>
    <w:rsid w:val="001C02F6"/>
    <w:rsid w:val="001C7DA7"/>
    <w:rsid w:val="001E16E6"/>
    <w:rsid w:val="00213E4A"/>
    <w:rsid w:val="00214125"/>
    <w:rsid w:val="002156D0"/>
    <w:rsid w:val="00215BBD"/>
    <w:rsid w:val="00252294"/>
    <w:rsid w:val="002527AF"/>
    <w:rsid w:val="00255426"/>
    <w:rsid w:val="0026305A"/>
    <w:rsid w:val="00267331"/>
    <w:rsid w:val="00275782"/>
    <w:rsid w:val="00283748"/>
    <w:rsid w:val="002908B1"/>
    <w:rsid w:val="002B1B2E"/>
    <w:rsid w:val="002B55FB"/>
    <w:rsid w:val="002E0264"/>
    <w:rsid w:val="002E3FF3"/>
    <w:rsid w:val="002E43E6"/>
    <w:rsid w:val="0030066A"/>
    <w:rsid w:val="00300E7B"/>
    <w:rsid w:val="00304C98"/>
    <w:rsid w:val="00327271"/>
    <w:rsid w:val="00330A87"/>
    <w:rsid w:val="00330F0A"/>
    <w:rsid w:val="003507B1"/>
    <w:rsid w:val="003A70B8"/>
    <w:rsid w:val="003B0A6C"/>
    <w:rsid w:val="003C1213"/>
    <w:rsid w:val="0042151E"/>
    <w:rsid w:val="004270D5"/>
    <w:rsid w:val="00437022"/>
    <w:rsid w:val="004378CA"/>
    <w:rsid w:val="00467C47"/>
    <w:rsid w:val="00473583"/>
    <w:rsid w:val="004803CA"/>
    <w:rsid w:val="004828B8"/>
    <w:rsid w:val="00492C26"/>
    <w:rsid w:val="004C36B1"/>
    <w:rsid w:val="004C6F67"/>
    <w:rsid w:val="004D36CD"/>
    <w:rsid w:val="004E10DE"/>
    <w:rsid w:val="004F1CDF"/>
    <w:rsid w:val="004F781D"/>
    <w:rsid w:val="00502532"/>
    <w:rsid w:val="0050254A"/>
    <w:rsid w:val="0051798B"/>
    <w:rsid w:val="005234E9"/>
    <w:rsid w:val="005579D6"/>
    <w:rsid w:val="00562B5C"/>
    <w:rsid w:val="00574454"/>
    <w:rsid w:val="00574F3B"/>
    <w:rsid w:val="0058543A"/>
    <w:rsid w:val="00592760"/>
    <w:rsid w:val="0059499D"/>
    <w:rsid w:val="00595905"/>
    <w:rsid w:val="005A405A"/>
    <w:rsid w:val="005C0DE9"/>
    <w:rsid w:val="005F1979"/>
    <w:rsid w:val="005F55DB"/>
    <w:rsid w:val="00601F27"/>
    <w:rsid w:val="00603F6E"/>
    <w:rsid w:val="0060458C"/>
    <w:rsid w:val="00605776"/>
    <w:rsid w:val="006107DE"/>
    <w:rsid w:val="00623F33"/>
    <w:rsid w:val="00625432"/>
    <w:rsid w:val="0066394C"/>
    <w:rsid w:val="00670DDD"/>
    <w:rsid w:val="00673ED3"/>
    <w:rsid w:val="006812BA"/>
    <w:rsid w:val="006876A9"/>
    <w:rsid w:val="006A21BB"/>
    <w:rsid w:val="006A771F"/>
    <w:rsid w:val="006B5A58"/>
    <w:rsid w:val="006C4A09"/>
    <w:rsid w:val="006C56C1"/>
    <w:rsid w:val="006D220C"/>
    <w:rsid w:val="006D5580"/>
    <w:rsid w:val="006D6AD1"/>
    <w:rsid w:val="006E5E20"/>
    <w:rsid w:val="006F00B1"/>
    <w:rsid w:val="006F77F1"/>
    <w:rsid w:val="007068F5"/>
    <w:rsid w:val="00720ABE"/>
    <w:rsid w:val="00732CA1"/>
    <w:rsid w:val="00763D4B"/>
    <w:rsid w:val="00764029"/>
    <w:rsid w:val="00770044"/>
    <w:rsid w:val="0079157B"/>
    <w:rsid w:val="007C3604"/>
    <w:rsid w:val="007C3DDC"/>
    <w:rsid w:val="007D323F"/>
    <w:rsid w:val="007D7B96"/>
    <w:rsid w:val="007E1131"/>
    <w:rsid w:val="00800755"/>
    <w:rsid w:val="00800E33"/>
    <w:rsid w:val="0081674B"/>
    <w:rsid w:val="008312FE"/>
    <w:rsid w:val="00831362"/>
    <w:rsid w:val="008324D6"/>
    <w:rsid w:val="00832DA3"/>
    <w:rsid w:val="00855083"/>
    <w:rsid w:val="008560DD"/>
    <w:rsid w:val="00861ADB"/>
    <w:rsid w:val="00885F0A"/>
    <w:rsid w:val="008A06C7"/>
    <w:rsid w:val="008A5566"/>
    <w:rsid w:val="008C1157"/>
    <w:rsid w:val="008C2FF8"/>
    <w:rsid w:val="008C59EB"/>
    <w:rsid w:val="008D0444"/>
    <w:rsid w:val="008D1403"/>
    <w:rsid w:val="008D38A4"/>
    <w:rsid w:val="008D555D"/>
    <w:rsid w:val="008D60ED"/>
    <w:rsid w:val="008E03F0"/>
    <w:rsid w:val="008F037C"/>
    <w:rsid w:val="008F08BB"/>
    <w:rsid w:val="00903BC2"/>
    <w:rsid w:val="00910224"/>
    <w:rsid w:val="00910653"/>
    <w:rsid w:val="00930203"/>
    <w:rsid w:val="00960B07"/>
    <w:rsid w:val="009678CA"/>
    <w:rsid w:val="00970C10"/>
    <w:rsid w:val="00980018"/>
    <w:rsid w:val="00981CD6"/>
    <w:rsid w:val="009A2DD2"/>
    <w:rsid w:val="009A64B4"/>
    <w:rsid w:val="009B0583"/>
    <w:rsid w:val="009C0D7F"/>
    <w:rsid w:val="009D7240"/>
    <w:rsid w:val="009E06D3"/>
    <w:rsid w:val="009F2DAE"/>
    <w:rsid w:val="00A01835"/>
    <w:rsid w:val="00A04FC2"/>
    <w:rsid w:val="00A065A8"/>
    <w:rsid w:val="00A16C66"/>
    <w:rsid w:val="00A30611"/>
    <w:rsid w:val="00A33CB8"/>
    <w:rsid w:val="00A35838"/>
    <w:rsid w:val="00A44B59"/>
    <w:rsid w:val="00A471B4"/>
    <w:rsid w:val="00A533DF"/>
    <w:rsid w:val="00A70790"/>
    <w:rsid w:val="00A809E1"/>
    <w:rsid w:val="00A80FFE"/>
    <w:rsid w:val="00AA7B3D"/>
    <w:rsid w:val="00AC0213"/>
    <w:rsid w:val="00AC212D"/>
    <w:rsid w:val="00AD1859"/>
    <w:rsid w:val="00AD4C23"/>
    <w:rsid w:val="00AF11E6"/>
    <w:rsid w:val="00AF2975"/>
    <w:rsid w:val="00B0346F"/>
    <w:rsid w:val="00B0462F"/>
    <w:rsid w:val="00B158DC"/>
    <w:rsid w:val="00B16F9C"/>
    <w:rsid w:val="00B211BD"/>
    <w:rsid w:val="00B35D73"/>
    <w:rsid w:val="00B4560A"/>
    <w:rsid w:val="00B65572"/>
    <w:rsid w:val="00B7067F"/>
    <w:rsid w:val="00B74FBA"/>
    <w:rsid w:val="00B82F22"/>
    <w:rsid w:val="00BB7A78"/>
    <w:rsid w:val="00BD2C6B"/>
    <w:rsid w:val="00BE5665"/>
    <w:rsid w:val="00BE69F0"/>
    <w:rsid w:val="00C11052"/>
    <w:rsid w:val="00C17844"/>
    <w:rsid w:val="00C24DDB"/>
    <w:rsid w:val="00C37417"/>
    <w:rsid w:val="00C567F7"/>
    <w:rsid w:val="00C628D8"/>
    <w:rsid w:val="00C8316C"/>
    <w:rsid w:val="00C94742"/>
    <w:rsid w:val="00C96F91"/>
    <w:rsid w:val="00C97A55"/>
    <w:rsid w:val="00CA13C7"/>
    <w:rsid w:val="00CA78B4"/>
    <w:rsid w:val="00CC7D4F"/>
    <w:rsid w:val="00D03F8C"/>
    <w:rsid w:val="00D20481"/>
    <w:rsid w:val="00D27CCC"/>
    <w:rsid w:val="00D3347C"/>
    <w:rsid w:val="00D33A2D"/>
    <w:rsid w:val="00D379D6"/>
    <w:rsid w:val="00D6064F"/>
    <w:rsid w:val="00D60E09"/>
    <w:rsid w:val="00D8034B"/>
    <w:rsid w:val="00D8039E"/>
    <w:rsid w:val="00D8307D"/>
    <w:rsid w:val="00DD0697"/>
    <w:rsid w:val="00DD1207"/>
    <w:rsid w:val="00DD12F2"/>
    <w:rsid w:val="00DD1A2A"/>
    <w:rsid w:val="00DF2E4C"/>
    <w:rsid w:val="00E30FA0"/>
    <w:rsid w:val="00E34408"/>
    <w:rsid w:val="00E35D7F"/>
    <w:rsid w:val="00E53799"/>
    <w:rsid w:val="00E53807"/>
    <w:rsid w:val="00E55065"/>
    <w:rsid w:val="00E65736"/>
    <w:rsid w:val="00E67C7D"/>
    <w:rsid w:val="00E93431"/>
    <w:rsid w:val="00EA1019"/>
    <w:rsid w:val="00EA259D"/>
    <w:rsid w:val="00EA32AB"/>
    <w:rsid w:val="00EA3C53"/>
    <w:rsid w:val="00ED2C25"/>
    <w:rsid w:val="00ED60E1"/>
    <w:rsid w:val="00F02882"/>
    <w:rsid w:val="00F05D93"/>
    <w:rsid w:val="00F07EB8"/>
    <w:rsid w:val="00F11E2E"/>
    <w:rsid w:val="00F14748"/>
    <w:rsid w:val="00F16BDB"/>
    <w:rsid w:val="00F24737"/>
    <w:rsid w:val="00F30952"/>
    <w:rsid w:val="00F34269"/>
    <w:rsid w:val="00F53710"/>
    <w:rsid w:val="00F57536"/>
    <w:rsid w:val="00F74483"/>
    <w:rsid w:val="00F90BC2"/>
    <w:rsid w:val="00F95712"/>
    <w:rsid w:val="00FA378D"/>
    <w:rsid w:val="00FA6A19"/>
    <w:rsid w:val="00FB383E"/>
    <w:rsid w:val="00FD0A8B"/>
    <w:rsid w:val="00FD0B3B"/>
    <w:rsid w:val="00FE2FC2"/>
    <w:rsid w:val="00FE742B"/>
    <w:rsid w:val="00FF22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D4AF"/>
  <w15:chartTrackingRefBased/>
  <w15:docId w15:val="{6A7966E4-7667-4C44-8124-67E8B50A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0E1"/>
  </w:style>
  <w:style w:type="paragraph" w:styleId="Heading1">
    <w:name w:val="heading 1"/>
    <w:basedOn w:val="Normal"/>
    <w:next w:val="Normal"/>
    <w:link w:val="Heading1Char"/>
    <w:uiPriority w:val="9"/>
    <w:qFormat/>
    <w:rsid w:val="00770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044"/>
    <w:rPr>
      <w:rFonts w:eastAsiaTheme="majorEastAsia" w:cstheme="majorBidi"/>
      <w:color w:val="272727" w:themeColor="text1" w:themeTint="D8"/>
    </w:rPr>
  </w:style>
  <w:style w:type="paragraph" w:styleId="Title">
    <w:name w:val="Title"/>
    <w:basedOn w:val="Normal"/>
    <w:next w:val="Normal"/>
    <w:link w:val="TitleChar"/>
    <w:uiPriority w:val="10"/>
    <w:qFormat/>
    <w:rsid w:val="00770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044"/>
    <w:pPr>
      <w:spacing w:before="160"/>
      <w:jc w:val="center"/>
    </w:pPr>
    <w:rPr>
      <w:i/>
      <w:iCs/>
      <w:color w:val="404040" w:themeColor="text1" w:themeTint="BF"/>
    </w:rPr>
  </w:style>
  <w:style w:type="character" w:customStyle="1" w:styleId="QuoteChar">
    <w:name w:val="Quote Char"/>
    <w:basedOn w:val="DefaultParagraphFont"/>
    <w:link w:val="Quote"/>
    <w:uiPriority w:val="29"/>
    <w:rsid w:val="00770044"/>
    <w:rPr>
      <w:i/>
      <w:iCs/>
      <w:color w:val="404040" w:themeColor="text1" w:themeTint="BF"/>
    </w:rPr>
  </w:style>
  <w:style w:type="paragraph" w:styleId="ListParagraph">
    <w:name w:val="List Paragraph"/>
    <w:basedOn w:val="Normal"/>
    <w:uiPriority w:val="34"/>
    <w:qFormat/>
    <w:rsid w:val="00770044"/>
    <w:pPr>
      <w:ind w:left="720"/>
      <w:contextualSpacing/>
    </w:pPr>
  </w:style>
  <w:style w:type="character" w:styleId="IntenseEmphasis">
    <w:name w:val="Intense Emphasis"/>
    <w:basedOn w:val="DefaultParagraphFont"/>
    <w:uiPriority w:val="21"/>
    <w:qFormat/>
    <w:rsid w:val="00770044"/>
    <w:rPr>
      <w:i/>
      <w:iCs/>
      <w:color w:val="0F4761" w:themeColor="accent1" w:themeShade="BF"/>
    </w:rPr>
  </w:style>
  <w:style w:type="paragraph" w:styleId="IntenseQuote">
    <w:name w:val="Intense Quote"/>
    <w:basedOn w:val="Normal"/>
    <w:next w:val="Normal"/>
    <w:link w:val="IntenseQuoteChar"/>
    <w:uiPriority w:val="30"/>
    <w:qFormat/>
    <w:rsid w:val="00770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044"/>
    <w:rPr>
      <w:i/>
      <w:iCs/>
      <w:color w:val="0F4761" w:themeColor="accent1" w:themeShade="BF"/>
    </w:rPr>
  </w:style>
  <w:style w:type="character" w:styleId="IntenseReference">
    <w:name w:val="Intense Reference"/>
    <w:basedOn w:val="DefaultParagraphFont"/>
    <w:uiPriority w:val="32"/>
    <w:qFormat/>
    <w:rsid w:val="00770044"/>
    <w:rPr>
      <w:b/>
      <w:bCs/>
      <w:smallCaps/>
      <w:color w:val="0F4761" w:themeColor="accent1" w:themeShade="BF"/>
      <w:spacing w:val="5"/>
    </w:rPr>
  </w:style>
  <w:style w:type="paragraph" w:styleId="Header">
    <w:name w:val="header"/>
    <w:basedOn w:val="Normal"/>
    <w:link w:val="HeaderChar"/>
    <w:uiPriority w:val="99"/>
    <w:unhideWhenUsed/>
    <w:rsid w:val="00770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044"/>
  </w:style>
  <w:style w:type="paragraph" w:styleId="Footer">
    <w:name w:val="footer"/>
    <w:basedOn w:val="Normal"/>
    <w:link w:val="FooterChar"/>
    <w:uiPriority w:val="99"/>
    <w:unhideWhenUsed/>
    <w:rsid w:val="00770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044"/>
  </w:style>
  <w:style w:type="character" w:styleId="PlaceholderText">
    <w:name w:val="Placeholder Text"/>
    <w:basedOn w:val="DefaultParagraphFont"/>
    <w:uiPriority w:val="99"/>
    <w:semiHidden/>
    <w:rsid w:val="00DD1A2A"/>
    <w:rPr>
      <w:color w:val="666666"/>
    </w:rPr>
  </w:style>
  <w:style w:type="table" w:styleId="TableGrid">
    <w:name w:val="Table Grid"/>
    <w:basedOn w:val="TableNormal"/>
    <w:uiPriority w:val="39"/>
    <w:rsid w:val="00732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A7B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AA7B3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AA7B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AA7B3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AA7B3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Accent4">
    <w:name w:val="Grid Table 1 Light Accent 4"/>
    <w:basedOn w:val="TableNormal"/>
    <w:uiPriority w:val="46"/>
    <w:rsid w:val="00AA7B3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AA7B3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14</Pages>
  <Words>3451</Words>
  <Characters>19671</Characters>
  <Application>Microsoft Office Word</Application>
  <DocSecurity>0</DocSecurity>
  <Lines>163</Lines>
  <Paragraphs>46</Paragraphs>
  <ScaleCrop>false</ScaleCrop>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Sanson</dc:creator>
  <cp:keywords/>
  <dc:description/>
  <cp:lastModifiedBy>Jamie Sanson</cp:lastModifiedBy>
  <cp:revision>16</cp:revision>
  <cp:lastPrinted>2026-04-03T21:43:00Z</cp:lastPrinted>
  <dcterms:created xsi:type="dcterms:W3CDTF">2026-04-03T21:14:00Z</dcterms:created>
  <dcterms:modified xsi:type="dcterms:W3CDTF">2026-04-03T22:23:00Z</dcterms:modified>
</cp:coreProperties>
</file>