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and the default three-zone pressure model the peak buildup is about 8.57 MPa against an allowable 8.70 MPa, so it reports “Within limit”. (With the single-phase option in the Pressure model section the peak is about 10.05 MPa and the status is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320992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99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With the three-zone pressure model it is shown for each zone (dry CO₂, CO₂ + brine, brine) as η × m / c*, and with the single-phase model as k / (φ μ ct). It updates as soon as you change any input;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0.1 to 10 m²/s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Reservoir temperature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Used for the dry-zone calculation (water content of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 to 120 °C</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salinity (NaCl)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NaCl mass fraction of the brine; lowers the water activity.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 to 0.26</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1000 to 1200 kg/m³</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Water fugacity coeff. Φw</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Fugacity coefficient of water in the CO₂-rich phase. 1 is the screening approximation; smaller values mean the CO₂ carries more water and the dry zone is larger.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 to 1</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4.2.1 Pressure model</w:t>
      </w:r>
    </w:p>
    <w:p>
      <w:pPr>
        <w:spacing w:after="120" w:line="276"/>
        <w:jc w:val="both"/>
      </w:pPr>
      <w:r>
        <w:rPr>
          <w:rFonts w:ascii="Times New Roman" w:cs="Times New Roman" w:eastAsia="Times New Roman" w:hAnsi="Times New Roman"/>
          <w:sz w:val="22"/>
          <w:szCs w:val="22"/>
        </w:rPr>
        <w:t xml:space="preserve">The Pressure model section chooses how the pressure around each well is calculated. The default is the Three-zone CO₂–brine model, which recognises that injected CO₂ creates three regions: a dry CO₂ zone next to the well, a CO₂–brine two-phase zone and the undisturbed brine. Each region has its own mobility (how easily it flows) and diffusivity (how fast pressure spreads), and the pressure solution is matched at the two fronts. Choose Single-phase, brine-equivalent (Theis) to treat the whole aquifer as brine, as in the earlier versions of the application.</w:t>
      </w:r>
    </w:p>
    <w:p>
      <w:pPr>
        <w:keepNext/>
        <w:spacing w:after="60" w:before="120"/>
      </w:pPr>
      <w:r>
        <w:rPr>
          <w:rFonts w:ascii="Times New Roman" w:cs="Times New Roman" w:eastAsia="Times New Roman" w:hAnsi="Times New Roman"/>
          <w:b/>
          <w:bCs/>
          <w:sz w:val="20"/>
          <w:szCs w:val="20"/>
        </w:rPr>
        <w:t xml:space="preserve">Table 2a. How the three-zone model is set up.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Item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Setting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mobility k/μw and the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1 (dry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m1 = krg,max μw/μg; compressibility = rock +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2 (CO₂ +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Evaluated at the average CO₂ saturation behind the front (1/β, shown under the plume table); mobility from the relative-permeability curves; compressibility from the saturation-weighted brine and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3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1, compressibility = the total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Rock and CO₂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Two extra inputs (default 4×10⁻⁵ and 0.02 1/MPa). The brine compressibility is the total minus the rock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Fronts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Dry front and gas front radii from the dry-out and saturation inputs; both grow with the square root of time.</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 changes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Each rate period uses the kernel with its own rate; a shut-in uses the rate it stops.</w:t>
            </w:r>
          </w:p>
        </w:tc>
      </w:tr>
    </w:tbl>
    <w:p>
      <w:pPr>
        <w:spacing w:after="80" w:before="40"/>
      </w:pPr>
      <w:r>
        <w:rPr>
          <w:rFonts w:ascii="Times New Roman" w:cs="Times New Roman" w:eastAsia="Times New Roman" w:hAnsi="Times New Roman"/>
          <w:i/>
          <w:iCs/>
          <w:sz w:val="17"/>
          <w:szCs w:val="17"/>
        </w:rPr>
        <w:t xml:space="preserve">In practice the model lowers the pressure next to each well (CO₂ is more mobile than brine) and leaves the pressure far from the wells close to the brine-equivalent value.</w:t>
      </w: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 The temperature, salinity, brine density and Φw listed in Table 2 also feed the dry-zone radius shown with the saturation results.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4591050"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of the first period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Adds a rate change to the well (Section 4.7.1).</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4.7.1 Rate changes (variable injection rate)</w:t>
      </w:r>
    </w:p>
    <w:p>
      <w:pPr>
        <w:spacing w:after="120" w:line="276"/>
        <w:jc w:val="both"/>
      </w:pPr>
      <w:r>
        <w:rPr>
          <w:rFonts w:ascii="Times New Roman" w:cs="Times New Roman" w:eastAsia="Times New Roman" w:hAnsi="Times New Roman"/>
          <w:sz w:val="22"/>
          <w:szCs w:val="22"/>
        </w:rPr>
        <w:t xml:space="preserve">A well can inject at more than one rate. Click ＋ at the end of a well's row to add a rate change: a new row appears below the well with the year from which the new rate applies and the new rate. Add as many changes as you need. Each rate stays in force until the next change, the last rate stays in force until the End year, and the well is then shut in. The pressure effect of every change is added by superposition in time, so a rate reduction partly offsets the earlier buildup and the pressure recovers after shut-in. Skin acts on the rate in force, and the CO₂ plume depends on the total volume injected so far.</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0671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67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with its name centred on top of the line (click a name in the table below the map to rename it); the plume edge is where the colour returns to the dark-blue brine background. Plumes of neighbouring wells are added where they overlap. Below the map, a table lists for each well the mass injected so far, the plume radius (the CO₂ front), the dry-zone radius (the evaporation front next to the well, where the brine has been dried out),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Each well is drawn as a thin vertical line with its name on top, as on the saturation map.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3832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383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 changes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 changes (optional)</w:t>
            </w:r>
          </w:p>
        </w:tc>
      </w:tr>
    </w:tbl>
    <w:p>
      <w:pPr>
        <w:spacing w:after="80" w:before="40"/>
      </w:pPr>
      <w:r>
        <w:rPr>
          <w:rFonts w:ascii="Times New Roman" w:cs="Times New Roman" w:eastAsia="Times New Roman" w:hAnsi="Times New Roman"/>
          <w:i/>
          <w:iCs/>
          <w:sz w:val="17"/>
          <w:szCs w:val="17"/>
        </w:rPr>
        <w:t xml:space="preserve">An empty skin means “calculate it”. The optional changes column lists rate changes as year:rate pairs separated by | , for example 8:0.5|15:0.2 (the rate becomes 0.5 Mt/yr from year 8 and 0.2 Mt/yr from year 15).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(one term for every rate change of every well, the shut-in being a change to zero rate), with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 The dry-zone radius is a screening estimate (water fugacity coefficient set by you, default 1) evaluated at the initial reservoir pressure.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three-zone pressure model treats the dry and gas fronts as sharp and uses the average saturation behind the front for the two-phase zone; with rate changes each period uses its own rate for the front positions. The single-phase option ignores the CO₂ zones altogether.</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8a082fb2a312a4d2cbba39d9a3e95811b7d8ba1.png"/><Relationship Id="rId9" Type="http://schemas.openxmlformats.org/officeDocument/2006/relationships/image" Target="media/c8941039c7b2082925baf5361587b97071e3fc5b.png"/><Relationship Id="rId10" Type="http://schemas.openxmlformats.org/officeDocument/2006/relationships/image" Target="media/b97afd3abe050c85bceb15648904f560aa82b790.png"/><Relationship Id="rId11" Type="http://schemas.openxmlformats.org/officeDocument/2006/relationships/image" Target="media/f143e2a315c977072e621ea3c73c0a470b4663e7.png"/><Relationship Id="rId12" Type="http://schemas.openxmlformats.org/officeDocument/2006/relationships/image" Target="media/f851cd4dced873611247a68557706786742d991d.png"/><Relationship Id="rId13" Type="http://schemas.openxmlformats.org/officeDocument/2006/relationships/image" Target="media/a0ebe421cc37fdc73cfe04684e05a82f3d13c7c6.png"/><Relationship Id="rId14" Type="http://schemas.openxmlformats.org/officeDocument/2006/relationships/image" Target="media/0cbd20a5d2f228a8c8b70dff79d12f7c1895efbc.png"/><Relationship Id="rId15" Type="http://schemas.openxmlformats.org/officeDocument/2006/relationships/image" Target="media/6ff4886e6f4ef60c837ed137735625c5ed2a1764.png"/><Relationship Id="rId16" Type="http://schemas.openxmlformats.org/officeDocument/2006/relationships/image" Target="media/7c05c89e4604aede982a1f7184c4625ae2729802.png"/><Relationship Id="rId17" Type="http://schemas.openxmlformats.org/officeDocument/2006/relationships/image" Target="media/771522c915679f1ce75af7ff5e590c1861abd8fc.png"/><Relationship Id="rId18" Type="http://schemas.openxmlformats.org/officeDocument/2006/relationships/image" Target="media/60b42e50b796e4ef574eaa7d6ff12c2b1a0354d5.png"/><Relationship Id="rId19" Type="http://schemas.openxmlformats.org/officeDocument/2006/relationships/image" Target="media/f484c7360987aa9dbb993de6e8404cbdce08b0b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2026-10-03T03:41:11.836Z</dcterms:created>
  <dcterms:modified xsi:type="dcterms:W3CDTF">2026-10-03T03:41:11.836Z</dcterms:modified>
</cp:coreProperties>
</file>

<file path=docProps/custom.xml><?xml version="1.0" encoding="utf-8"?>
<Properties xmlns="http://schemas.openxmlformats.org/officeDocument/2006/custom-properties" xmlns:vt="http://schemas.openxmlformats.org/officeDocument/2006/docPropsVTypes"/>
</file>