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finban Mapping Service — Plain-English Walkthrough</w:t>
      </w:r>
    </w:p>
    <w:p>
      <w:pPr>
        <w:spacing w:after="300"/>
      </w:pPr>
      <w:r>
        <w:rPr>
          <w:i/>
          <w:iCs/>
          <w:color w:val="555555"/>
          <w:sz w:val="22"/>
          <w:szCs w:val="22"/>
        </w:rPr>
        <w:t xml:space="preserve">What every module does, how one event flows through the system end to end, and what else you could use instead of each choice</w:t>
      </w:r>
    </w:p>
    <w:p>
      <w:pPr>
        <w:pBdr>
          <w:bottom w:val="single" w:color="AAAAAA" w:sz="6" w:space="1"/>
        </w:pBdr>
        <w:spacing w:after="200"/>
      </w:pPr>
    </w:p>
    <w:p>
      <w:pPr>
        <w:pStyle w:val="Heading1"/>
        <w:spacing w:after="200" w:before="400"/>
      </w:pPr>
      <w:r>
        <w:t xml:space="preserve">1. The one-sentence version</w:t>
      </w:r>
    </w:p>
    <w:p>
      <w:pPr>
        <w:spacing w:after="150"/>
      </w:pPr>
      <w:r>
        <w:t xml:space="preserve">A vendor (Lexware Office) tells us "this quotation is now in state X" using its own words; our service translates that into finban's own words ("this Offer is now calculated"), remembers exactly why it made that call, and never gets confused if the vendor repeats itself or sends things out of order.</w:t>
      </w:r>
    </w:p>
    <w:p>
      <w:pPr>
        <w:spacing w:after="150"/>
      </w:pP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Daily-life analogy for the whole system</w:t>
            </w:r>
          </w:p>
          <w:p>
            <w:pPr>
              <w:spacing w:after="40"/>
            </w:pPr>
            <w:r>
              <w:rPr>
                <w:sz w:val="20"/>
                <w:szCs w:val="20"/>
              </w:rPr>
              <w:t xml:space="preserve">Think of it like a universal translator for restaurant delivery apps. Swiggy calls an order "Out for delivery," Zomato calls the same stage "Rider assigned &amp; en route." You (finban) don't want your kitchen dashboard to have a different screen for every app — you want one dashboard that always says "En route," no matter which app the order came from. This service is that translator, sitting between the apps and your dashboard.</w:t>
            </w:r>
          </w:p>
        </w:tc>
      </w:tr>
    </w:tbl>
    <w:p>
      <w:pPr>
        <w:spacing w:after="150"/>
      </w:pPr>
    </w:p>
    <w:p>
      <w:pPr>
        <w:pStyle w:val="Heading1"/>
        <w:spacing w:after="200" w:before="400"/>
      </w:pPr>
      <w:r>
        <w:t xml:space="preserve">2. The three-stage flow, in order</w:t>
      </w:r>
    </w:p>
    <w:p>
      <w:pPr>
        <w:spacing w:after="150"/>
      </w:pPr>
      <w:r>
        <w:t xml:space="preserve">Every event that reaches this service goes through exactly three stages. Nothing skips a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75"/>
        <w:gridCol w:w="3675"/>
      </w:tblGrid>
      <w:tr>
        <w:tc>
          <w:tcPr>
            <w:tcW w:type="dxa" w:w="2000"/>
            <w:shd w:fill="2F5496" w:val="clear"/>
            <w:vAlign w:val="center"/>
          </w:tcPr>
          <w:p>
            <w:r>
              <w:rPr>
                <w:b/>
                <w:bCs/>
                <w:i w:val="false"/>
                <w:iCs w:val="false"/>
                <w:color w:val="FFFFFF"/>
                <w:sz w:val="20"/>
                <w:szCs w:val="20"/>
              </w:rPr>
              <w:t xml:space="preserve">Stage</w:t>
            </w:r>
          </w:p>
        </w:tc>
        <w:tc>
          <w:tcPr>
            <w:tcW w:type="dxa" w:w="3675"/>
            <w:shd w:fill="2F5496" w:val="clear"/>
            <w:vAlign w:val="center"/>
          </w:tcPr>
          <w:p>
            <w:r>
              <w:rPr>
                <w:b/>
                <w:bCs/>
                <w:i w:val="false"/>
                <w:iCs w:val="false"/>
                <w:color w:val="FFFFFF"/>
                <w:sz w:val="20"/>
                <w:szCs w:val="20"/>
              </w:rPr>
              <w:t xml:space="preserve">What happens</w:t>
            </w:r>
          </w:p>
        </w:tc>
        <w:tc>
          <w:tcPr>
            <w:tcW w:type="dxa" w:w="3675"/>
            <w:shd w:fill="2F5496" w:val="clear"/>
            <w:vAlign w:val="center"/>
          </w:tcPr>
          <w:p>
            <w:r>
              <w:rPr>
                <w:b/>
                <w:bCs/>
                <w:i w:val="false"/>
                <w:iCs w:val="false"/>
                <w:color w:val="FFFFFF"/>
                <w:sz w:val="20"/>
                <w:szCs w:val="20"/>
              </w:rPr>
              <w:t xml:space="preserve">Daily-life analogy</w:t>
            </w:r>
          </w:p>
        </w:tc>
      </w:tr>
      <w:tr>
        <w:tc>
          <w:tcPr>
            <w:tcW w:type="dxa" w:w="2000"/>
            <w:shd w:fill="EEF2FA" w:val="clear"/>
            <w:vAlign w:val="center"/>
          </w:tcPr>
          <w:p>
            <w:r>
              <w:rPr>
                <w:b w:val="false"/>
                <w:bCs w:val="false"/>
                <w:i w:val="false"/>
                <w:iCs w:val="false"/>
                <w:sz w:val="20"/>
                <w:szCs w:val="20"/>
              </w:rPr>
              <w:t xml:space="preserve">1. Ingest</w:t>
            </w:r>
          </w:p>
        </w:tc>
        <w:tc>
          <w:tcPr>
            <w:tcW w:type="dxa" w:w="3675"/>
            <w:vAlign w:val="center"/>
          </w:tcPr>
          <w:p>
            <w:r>
              <w:rPr>
                <w:b w:val="false"/>
                <w:bCs w:val="false"/>
                <w:i w:val="false"/>
                <w:iCs w:val="false"/>
                <w:sz w:val="18"/>
                <w:szCs w:val="18"/>
              </w:rPr>
              <w:t xml:space="preserve">Ask the vendor's API for its vouchers/quotations/invoices; convert the raw JSON into one plain, neutral shape (ExternalEvent). No decisions made yet.</w:t>
            </w:r>
          </w:p>
        </w:tc>
        <w:tc>
          <w:tcPr>
            <w:tcW w:type="dxa" w:w="3675"/>
            <w:vAlign w:val="center"/>
          </w:tcPr>
          <w:p>
            <w:r>
              <w:rPr>
                <w:b w:val="false"/>
                <w:bCs w:val="false"/>
                <w:i w:val="false"/>
                <w:iCs w:val="false"/>
                <w:sz w:val="18"/>
                <w:szCs w:val="18"/>
              </w:rPr>
              <w:t xml:space="preserve">A waiter takes an order in whatever language the customer speaks and writes it on a standard order slip — they don't decide what the kitchen should cook yet.</w:t>
            </w:r>
          </w:p>
        </w:tc>
      </w:tr>
      <w:tr>
        <w:tc>
          <w:tcPr>
            <w:tcW w:type="dxa" w:w="2000"/>
            <w:shd w:fill="EEF2FA" w:val="clear"/>
            <w:vAlign w:val="center"/>
          </w:tcPr>
          <w:p>
            <w:r>
              <w:rPr>
                <w:b w:val="false"/>
                <w:bCs w:val="false"/>
                <w:i w:val="false"/>
                <w:iCs w:val="false"/>
                <w:sz w:val="20"/>
                <w:szCs w:val="20"/>
              </w:rPr>
              <w:t xml:space="preserve">2. Normalize</w:t>
            </w:r>
          </w:p>
        </w:tc>
        <w:tc>
          <w:tcPr>
            <w:tcW w:type="dxa" w:w="3675"/>
            <w:vAlign w:val="center"/>
          </w:tcPr>
          <w:p>
            <w:r>
              <w:rPr>
                <w:b w:val="false"/>
                <w:bCs w:val="false"/>
                <w:i w:val="false"/>
                <w:iCs w:val="false"/>
                <w:sz w:val="18"/>
                <w:szCs w:val="18"/>
              </w:rPr>
              <w:t xml:space="preserve">Look up the right rule for that event, run any needed check (a predicate), and decide the one true finban state.</w:t>
            </w:r>
          </w:p>
        </w:tc>
        <w:tc>
          <w:tcPr>
            <w:tcW w:type="dxa" w:w="3675"/>
            <w:vAlign w:val="center"/>
          </w:tcPr>
          <w:p>
            <w:r>
              <w:rPr>
                <w:b w:val="false"/>
                <w:bCs w:val="false"/>
                <w:i w:val="false"/>
                <w:iCs w:val="false"/>
                <w:sz w:val="18"/>
                <w:szCs w:val="18"/>
              </w:rPr>
              <w:t xml:space="preserve">The kitchen reads the order slip and decides which exact dish to prepare, checking any special instructions first ("no onions" changes what gets made).</w:t>
            </w:r>
          </w:p>
        </w:tc>
      </w:tr>
      <w:tr>
        <w:tc>
          <w:tcPr>
            <w:tcW w:type="dxa" w:w="2000"/>
            <w:shd w:fill="EEF2FA" w:val="clear"/>
            <w:vAlign w:val="center"/>
          </w:tcPr>
          <w:p>
            <w:r>
              <w:rPr>
                <w:b w:val="false"/>
                <w:bCs w:val="false"/>
                <w:i w:val="false"/>
                <w:iCs w:val="false"/>
                <w:sz w:val="20"/>
                <w:szCs w:val="20"/>
              </w:rPr>
              <w:t xml:space="preserve">3. Publish</w:t>
            </w:r>
          </w:p>
        </w:tc>
        <w:tc>
          <w:tcPr>
            <w:tcW w:type="dxa" w:w="3675"/>
            <w:vAlign w:val="center"/>
          </w:tcPr>
          <w:p>
            <w:r>
              <w:rPr>
                <w:b w:val="false"/>
                <w:bCs w:val="false"/>
                <w:i w:val="false"/>
                <w:iCs w:val="false"/>
                <w:sz w:val="18"/>
                <w:szCs w:val="18"/>
              </w:rPr>
              <w:t xml:space="preserve">Save the new state, save a note of why (which rule fired), and tell anyone else who's listening that something changed.</w:t>
            </w:r>
          </w:p>
        </w:tc>
        <w:tc>
          <w:tcPr>
            <w:tcW w:type="dxa" w:w="3675"/>
            <w:vAlign w:val="center"/>
          </w:tcPr>
          <w:p>
            <w:r>
              <w:rPr>
                <w:b w:val="false"/>
                <w:bCs w:val="false"/>
                <w:i w:val="false"/>
                <w:iCs w:val="false"/>
                <w:sz w:val="18"/>
                <w:szCs w:val="18"/>
              </w:rPr>
              <w:t xml:space="preserve">The dish goes on the pass with a ticket stapled to it saying which order it belongs to and who called it in — then the expo shouts "order up" so the server knows to grab it.</w:t>
            </w:r>
          </w:p>
        </w:tc>
      </w:tr>
    </w:tbl>
    <w:p>
      <w:pPr>
        <w:spacing w:after="150"/>
      </w:pPr>
    </w:p>
    <w:p>
      <w:pPr>
        <w:pStyle w:val="Heading1"/>
        <w:spacing w:after="200" w:before="400"/>
      </w:pPr>
      <w:r>
        <w:t xml:space="preserve">3. Walking one real event through the whole system</w:t>
      </w:r>
    </w:p>
    <w:p>
      <w:pPr>
        <w:spacing w:after="150"/>
      </w:pPr>
      <w:r>
        <w:t xml:space="preserve">Let's trace a single quotation from Lexware Office all the way to finban's dashboard, module by module.</w:t>
      </w:r>
    </w:p>
    <w:p>
      <w:pPr>
        <w:pStyle w:val="Heading2"/>
        <w:spacing w:after="150" w:before="300"/>
      </w:pPr>
      <w:r>
        <w:t xml:space="preserve">Scenario</w:t>
      </w:r>
    </w:p>
    <w:p>
      <w:pPr>
        <w:spacing w:after="150"/>
      </w:pPr>
      <w:r>
        <w:t xml:space="preserve">A customer's quotation for ₹1,000 has had ₹500 worth of invoices raised against it so far. Lexware Office reports the quotation's raw state as "quotation" (their generic in-progress label).</w:t>
      </w:r>
    </w:p>
    <w:p>
      <w:pPr>
        <w:spacing w:after="150"/>
      </w:pPr>
    </w:p>
    <w:p>
      <w:pPr>
        <w:pStyle w:val="Heading3"/>
        <w:spacing w:after="100" w:before="200"/>
      </w:pPr>
      <w:r>
        <w:t xml:space="preserve">Step 1 — client.py fetches it</w:t>
      </w:r>
    </w:p>
    <w:p>
      <w:pPr>
        <w:spacing w:after="150"/>
      </w:pPr>
      <w:r>
        <w:t xml:space="preserve">adapters/lexware_office/client.py calls Lexware Office's /v1/voucherlist/ endpoint, follows pagination if there's more than one page, and retries politely if the vendor says "slow down" (HTTP 429).</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Analogy</w:t>
            </w:r>
          </w:p>
          <w:p>
            <w:pPr>
              <w:spacing w:after="40"/>
            </w:pPr>
            <w:r>
              <w:rPr>
                <w:sz w:val="20"/>
                <w:szCs w:val="20"/>
              </w:rPr>
              <w:t xml:space="preserve">Like refreshing a food delivery app's order list — if there are 50 orders, it flips through every page instead of only looking at page 1, and if the app is briefly overloaded it waits a moment and tries again rather than giving up.</w:t>
            </w:r>
          </w:p>
        </w:tc>
      </w:tr>
    </w:tbl>
    <w:p>
      <w:pPr>
        <w:spacing w:after="150"/>
      </w:pPr>
    </w:p>
    <w:p>
      <w:pPr>
        <w:pStyle w:val="Heading3"/>
        <w:spacing w:after="100" w:before="200"/>
      </w:pPr>
      <w:r>
        <w:t xml:space="preserve">Step 2 — normalize.py translates the vendor's words</w:t>
      </w:r>
    </w:p>
    <w:p>
      <w:pPr>
        <w:spacing w:after="150"/>
      </w:pPr>
      <w:r>
        <w:t xml:space="preserve">normalize_quotation() takes the raw JSON (with Lexware Office's own field names like totalPrice.totalGrossAmount) and produces a neutral ExternalEvent: system="lexware_office", type="quotation", state="quotation", data={offer_value: 1000, related_invoice_value: 500}.</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Analogy</w:t>
            </w:r>
          </w:p>
          <w:p>
            <w:pPr>
              <w:spacing w:after="40"/>
            </w:pPr>
            <w:r>
              <w:rPr>
                <w:sz w:val="20"/>
                <w:szCs w:val="20"/>
              </w:rPr>
              <w:t xml:space="preserve">Like a customs officer converting a foreign price tag into your home currency before it goes on the shelf — the shopper downstream never needs to know the original currency.</w:t>
            </w:r>
          </w:p>
        </w:tc>
      </w:tr>
    </w:tbl>
    <w:p>
      <w:pPr>
        <w:spacing w:after="150"/>
      </w:pPr>
    </w:p>
    <w:p>
      <w:pPr>
        <w:pStyle w:val="Heading3"/>
        <w:spacing w:after="100" w:before="200"/>
      </w:pPr>
      <w:r>
        <w:t xml:space="preserve">Step 3 — resolver.py decides the finban state</w:t>
      </w:r>
    </w:p>
    <w:p>
      <w:pPr>
        <w:spacing w:after="150"/>
      </w:pPr>
      <w:r>
        <w:t xml:space="preserve">engine/resolver.py's resolve_state() looks for every rule matching (lexware_office, quotation, "quotation"). It finds two candidates in seed_rules.yaml — both have a predicate attached, because a plain "quotation" state alone isn't enough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2F5496" w:val="clear"/>
            <w:vAlign w:val="center"/>
          </w:tcPr>
          <w:p>
            <w:r>
              <w:rPr>
                <w:b/>
                <w:bCs/>
                <w:i w:val="false"/>
                <w:iCs w:val="false"/>
                <w:color w:val="FFFFFF"/>
                <w:sz w:val="20"/>
                <w:szCs w:val="20"/>
              </w:rPr>
              <w:t xml:space="preserve">Rule</w:t>
            </w:r>
          </w:p>
        </w:tc>
        <w:tc>
          <w:tcPr>
            <w:tcW w:type="dxa" w:w="3475"/>
            <w:shd w:fill="2F5496" w:val="clear"/>
            <w:vAlign w:val="center"/>
          </w:tcPr>
          <w:p>
            <w:r>
              <w:rPr>
                <w:b/>
                <w:bCs/>
                <w:i w:val="false"/>
                <w:iCs w:val="false"/>
                <w:color w:val="FFFFFF"/>
                <w:sz w:val="20"/>
                <w:szCs w:val="20"/>
              </w:rPr>
              <w:t xml:space="preserve">Predicate checked</w:t>
            </w:r>
          </w:p>
        </w:tc>
        <w:tc>
          <w:tcPr>
            <w:tcW w:type="dxa" w:w="3475"/>
            <w:shd w:fill="2F5496" w:val="clear"/>
            <w:vAlign w:val="center"/>
          </w:tcPr>
          <w:p>
            <w:r>
              <w:rPr>
                <w:b/>
                <w:bCs/>
                <w:i w:val="false"/>
                <w:iCs w:val="false"/>
                <w:color w:val="FFFFFF"/>
                <w:sz w:val="20"/>
                <w:szCs w:val="20"/>
              </w:rPr>
              <w:t xml:space="preserve">Result for our example (500 &lt; 1000)</w:t>
            </w:r>
          </w:p>
        </w:tc>
      </w:tr>
      <w:tr>
        <w:tc>
          <w:tcPr>
            <w:tcW w:type="dxa" w:w="2400"/>
            <w:vAlign w:val="center"/>
          </w:tcPr>
          <w:p>
            <w:r>
              <w:rPr>
                <w:b w:val="false"/>
                <w:bCs w:val="false"/>
                <w:i w:val="false"/>
                <w:iCs w:val="false"/>
                <w:sz w:val="18"/>
                <w:szCs w:val="18"/>
              </w:rPr>
              <w:t xml:space="preserve">r-offer-004</w:t>
            </w:r>
          </w:p>
        </w:tc>
        <w:tc>
          <w:tcPr>
            <w:tcW w:type="dxa" w:w="3475"/>
            <w:vAlign w:val="center"/>
          </w:tcPr>
          <w:p>
            <w:r>
              <w:rPr>
                <w:b w:val="false"/>
                <w:bCs w:val="false"/>
                <w:i w:val="false"/>
                <w:iCs w:val="false"/>
                <w:sz w:val="18"/>
                <w:szCs w:val="18"/>
              </w:rPr>
              <w:t xml:space="preserve">offer_related_invoice_below_value: related_invoice_value &lt; offer_value</w:t>
            </w:r>
          </w:p>
        </w:tc>
        <w:tc>
          <w:tcPr>
            <w:tcW w:type="dxa" w:w="3475"/>
            <w:shd w:fill="E2F0D9" w:val="clear"/>
            <w:vAlign w:val="center"/>
          </w:tcPr>
          <w:p>
            <w:r>
              <w:rPr>
                <w:b w:val="false"/>
                <w:bCs w:val="false"/>
                <w:i w:val="false"/>
                <w:iCs w:val="false"/>
                <w:sz w:val="18"/>
                <w:szCs w:val="18"/>
              </w:rPr>
              <w:t xml:space="preserve">500 &lt; 1000 → TRUE → this rule wins</w:t>
            </w:r>
          </w:p>
        </w:tc>
      </w:tr>
      <w:tr>
        <w:tc>
          <w:tcPr>
            <w:tcW w:type="dxa" w:w="2400"/>
            <w:vAlign w:val="center"/>
          </w:tcPr>
          <w:p>
            <w:r>
              <w:rPr>
                <w:b w:val="false"/>
                <w:bCs w:val="false"/>
                <w:i w:val="false"/>
                <w:iCs w:val="false"/>
                <w:sz w:val="18"/>
                <w:szCs w:val="18"/>
              </w:rPr>
              <w:t xml:space="preserve">r-offer-005</w:t>
            </w:r>
          </w:p>
        </w:tc>
        <w:tc>
          <w:tcPr>
            <w:tcW w:type="dxa" w:w="3475"/>
            <w:vAlign w:val="center"/>
          </w:tcPr>
          <w:p>
            <w:r>
              <w:rPr>
                <w:b w:val="false"/>
                <w:bCs w:val="false"/>
                <w:i w:val="false"/>
                <w:iCs w:val="false"/>
                <w:sz w:val="18"/>
                <w:szCs w:val="18"/>
              </w:rPr>
              <w:t xml:space="preserve">offer_related_invoice_at_or_above_value: related_invoice_value &gt;= offer_value</w:t>
            </w:r>
          </w:p>
        </w:tc>
        <w:tc>
          <w:tcPr>
            <w:tcW w:type="dxa" w:w="3475"/>
            <w:vAlign w:val="center"/>
          </w:tcPr>
          <w:p>
            <w:r>
              <w:rPr>
                <w:b w:val="false"/>
                <w:bCs w:val="false"/>
                <w:i w:val="false"/>
                <w:iCs w:val="false"/>
                <w:sz w:val="18"/>
                <w:szCs w:val="18"/>
              </w:rPr>
              <w:t xml:space="preserve">500 &gt;= 1000 → FALSE → skipped</w:t>
            </w:r>
          </w:p>
        </w:tc>
      </w:tr>
    </w:tbl>
    <w:p>
      <w:pPr>
        <w:spacing w:after="150"/>
      </w:pPr>
    </w:p>
    <w:p>
      <w:pPr>
        <w:spacing w:after="150"/>
      </w:pPr>
      <w:r>
        <w:t xml:space="preserve">Result: finban_state = "partially_calculated", rule_id = "r-offer-004".</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Analogy</w:t>
            </w:r>
          </w:p>
          <w:p>
            <w:pPr>
              <w:spacing w:after="40"/>
            </w:pPr>
            <w:r>
              <w:rPr>
                <w:sz w:val="20"/>
                <w:szCs w:val="20"/>
              </w:rPr>
              <w:t xml:space="preserve">Like a loan officer checking "has at least 50% been repaid?" before deciding whether to label an account "partially settled" vs. "settled" — the same raw status ("active loan") means different things depending on a number you have to actually check.</w:t>
            </w:r>
          </w:p>
        </w:tc>
      </w:tr>
    </w:tbl>
    <w:p>
      <w:pPr>
        <w:spacing w:after="150"/>
      </w:pPr>
    </w:p>
    <w:p>
      <w:pPr>
        <w:pStyle w:val="Heading3"/>
        <w:spacing w:after="100" w:before="200"/>
      </w:pPr>
      <w:r>
        <w:t xml:space="preserve">Step 4 — repository.py writes it down, safely</w:t>
      </w:r>
    </w:p>
    <w:p>
      <w:pPr>
        <w:spacing w:after="150"/>
      </w:pPr>
      <w:r>
        <w:t xml:space="preserve">persistence/repository.py's apply_state_change() does four things in order: (1) checks if this exact update was already processed before — if so, stop, nothing more to do; (2) checks the transition is allowed (a legitimate move, not corruption from an out-of-order message); (3) updates the "current state" row; (4) adds a permanent history entry recording the old state, new state, which rule fired, and when.</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Analogy</w:t>
            </w:r>
          </w:p>
          <w:p>
            <w:pPr>
              <w:spacing w:after="40"/>
            </w:pPr>
            <w:r>
              <w:rPr>
                <w:sz w:val="20"/>
                <w:szCs w:val="20"/>
              </w:rPr>
              <w:t xml:space="preserve">Like a bank teller processing a cheque: first they check it hasn't already been cashed (idempotency), then they check the account rules allow the withdrawal (transition guardrail), then they update your balance (current state), then they print a receipt you can keep forever (audit trail).</w:t>
            </w:r>
          </w:p>
        </w:tc>
      </w:tr>
    </w:tbl>
    <w:p>
      <w:pPr>
        <w:spacing w:after="150"/>
      </w:pPr>
    </w:p>
    <w:p>
      <w:pPr>
        <w:pStyle w:val="Heading3"/>
        <w:spacing w:after="100" w:before="200"/>
      </w:pPr>
      <w:r>
        <w:t xml:space="preserve">Step 5 — publisher.py tells everyone else</w:t>
      </w:r>
    </w:p>
    <w:p>
      <w:pPr>
        <w:spacing w:after="150"/>
      </w:pPr>
      <w:r>
        <w:t xml:space="preserve">events/publisher.py announces "Offer #123 moved from sent to partially_calculated (via rule r-offer-004)" so any other part of the business relying on finban's state — a sales dashboard, a notification system — can react.</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Analogy</w:t>
            </w:r>
          </w:p>
          <w:p>
            <w:pPr>
              <w:spacing w:after="40"/>
            </w:pPr>
            <w:r>
              <w:rPr>
                <w:sz w:val="20"/>
                <w:szCs w:val="20"/>
              </w:rPr>
              <w:t xml:space="preserve">Like a WhatsApp group notification after a shared expense app updates who owes what — nobody has to keep refreshing the app; they just get told when something relevant changes.</w:t>
            </w:r>
          </w:p>
        </w:tc>
      </w:tr>
    </w:tbl>
    <w:p>
      <w:pPr>
        <w:spacing w:after="150"/>
      </w:pPr>
    </w:p>
    <w:p>
      <w:pPr>
        <w:pStyle w:val="Heading3"/>
        <w:spacing w:after="100" w:before="200"/>
      </w:pPr>
      <w:r>
        <w:t xml:space="preserve">Step 6 — routes.py lets anyone ask about it later</w:t>
      </w:r>
    </w:p>
    <w:p>
      <w:pPr>
        <w:spacing w:after="150"/>
      </w:pPr>
      <w:r>
        <w:t xml:space="preserve">Someone in ops can call GET /entities/offer/123/state to see "partially_calculated" right now, or GET /entities/offer/123/history to see the entire timeline of how it got there and why.</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Analogy</w:t>
            </w:r>
          </w:p>
          <w:p>
            <w:pPr>
              <w:spacing w:after="40"/>
            </w:pPr>
            <w:r>
              <w:rPr>
                <w:sz w:val="20"/>
                <w:szCs w:val="20"/>
              </w:rPr>
              <w:t xml:space="preserve">Like a package tracking page — you can see the current status ("out for delivery") or open the full timeline ("picked up → at sorting facility → out for delivery") to understand exactly how it got there.</w:t>
            </w:r>
          </w:p>
        </w:tc>
      </w:tr>
    </w:tbl>
    <w:p>
      <w:pPr>
        <w:spacing w:after="150"/>
      </w:pPr>
    </w:p>
    <w:p>
      <w:pPr>
        <w:pStyle w:val="Heading1"/>
        <w:spacing w:after="200" w:before="400"/>
      </w:pPr>
      <w:r>
        <w:t xml:space="preserve">4. Every module, what it's for, and its daily-life analogy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75"/>
        <w:gridCol w:w="3375"/>
      </w:tblGrid>
      <w:tr>
        <w:tc>
          <w:tcPr>
            <w:tcW w:type="dxa" w:w="2600"/>
            <w:shd w:fill="2F5496" w:val="clear"/>
            <w:vAlign w:val="center"/>
          </w:tcPr>
          <w:p>
            <w:r>
              <w:rPr>
                <w:b/>
                <w:bCs/>
                <w:i w:val="false"/>
                <w:iCs w:val="false"/>
                <w:color w:val="FFFFFF"/>
                <w:sz w:val="20"/>
                <w:szCs w:val="20"/>
              </w:rPr>
              <w:t xml:space="preserve">Module</w:t>
            </w:r>
          </w:p>
        </w:tc>
        <w:tc>
          <w:tcPr>
            <w:tcW w:type="dxa" w:w="3375"/>
            <w:shd w:fill="2F5496" w:val="clear"/>
            <w:vAlign w:val="center"/>
          </w:tcPr>
          <w:p>
            <w:r>
              <w:rPr>
                <w:b/>
                <w:bCs/>
                <w:i w:val="false"/>
                <w:iCs w:val="false"/>
                <w:color w:val="FFFFFF"/>
                <w:sz w:val="20"/>
                <w:szCs w:val="20"/>
              </w:rPr>
              <w:t xml:space="preserve">What it does</w:t>
            </w:r>
          </w:p>
        </w:tc>
        <w:tc>
          <w:tcPr>
            <w:tcW w:type="dxa" w:w="3375"/>
            <w:shd w:fill="2F5496" w:val="clear"/>
            <w:vAlign w:val="center"/>
          </w:tcPr>
          <w:p>
            <w:r>
              <w:rPr>
                <w:b/>
                <w:bCs/>
                <w:i w:val="false"/>
                <w:iCs w:val="false"/>
                <w:color w:val="FFFFFF"/>
                <w:sz w:val="20"/>
                <w:szCs w:val="20"/>
              </w:rPr>
              <w:t xml:space="preserve">Analogy</w:t>
            </w:r>
          </w:p>
        </w:tc>
      </w:tr>
      <w:tr>
        <w:tc>
          <w:tcPr>
            <w:tcW w:type="dxa" w:w="2600"/>
            <w:vAlign w:val="center"/>
          </w:tcPr>
          <w:p>
            <w:r>
              <w:rPr>
                <w:b w:val="false"/>
                <w:bCs w:val="false"/>
                <w:i w:val="false"/>
                <w:iCs w:val="false"/>
                <w:sz w:val="18"/>
                <w:szCs w:val="18"/>
              </w:rPr>
              <w:t xml:space="preserve">domain/states.py</w:t>
            </w:r>
          </w:p>
        </w:tc>
        <w:tc>
          <w:tcPr>
            <w:tcW w:type="dxa" w:w="3375"/>
            <w:vAlign w:val="center"/>
          </w:tcPr>
          <w:p>
            <w:r>
              <w:rPr>
                <w:b w:val="false"/>
                <w:bCs w:val="false"/>
                <w:i w:val="false"/>
                <w:iCs w:val="false"/>
                <w:sz w:val="18"/>
                <w:szCs w:val="18"/>
              </w:rPr>
              <w:t xml:space="preserve">Defines every valid finban state (draft, sent, calculated, paid, etc.) as a fixed list.</w:t>
            </w:r>
          </w:p>
        </w:tc>
        <w:tc>
          <w:tcPr>
            <w:tcW w:type="dxa" w:w="3375"/>
            <w:vAlign w:val="center"/>
          </w:tcPr>
          <w:p>
            <w:r>
              <w:rPr>
                <w:b w:val="false"/>
                <w:bCs w:val="false"/>
                <w:i w:val="false"/>
                <w:iCs w:val="false"/>
                <w:sz w:val="18"/>
                <w:szCs w:val="18"/>
              </w:rPr>
              <w:t xml:space="preserve">A restaurant's official menu — a dish can only be one of the items printed on it, nothing invented on the spot.</w:t>
            </w:r>
          </w:p>
        </w:tc>
      </w:tr>
      <w:tr>
        <w:tc>
          <w:tcPr>
            <w:tcW w:type="dxa" w:w="2600"/>
            <w:vAlign w:val="center"/>
          </w:tcPr>
          <w:p>
            <w:r>
              <w:rPr>
                <w:b w:val="false"/>
                <w:bCs w:val="false"/>
                <w:i w:val="false"/>
                <w:iCs w:val="false"/>
                <w:sz w:val="18"/>
                <w:szCs w:val="18"/>
              </w:rPr>
              <w:t xml:space="preserve">domain/entities.py</w:t>
            </w:r>
          </w:p>
        </w:tc>
        <w:tc>
          <w:tcPr>
            <w:tcW w:type="dxa" w:w="3375"/>
            <w:vAlign w:val="center"/>
          </w:tcPr>
          <w:p>
            <w:r>
              <w:rPr>
                <w:b w:val="false"/>
                <w:bCs w:val="false"/>
                <w:i w:val="false"/>
                <w:iCs w:val="false"/>
                <w:sz w:val="18"/>
                <w:szCs w:val="18"/>
              </w:rPr>
              <w:t xml:space="preserve">Defines the shape of each business object: an Offer has an id, a value, a state, etc.</w:t>
            </w:r>
          </w:p>
        </w:tc>
        <w:tc>
          <w:tcPr>
            <w:tcW w:type="dxa" w:w="3375"/>
            <w:vAlign w:val="center"/>
          </w:tcPr>
          <w:p>
            <w:r>
              <w:rPr>
                <w:b w:val="false"/>
                <w:bCs w:val="false"/>
                <w:i w:val="false"/>
                <w:iCs w:val="false"/>
                <w:sz w:val="18"/>
                <w:szCs w:val="18"/>
              </w:rPr>
              <w:t xml:space="preserve">A blank form template — every Offer "form" has the same fields, no matter who filled it in.</w:t>
            </w:r>
          </w:p>
        </w:tc>
      </w:tr>
      <w:tr>
        <w:tc>
          <w:tcPr>
            <w:tcW w:type="dxa" w:w="2600"/>
            <w:vAlign w:val="center"/>
          </w:tcPr>
          <w:p>
            <w:r>
              <w:rPr>
                <w:b w:val="false"/>
                <w:bCs w:val="false"/>
                <w:i w:val="false"/>
                <w:iCs w:val="false"/>
                <w:sz w:val="18"/>
                <w:szCs w:val="18"/>
              </w:rPr>
              <w:t xml:space="preserve">domain/transitions.py</w:t>
            </w:r>
          </w:p>
        </w:tc>
        <w:tc>
          <w:tcPr>
            <w:tcW w:type="dxa" w:w="3375"/>
            <w:vAlign w:val="center"/>
          </w:tcPr>
          <w:p>
            <w:r>
              <w:rPr>
                <w:b w:val="false"/>
                <w:bCs w:val="false"/>
                <w:i w:val="false"/>
                <w:iCs w:val="false"/>
                <w:sz w:val="18"/>
                <w:szCs w:val="18"/>
              </w:rPr>
              <w:t xml:space="preserve">Decides whether moving from one state to another is legitimate (e.g. paid → canceled is fine; paid → draft usually isn't).</w:t>
            </w:r>
          </w:p>
        </w:tc>
        <w:tc>
          <w:tcPr>
            <w:tcW w:type="dxa" w:w="3375"/>
            <w:vAlign w:val="center"/>
          </w:tcPr>
          <w:p>
            <w:r>
              <w:rPr>
                <w:b w:val="false"/>
                <w:bCs w:val="false"/>
                <w:i w:val="false"/>
                <w:iCs w:val="false"/>
                <w:sz w:val="18"/>
                <w:szCs w:val="18"/>
              </w:rPr>
              <w:t xml:space="preserve">A boarding gate agent — some direction changes are fine (business class upgrade), some should be blocked (boarding then un-boarding for no reason).</w:t>
            </w:r>
          </w:p>
        </w:tc>
      </w:tr>
      <w:tr>
        <w:tc>
          <w:tcPr>
            <w:tcW w:type="dxa" w:w="2600"/>
            <w:vAlign w:val="center"/>
          </w:tcPr>
          <w:p>
            <w:r>
              <w:rPr>
                <w:b w:val="false"/>
                <w:bCs w:val="false"/>
                <w:i w:val="false"/>
                <w:iCs w:val="false"/>
                <w:sz w:val="18"/>
                <w:szCs w:val="18"/>
              </w:rPr>
              <w:t xml:space="preserve">mapping/rules.py</w:t>
            </w:r>
          </w:p>
        </w:tc>
        <w:tc>
          <w:tcPr>
            <w:tcW w:type="dxa" w:w="3375"/>
            <w:vAlign w:val="center"/>
          </w:tcPr>
          <w:p>
            <w:r>
              <w:rPr>
                <w:b w:val="false"/>
                <w:bCs w:val="false"/>
                <w:i w:val="false"/>
                <w:iCs w:val="false"/>
                <w:sz w:val="18"/>
                <w:szCs w:val="18"/>
              </w:rPr>
              <w:t xml:space="preserve">The shape of one mapping row, plus code to load all rows from the YAML file.</w:t>
            </w:r>
          </w:p>
        </w:tc>
        <w:tc>
          <w:tcPr>
            <w:tcW w:type="dxa" w:w="3375"/>
            <w:vAlign w:val="center"/>
          </w:tcPr>
          <w:p>
            <w:r>
              <w:rPr>
                <w:b w:val="false"/>
                <w:bCs w:val="false"/>
                <w:i w:val="false"/>
                <w:iCs w:val="false"/>
                <w:sz w:val="18"/>
                <w:szCs w:val="18"/>
              </w:rPr>
              <w:t xml:space="preserve">The blank template for one row in a phrasebook: "foreign phrase → English meaning, only if this condition holds."</w:t>
            </w:r>
          </w:p>
        </w:tc>
      </w:tr>
      <w:tr>
        <w:tc>
          <w:tcPr>
            <w:tcW w:type="dxa" w:w="2600"/>
            <w:vAlign w:val="center"/>
          </w:tcPr>
          <w:p>
            <w:r>
              <w:rPr>
                <w:b w:val="false"/>
                <w:bCs w:val="false"/>
                <w:i w:val="false"/>
                <w:iCs w:val="false"/>
                <w:sz w:val="18"/>
                <w:szCs w:val="18"/>
              </w:rPr>
              <w:t xml:space="preserve">mapping/seed_rules.yaml</w:t>
            </w:r>
          </w:p>
        </w:tc>
        <w:tc>
          <w:tcPr>
            <w:tcW w:type="dxa" w:w="3375"/>
            <w:vAlign w:val="center"/>
          </w:tcPr>
          <w:p>
            <w:r>
              <w:rPr>
                <w:b w:val="false"/>
                <w:bCs w:val="false"/>
                <w:i w:val="false"/>
                <w:iCs w:val="false"/>
                <w:sz w:val="18"/>
                <w:szCs w:val="18"/>
              </w:rPr>
              <w:t xml:space="preserve">The actual phrasebook — every known vendor-state-to-finban-state row, 21 rows in the current version.</w:t>
            </w:r>
          </w:p>
        </w:tc>
        <w:tc>
          <w:tcPr>
            <w:tcW w:type="dxa" w:w="3375"/>
            <w:vAlign w:val="center"/>
          </w:tcPr>
          <w:p>
            <w:r>
              <w:rPr>
                <w:b w:val="false"/>
                <w:bCs w:val="false"/>
                <w:i w:val="false"/>
                <w:iCs w:val="false"/>
                <w:sz w:val="18"/>
                <w:szCs w:val="18"/>
              </w:rPr>
              <w:t xml:space="preserve">The actual printed phrasebook you'd hand a traveller.</w:t>
            </w:r>
          </w:p>
        </w:tc>
      </w:tr>
      <w:tr>
        <w:tc>
          <w:tcPr>
            <w:tcW w:type="dxa" w:w="2600"/>
            <w:vAlign w:val="center"/>
          </w:tcPr>
          <w:p>
            <w:r>
              <w:rPr>
                <w:b w:val="false"/>
                <w:bCs w:val="false"/>
                <w:i w:val="false"/>
                <w:iCs w:val="false"/>
                <w:sz w:val="18"/>
                <w:szCs w:val="18"/>
              </w:rPr>
              <w:t xml:space="preserve">mapping/predicates.py</w:t>
            </w:r>
          </w:p>
        </w:tc>
        <w:tc>
          <w:tcPr>
            <w:tcW w:type="dxa" w:w="3375"/>
            <w:vAlign w:val="center"/>
          </w:tcPr>
          <w:p>
            <w:r>
              <w:rPr>
                <w:b w:val="false"/>
                <w:bCs w:val="false"/>
                <w:i w:val="false"/>
                <w:iCs w:val="false"/>
                <w:sz w:val="18"/>
                <w:szCs w:val="18"/>
              </w:rPr>
              <w:t xml:space="preserve">The handful of yes/no checks needed for rows where one vendor word can mean two different things.</w:t>
            </w:r>
          </w:p>
        </w:tc>
        <w:tc>
          <w:tcPr>
            <w:tcW w:type="dxa" w:w="3375"/>
            <w:vAlign w:val="center"/>
          </w:tcPr>
          <w:p>
            <w:r>
              <w:rPr>
                <w:b w:val="false"/>
                <w:bCs w:val="false"/>
                <w:i w:val="false"/>
                <w:iCs w:val="false"/>
                <w:sz w:val="18"/>
                <w:szCs w:val="18"/>
              </w:rPr>
              <w:t xml:space="preserve">A phrasebook footnote: "this word means X if talking about food, Y if talking about time."</w:t>
            </w:r>
          </w:p>
        </w:tc>
      </w:tr>
      <w:tr>
        <w:tc>
          <w:tcPr>
            <w:tcW w:type="dxa" w:w="2600"/>
            <w:vAlign w:val="center"/>
          </w:tcPr>
          <w:p>
            <w:r>
              <w:rPr>
                <w:b w:val="false"/>
                <w:bCs w:val="false"/>
                <w:i w:val="false"/>
                <w:iCs w:val="false"/>
                <w:sz w:val="18"/>
                <w:szCs w:val="18"/>
              </w:rPr>
              <w:t xml:space="preserve">mapping/registry.py</w:t>
            </w:r>
          </w:p>
        </w:tc>
        <w:tc>
          <w:tcPr>
            <w:tcW w:type="dxa" w:w="3375"/>
            <w:vAlign w:val="center"/>
          </w:tcPr>
          <w:p>
            <w:r>
              <w:rPr>
                <w:b w:val="false"/>
                <w:bCs w:val="false"/>
                <w:i w:val="false"/>
                <w:iCs w:val="false"/>
                <w:sz w:val="18"/>
                <w:szCs w:val="18"/>
              </w:rPr>
              <w:t xml:space="preserve">A simple name-to-function directory so a YAML row can reference a predicate by name.</w:t>
            </w:r>
          </w:p>
        </w:tc>
        <w:tc>
          <w:tcPr>
            <w:tcW w:type="dxa" w:w="3375"/>
            <w:vAlign w:val="center"/>
          </w:tcPr>
          <w:p>
            <w:r>
              <w:rPr>
                <w:b w:val="false"/>
                <w:bCs w:val="false"/>
                <w:i w:val="false"/>
                <w:iCs w:val="false"/>
                <w:sz w:val="18"/>
                <w:szCs w:val="18"/>
              </w:rPr>
              <w:t xml:space="preserve">A phone book — you look up a name and get the number (function) to call.</w:t>
            </w:r>
          </w:p>
        </w:tc>
      </w:tr>
      <w:tr>
        <w:tc>
          <w:tcPr>
            <w:tcW w:type="dxa" w:w="2600"/>
            <w:vAlign w:val="center"/>
          </w:tcPr>
          <w:p>
            <w:r>
              <w:rPr>
                <w:b w:val="false"/>
                <w:bCs w:val="false"/>
                <w:i w:val="false"/>
                <w:iCs w:val="false"/>
                <w:sz w:val="18"/>
                <w:szCs w:val="18"/>
              </w:rPr>
              <w:t xml:space="preserve">adapters/base.py</w:t>
            </w:r>
          </w:p>
        </w:tc>
        <w:tc>
          <w:tcPr>
            <w:tcW w:type="dxa" w:w="3375"/>
            <w:vAlign w:val="center"/>
          </w:tcPr>
          <w:p>
            <w:r>
              <w:rPr>
                <w:b w:val="false"/>
                <w:bCs w:val="false"/>
                <w:i w:val="false"/>
                <w:iCs w:val="false"/>
                <w:sz w:val="18"/>
                <w:szCs w:val="18"/>
              </w:rPr>
              <w:t xml:space="preserve">The neutral "event" shape every vendor must be translated into, and the contract every vendor adapter must follow.</w:t>
            </w:r>
          </w:p>
        </w:tc>
        <w:tc>
          <w:tcPr>
            <w:tcW w:type="dxa" w:w="3375"/>
            <w:vAlign w:val="center"/>
          </w:tcPr>
          <w:p>
            <w:r>
              <w:rPr>
                <w:b w:val="false"/>
                <w:bCs w:val="false"/>
                <w:i w:val="false"/>
                <w:iCs w:val="false"/>
                <w:sz w:val="18"/>
                <w:szCs w:val="18"/>
              </w:rPr>
              <w:t xml:space="preserve">A standard customs declaration form — every country's goods get logged in the same format at the border.</w:t>
            </w:r>
          </w:p>
        </w:tc>
      </w:tr>
      <w:tr>
        <w:tc>
          <w:tcPr>
            <w:tcW w:type="dxa" w:w="2600"/>
            <w:vAlign w:val="center"/>
          </w:tcPr>
          <w:p>
            <w:r>
              <w:rPr>
                <w:b w:val="false"/>
                <w:bCs w:val="false"/>
                <w:i w:val="false"/>
                <w:iCs w:val="false"/>
                <w:sz w:val="18"/>
                <w:szCs w:val="18"/>
              </w:rPr>
              <w:t xml:space="preserve">adapters/lexware_office/client.py</w:t>
            </w:r>
          </w:p>
        </w:tc>
        <w:tc>
          <w:tcPr>
            <w:tcW w:type="dxa" w:w="3375"/>
            <w:vAlign w:val="center"/>
          </w:tcPr>
          <w:p>
            <w:r>
              <w:rPr>
                <w:b w:val="false"/>
                <w:bCs w:val="false"/>
                <w:i w:val="false"/>
                <w:iCs w:val="false"/>
                <w:sz w:val="18"/>
                <w:szCs w:val="18"/>
              </w:rPr>
              <w:t xml:space="preserve">Talks to the real Lexware Office API: authentication, fetching pages, waiting out rate limits.</w:t>
            </w:r>
          </w:p>
        </w:tc>
        <w:tc>
          <w:tcPr>
            <w:tcW w:type="dxa" w:w="3375"/>
            <w:vAlign w:val="center"/>
          </w:tcPr>
          <w:p>
            <w:r>
              <w:rPr>
                <w:b w:val="false"/>
                <w:bCs w:val="false"/>
                <w:i w:val="false"/>
                <w:iCs w:val="false"/>
                <w:sz w:val="18"/>
                <w:szCs w:val="18"/>
              </w:rPr>
              <w:t xml:space="preserve">The delivery driver who actually goes to the restaurant, waits in line if it's busy, and brings the food back.</w:t>
            </w:r>
          </w:p>
        </w:tc>
      </w:tr>
      <w:tr>
        <w:tc>
          <w:tcPr>
            <w:tcW w:type="dxa" w:w="2600"/>
            <w:vAlign w:val="center"/>
          </w:tcPr>
          <w:p>
            <w:r>
              <w:rPr>
                <w:b w:val="false"/>
                <w:bCs w:val="false"/>
                <w:i w:val="false"/>
                <w:iCs w:val="false"/>
                <w:sz w:val="18"/>
                <w:szCs w:val="18"/>
              </w:rPr>
              <w:t xml:space="preserve">adapters/lexware_office/normalize.py</w:t>
            </w:r>
          </w:p>
        </w:tc>
        <w:tc>
          <w:tcPr>
            <w:tcW w:type="dxa" w:w="3375"/>
            <w:vAlign w:val="center"/>
          </w:tcPr>
          <w:p>
            <w:r>
              <w:rPr>
                <w:b w:val="false"/>
                <w:bCs w:val="false"/>
                <w:i w:val="false"/>
                <w:iCs w:val="false"/>
                <w:sz w:val="18"/>
                <w:szCs w:val="18"/>
              </w:rPr>
              <w:t xml:space="preserve">Converts Lexware Office's specific JSON field names into the neutral ExternalEvent shape.</w:t>
            </w:r>
          </w:p>
        </w:tc>
        <w:tc>
          <w:tcPr>
            <w:tcW w:type="dxa" w:w="3375"/>
            <w:vAlign w:val="center"/>
          </w:tcPr>
          <w:p>
            <w:r>
              <w:rPr>
                <w:b w:val="false"/>
                <w:bCs w:val="false"/>
                <w:i w:val="false"/>
                <w:iCs w:val="false"/>
                <w:sz w:val="18"/>
                <w:szCs w:val="18"/>
              </w:rPr>
              <w:t xml:space="preserve">Repackaging food from the restaurant's own containers into the delivery app's standard bag before handing it to the customer.</w:t>
            </w:r>
          </w:p>
        </w:tc>
      </w:tr>
      <w:tr>
        <w:tc>
          <w:tcPr>
            <w:tcW w:type="dxa" w:w="2600"/>
            <w:vAlign w:val="center"/>
          </w:tcPr>
          <w:p>
            <w:r>
              <w:rPr>
                <w:b w:val="false"/>
                <w:bCs w:val="false"/>
                <w:i w:val="false"/>
                <w:iCs w:val="false"/>
                <w:sz w:val="18"/>
                <w:szCs w:val="18"/>
              </w:rPr>
              <w:t xml:space="preserve">adapters/lexware_office/endpoints.py</w:t>
            </w:r>
          </w:p>
        </w:tc>
        <w:tc>
          <w:tcPr>
            <w:tcW w:type="dxa" w:w="3375"/>
            <w:vAlign w:val="center"/>
          </w:tcPr>
          <w:p>
            <w:r>
              <w:rPr>
                <w:b w:val="false"/>
                <w:bCs w:val="false"/>
                <w:i w:val="false"/>
                <w:iCs w:val="false"/>
                <w:sz w:val="18"/>
                <w:szCs w:val="18"/>
              </w:rPr>
              <w:t xml:space="preserve">Ties client.py and normalize.py together into one adapter: fetch everything, normalize everything, return a clean list.</w:t>
            </w:r>
          </w:p>
        </w:tc>
        <w:tc>
          <w:tcPr>
            <w:tcW w:type="dxa" w:w="3375"/>
            <w:vAlign w:val="center"/>
          </w:tcPr>
          <w:p>
            <w:r>
              <w:rPr>
                <w:b w:val="false"/>
                <w:bCs w:val="false"/>
                <w:i w:val="false"/>
                <w:iCs w:val="false"/>
                <w:sz w:val="18"/>
                <w:szCs w:val="18"/>
              </w:rPr>
              <w:t xml:space="preserve">The delivery app itself, which coordinates the driver and the packaging so you just see "order arriving."</w:t>
            </w:r>
          </w:p>
        </w:tc>
      </w:tr>
      <w:tr>
        <w:tc>
          <w:tcPr>
            <w:tcW w:type="dxa" w:w="2600"/>
            <w:vAlign w:val="center"/>
          </w:tcPr>
          <w:p>
            <w:r>
              <w:rPr>
                <w:b w:val="false"/>
                <w:bCs w:val="false"/>
                <w:i w:val="false"/>
                <w:iCs w:val="false"/>
                <w:sz w:val="18"/>
                <w:szCs w:val="18"/>
              </w:rPr>
              <w:t xml:space="preserve">engine/resolver.py</w:t>
            </w:r>
          </w:p>
        </w:tc>
        <w:tc>
          <w:tcPr>
            <w:tcW w:type="dxa" w:w="3375"/>
            <w:vAlign w:val="center"/>
          </w:tcPr>
          <w:p>
            <w:r>
              <w:rPr>
                <w:b w:val="false"/>
                <w:bCs w:val="false"/>
                <w:i w:val="false"/>
                <w:iCs w:val="false"/>
                <w:sz w:val="18"/>
                <w:szCs w:val="18"/>
              </w:rPr>
              <w:t xml:space="preserve">The decision-maker: given one event, find the matching rule (running its predicate if it has one) and return the finban state.</w:t>
            </w:r>
          </w:p>
        </w:tc>
        <w:tc>
          <w:tcPr>
            <w:tcW w:type="dxa" w:w="3375"/>
            <w:vAlign w:val="center"/>
          </w:tcPr>
          <w:p>
            <w:r>
              <w:rPr>
                <w:b w:val="false"/>
                <w:bCs w:val="false"/>
                <w:i w:val="false"/>
                <w:iCs w:val="false"/>
                <w:sz w:val="18"/>
                <w:szCs w:val="18"/>
              </w:rPr>
              <w:t xml:space="preserve">The kitchen's head chef, reading the order slip and any special notes, deciding exactly what gets cooked.</w:t>
            </w:r>
          </w:p>
        </w:tc>
      </w:tr>
      <w:tr>
        <w:tc>
          <w:tcPr>
            <w:tcW w:type="dxa" w:w="2600"/>
            <w:vAlign w:val="center"/>
          </w:tcPr>
          <w:p>
            <w:r>
              <w:rPr>
                <w:b w:val="false"/>
                <w:bCs w:val="false"/>
                <w:i w:val="false"/>
                <w:iCs w:val="false"/>
                <w:sz w:val="18"/>
                <w:szCs w:val="18"/>
              </w:rPr>
              <w:t xml:space="preserve">engine/errors.py</w:t>
            </w:r>
          </w:p>
        </w:tc>
        <w:tc>
          <w:tcPr>
            <w:tcW w:type="dxa" w:w="3375"/>
            <w:vAlign w:val="center"/>
          </w:tcPr>
          <w:p>
            <w:r>
              <w:rPr>
                <w:b w:val="false"/>
                <w:bCs w:val="false"/>
                <w:i w:val="false"/>
                <w:iCs w:val="false"/>
                <w:sz w:val="18"/>
                <w:szCs w:val="18"/>
              </w:rPr>
              <w:t xml:space="preserve">Defines what "something went wrong" looks like: an unmapped state, or two rules trying to claim the same event.</w:t>
            </w:r>
          </w:p>
        </w:tc>
        <w:tc>
          <w:tcPr>
            <w:tcW w:type="dxa" w:w="3375"/>
            <w:vAlign w:val="center"/>
          </w:tcPr>
          <w:p>
            <w:r>
              <w:rPr>
                <w:b w:val="false"/>
                <w:bCs w:val="false"/>
                <w:i w:val="false"/>
                <w:iCs w:val="false"/>
                <w:sz w:val="18"/>
                <w:szCs w:val="18"/>
              </w:rPr>
              <w:t xml:space="preserve">The kitchen's "send it back to the counter, we don't recognize this order" slip.</w:t>
            </w:r>
          </w:p>
        </w:tc>
      </w:tr>
      <w:tr>
        <w:tc>
          <w:tcPr>
            <w:tcW w:type="dxa" w:w="2600"/>
            <w:vAlign w:val="center"/>
          </w:tcPr>
          <w:p>
            <w:r>
              <w:rPr>
                <w:b w:val="false"/>
                <w:bCs w:val="false"/>
                <w:i w:val="false"/>
                <w:iCs w:val="false"/>
                <w:sz w:val="18"/>
                <w:szCs w:val="18"/>
              </w:rPr>
              <w:t xml:space="preserve">persistence/models.py</w:t>
            </w:r>
          </w:p>
        </w:tc>
        <w:tc>
          <w:tcPr>
            <w:tcW w:type="dxa" w:w="3375"/>
            <w:vAlign w:val="center"/>
          </w:tcPr>
          <w:p>
            <w:r>
              <w:rPr>
                <w:b w:val="false"/>
                <w:bCs w:val="false"/>
                <w:i w:val="false"/>
                <w:iCs w:val="false"/>
                <w:sz w:val="18"/>
                <w:szCs w:val="18"/>
              </w:rPr>
              <w:t xml:space="preserve">The database table shapes: current state, full history, and a ledger of already-processed events.</w:t>
            </w:r>
          </w:p>
        </w:tc>
        <w:tc>
          <w:tcPr>
            <w:tcW w:type="dxa" w:w="3375"/>
            <w:vAlign w:val="center"/>
          </w:tcPr>
          <w:p>
            <w:r>
              <w:rPr>
                <w:b w:val="false"/>
                <w:bCs w:val="false"/>
                <w:i w:val="false"/>
                <w:iCs w:val="false"/>
                <w:sz w:val="18"/>
                <w:szCs w:val="18"/>
              </w:rPr>
              <w:t xml:space="preserve">The restaurant's three record books: today's order board, the full receipts binder, and the "orders already billed" checklist.</w:t>
            </w:r>
          </w:p>
        </w:tc>
      </w:tr>
      <w:tr>
        <w:tc>
          <w:tcPr>
            <w:tcW w:type="dxa" w:w="2600"/>
            <w:vAlign w:val="center"/>
          </w:tcPr>
          <w:p>
            <w:r>
              <w:rPr>
                <w:b w:val="false"/>
                <w:bCs w:val="false"/>
                <w:i w:val="false"/>
                <w:iCs w:val="false"/>
                <w:sz w:val="18"/>
                <w:szCs w:val="18"/>
              </w:rPr>
              <w:t xml:space="preserve">persistence/repository.py</w:t>
            </w:r>
          </w:p>
        </w:tc>
        <w:tc>
          <w:tcPr>
            <w:tcW w:type="dxa" w:w="3375"/>
            <w:vAlign w:val="center"/>
          </w:tcPr>
          <w:p>
            <w:r>
              <w:rPr>
                <w:b w:val="false"/>
                <w:bCs w:val="false"/>
                <w:i w:val="false"/>
                <w:iCs w:val="false"/>
                <w:sz w:val="18"/>
                <w:szCs w:val="18"/>
              </w:rPr>
              <w:t xml:space="preserve">The only place allowed to write state changes — enforces "don't process the same thing twice" and "only allow sensible transitions."</w:t>
            </w:r>
          </w:p>
        </w:tc>
        <w:tc>
          <w:tcPr>
            <w:tcW w:type="dxa" w:w="3375"/>
            <w:vAlign w:val="center"/>
          </w:tcPr>
          <w:p>
            <w:r>
              <w:rPr>
                <w:b w:val="false"/>
                <w:bCs w:val="false"/>
                <w:i w:val="false"/>
                <w:iCs w:val="false"/>
                <w:sz w:val="18"/>
                <w:szCs w:val="18"/>
              </w:rPr>
              <w:t xml:space="preserve">The one cashier allowed to touch the till — everyone else has to go through them, so the books always balance.</w:t>
            </w:r>
          </w:p>
        </w:tc>
      </w:tr>
      <w:tr>
        <w:tc>
          <w:tcPr>
            <w:tcW w:type="dxa" w:w="2600"/>
            <w:vAlign w:val="center"/>
          </w:tcPr>
          <w:p>
            <w:r>
              <w:rPr>
                <w:b w:val="false"/>
                <w:bCs w:val="false"/>
                <w:i w:val="false"/>
                <w:iCs w:val="false"/>
                <w:sz w:val="18"/>
                <w:szCs w:val="18"/>
              </w:rPr>
              <w:t xml:space="preserve">persistence/db.py</w:t>
            </w:r>
          </w:p>
        </w:tc>
        <w:tc>
          <w:tcPr>
            <w:tcW w:type="dxa" w:w="3375"/>
            <w:vAlign w:val="center"/>
          </w:tcPr>
          <w:p>
            <w:r>
              <w:rPr>
                <w:b w:val="false"/>
                <w:bCs w:val="false"/>
                <w:i w:val="false"/>
                <w:iCs w:val="false"/>
                <w:sz w:val="18"/>
                <w:szCs w:val="18"/>
              </w:rPr>
              <w:t xml:space="preserve">Sets up the database connection itself.</w:t>
            </w:r>
          </w:p>
        </w:tc>
        <w:tc>
          <w:tcPr>
            <w:tcW w:type="dxa" w:w="3375"/>
            <w:vAlign w:val="center"/>
          </w:tcPr>
          <w:p>
            <w:r>
              <w:rPr>
                <w:b w:val="false"/>
                <w:bCs w:val="false"/>
                <w:i w:val="false"/>
                <w:iCs w:val="false"/>
                <w:sz w:val="18"/>
                <w:szCs w:val="18"/>
              </w:rPr>
              <w:t xml:space="preserve">The phone line to the bank's head office — every teller uses the same line.</w:t>
            </w:r>
          </w:p>
        </w:tc>
      </w:tr>
      <w:tr>
        <w:tc>
          <w:tcPr>
            <w:tcW w:type="dxa" w:w="2600"/>
            <w:vAlign w:val="center"/>
          </w:tcPr>
          <w:p>
            <w:r>
              <w:rPr>
                <w:b w:val="false"/>
                <w:bCs w:val="false"/>
                <w:i w:val="false"/>
                <w:iCs w:val="false"/>
                <w:sz w:val="18"/>
                <w:szCs w:val="18"/>
              </w:rPr>
              <w:t xml:space="preserve">events/publisher.py</w:t>
            </w:r>
          </w:p>
        </w:tc>
        <w:tc>
          <w:tcPr>
            <w:tcW w:type="dxa" w:w="3375"/>
            <w:vAlign w:val="center"/>
          </w:tcPr>
          <w:p>
            <w:r>
              <w:rPr>
                <w:b w:val="false"/>
                <w:bCs w:val="false"/>
                <w:i w:val="false"/>
                <w:iCs w:val="false"/>
                <w:sz w:val="18"/>
                <w:szCs w:val="18"/>
              </w:rPr>
              <w:t xml:space="preserve">Announces a state change happened, for other systems to react to.</w:t>
            </w:r>
          </w:p>
        </w:tc>
        <w:tc>
          <w:tcPr>
            <w:tcW w:type="dxa" w:w="3375"/>
            <w:vAlign w:val="center"/>
          </w:tcPr>
          <w:p>
            <w:r>
              <w:rPr>
                <w:b w:val="false"/>
                <w:bCs w:val="false"/>
                <w:i w:val="false"/>
                <w:iCs w:val="false"/>
                <w:sz w:val="18"/>
                <w:szCs w:val="18"/>
              </w:rPr>
              <w:t xml:space="preserve">The restaurant's order-up bell.</w:t>
            </w:r>
          </w:p>
        </w:tc>
      </w:tr>
      <w:tr>
        <w:tc>
          <w:tcPr>
            <w:tcW w:type="dxa" w:w="2600"/>
            <w:vAlign w:val="center"/>
          </w:tcPr>
          <w:p>
            <w:r>
              <w:rPr>
                <w:b w:val="false"/>
                <w:bCs w:val="false"/>
                <w:i w:val="false"/>
                <w:iCs w:val="false"/>
                <w:sz w:val="18"/>
                <w:szCs w:val="18"/>
              </w:rPr>
              <w:t xml:space="preserve">api/routes.py</w:t>
            </w:r>
          </w:p>
        </w:tc>
        <w:tc>
          <w:tcPr>
            <w:tcW w:type="dxa" w:w="3375"/>
            <w:vAlign w:val="center"/>
          </w:tcPr>
          <w:p>
            <w:r>
              <w:rPr>
                <w:b w:val="false"/>
                <w:bCs w:val="false"/>
                <w:i w:val="false"/>
                <w:iCs w:val="false"/>
                <w:sz w:val="18"/>
                <w:szCs w:val="18"/>
              </w:rPr>
              <w:t xml:space="preserve">Lets people or other systems ask "what's the current state?" or "show me the full history" over HTTP.</w:t>
            </w:r>
          </w:p>
        </w:tc>
        <w:tc>
          <w:tcPr>
            <w:tcW w:type="dxa" w:w="3375"/>
            <w:vAlign w:val="center"/>
          </w:tcPr>
          <w:p>
            <w:r>
              <w:rPr>
                <w:b w:val="false"/>
                <w:bCs w:val="false"/>
                <w:i w:val="false"/>
                <w:iCs w:val="false"/>
                <w:sz w:val="18"/>
                <w:szCs w:val="18"/>
              </w:rPr>
              <w:t xml:space="preserve">The package tracking website.</w:t>
            </w:r>
          </w:p>
        </w:tc>
      </w:tr>
      <w:tr>
        <w:tc>
          <w:tcPr>
            <w:tcW w:type="dxa" w:w="2600"/>
            <w:vAlign w:val="center"/>
          </w:tcPr>
          <w:p>
            <w:r>
              <w:rPr>
                <w:b w:val="false"/>
                <w:bCs w:val="false"/>
                <w:i w:val="false"/>
                <w:iCs w:val="false"/>
                <w:sz w:val="18"/>
                <w:szCs w:val="18"/>
              </w:rPr>
              <w:t xml:space="preserve">config.py</w:t>
            </w:r>
          </w:p>
        </w:tc>
        <w:tc>
          <w:tcPr>
            <w:tcW w:type="dxa" w:w="3375"/>
            <w:vAlign w:val="center"/>
          </w:tcPr>
          <w:p>
            <w:r>
              <w:rPr>
                <w:b w:val="false"/>
                <w:bCs w:val="false"/>
                <w:i w:val="false"/>
                <w:iCs w:val="false"/>
                <w:sz w:val="18"/>
                <w:szCs w:val="18"/>
              </w:rPr>
              <w:t xml:space="preserve">Reads settings (database address, API keys) from environment variables instead of hardcoding them.</w:t>
            </w:r>
          </w:p>
        </w:tc>
        <w:tc>
          <w:tcPr>
            <w:tcW w:type="dxa" w:w="3375"/>
            <w:vAlign w:val="center"/>
          </w:tcPr>
          <w:p>
            <w:r>
              <w:rPr>
                <w:b w:val="false"/>
                <w:bCs w:val="false"/>
                <w:i w:val="false"/>
                <w:iCs w:val="false"/>
                <w:sz w:val="18"/>
                <w:szCs w:val="18"/>
              </w:rPr>
              <w:t xml:space="preserve">A restaurant's settings binder — today's specials and phone number can change without reprinting the whole menu.</w:t>
            </w:r>
          </w:p>
        </w:tc>
      </w:tr>
    </w:tbl>
    <w:p>
      <w:pPr>
        <w:spacing w:after="150"/>
      </w:pPr>
    </w:p>
    <w:p>
      <w:pPr>
        <w:pStyle w:val="Heading1"/>
        <w:spacing w:after="200" w:before="400"/>
      </w:pPr>
      <w:r>
        <w:t xml:space="preserve">5. The conditional cases — explained with everyday logic</w:t>
      </w:r>
    </w:p>
    <w:p>
      <w:pPr>
        <w:spacing w:after="150"/>
      </w:pPr>
      <w:r>
        <w:t xml:space="preserve">Three families of "it depends" logic exist in the current mapping table. Here's each, in plain terms.</w:t>
      </w:r>
    </w:p>
    <w:p>
      <w:pPr>
        <w:pStyle w:val="Heading2"/>
        <w:spacing w:after="150" w:before="300"/>
      </w:pPr>
      <w:r>
        <w:t xml:space="preserve">Case A — Offer: partially_calculated vs. calculated</w:t>
      </w:r>
    </w:p>
    <w:p>
      <w:pPr>
        <w:spacing w:after="150"/>
      </w:pPr>
      <w:r>
        <w:t xml:space="preserve">Vendor says: "this quotation is in state 'quotation'." That word alone isn't enough — finban needs to know how much has actually been invoiced against it.</w:t>
      </w:r>
    </w:p>
    <w:p>
      <w:pPr>
        <w:pStyle w:val="ListParagraph"/>
        <w:numPr>
          <w:ilvl w:val="0"/>
          <w:numId w:val="2"/>
        </w:numPr>
        <w:spacing w:after="60"/>
      </w:pPr>
      <w:r>
        <w:t xml:space="preserve">If invoiced amount is LESS than the offer's total value → offer.partially_calculated (rule r-offer-004)</w:t>
      </w:r>
    </w:p>
    <w:p>
      <w:pPr>
        <w:pStyle w:val="ListParagraph"/>
        <w:numPr>
          <w:ilvl w:val="0"/>
          <w:numId w:val="2"/>
        </w:numPr>
        <w:spacing w:after="60"/>
      </w:pPr>
      <w:r>
        <w:t xml:space="preserve">If invoiced amount is EQUAL TO or MORE than the offer's total value → offer.calculated (rule r-offer-005)</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Daily example</w:t>
            </w:r>
          </w:p>
          <w:p>
            <w:pPr>
              <w:spacing w:after="40"/>
            </w:pPr>
            <w:r>
              <w:rPr>
                <w:sz w:val="20"/>
                <w:szCs w:val="20"/>
              </w:rPr>
              <w:t xml:space="preserve">Like a wedding caterer's advance payment tracker: if the client has paid less than the full catering quote, the booking shows "partially settled"; once they've paid the full amount (or more, with a tip), it shows "fully settled."</w:t>
            </w:r>
          </w:p>
        </w:tc>
      </w:tr>
    </w:tbl>
    <w:p>
      <w:pPr>
        <w:pStyle w:val="Heading2"/>
        <w:spacing w:after="150" w:before="300"/>
      </w:pPr>
      <w:r>
        <w:t xml:space="preserve">Case B — Order: three shades of "archived"</w:t>
      </w:r>
    </w:p>
    <w:p>
      <w:pPr>
        <w:spacing w:after="150"/>
      </w:pPr>
      <w:r>
        <w:t xml:space="preserve">Vendor says: "this order confirmation is archived." Again, one word covers three real situations.</w:t>
      </w:r>
    </w:p>
    <w:p>
      <w:pPr>
        <w:pStyle w:val="ListParagraph"/>
        <w:numPr>
          <w:ilvl w:val="0"/>
          <w:numId w:val="2"/>
        </w:numPr>
        <w:spacing w:after="60"/>
      </w:pPr>
      <w:r>
        <w:t xml:space="preserve">Archived with nothing invoiced yet → order.archived (rule r-order-003)</w:t>
      </w:r>
    </w:p>
    <w:p>
      <w:pPr>
        <w:pStyle w:val="ListParagraph"/>
        <w:numPr>
          <w:ilvl w:val="0"/>
          <w:numId w:val="2"/>
        </w:numPr>
        <w:spacing w:after="60"/>
      </w:pPr>
      <w:r>
        <w:t xml:space="preserve">Archived with some, but not all, of the order value invoiced → order.partially_calculated (rule r-order-004)</w:t>
      </w:r>
    </w:p>
    <w:p>
      <w:pPr>
        <w:pStyle w:val="ListParagraph"/>
        <w:numPr>
          <w:ilvl w:val="0"/>
          <w:numId w:val="2"/>
        </w:numPr>
        <w:spacing w:after="60"/>
      </w:pPr>
      <w:r>
        <w:t xml:space="preserve">Archived with the full order value (or more) invoiced → order.calculated (rule r-order-005)</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Daily example</w:t>
            </w:r>
          </w:p>
          <w:p>
            <w:pPr>
              <w:spacing w:after="40"/>
            </w:pPr>
            <w:r>
              <w:rPr>
                <w:sz w:val="20"/>
                <w:szCs w:val="20"/>
              </w:rPr>
              <w:t xml:space="preserve">Like closing out a group dinner bill: if the group cancelled before any food arrived, it's just "cancelled." If they ate partway through and closed the tab early, that's "partially billed." If everyone actually paid their full share before the tab closed, that's "fully settled."</w:t>
            </w:r>
          </w:p>
        </w:tc>
      </w:tr>
    </w:tbl>
    <w:p>
      <w:pPr>
        <w:pStyle w:val="Heading2"/>
        <w:spacing w:after="150" w:before="300"/>
      </w:pPr>
      <w:r>
        <w:t xml:space="preserve">Case C — Sales Invoice: "open" vs. "open but partly paid"</w:t>
      </w:r>
    </w:p>
    <w:p>
      <w:pPr>
        <w:spacing w:after="150"/>
      </w:pPr>
      <w:r>
        <w:t xml:space="preserve">Vendor says: "this invoice is open." But an invoice can be open and have zero payments, or open with some payments already trickling in.</w:t>
      </w:r>
    </w:p>
    <w:p>
      <w:pPr>
        <w:pStyle w:val="ListParagraph"/>
        <w:numPr>
          <w:ilvl w:val="0"/>
          <w:numId w:val="2"/>
        </w:numPr>
        <w:spacing w:after="60"/>
      </w:pPr>
      <w:r>
        <w:t xml:space="preserve">Open, and the amount still owed is LESS than the total invoice amount → sales_invoice.partially_paid (rule r-inv-002)</w:t>
      </w:r>
    </w:p>
    <w:p>
      <w:pPr>
        <w:pStyle w:val="ListParagraph"/>
        <w:numPr>
          <w:ilvl w:val="0"/>
          <w:numId w:val="2"/>
        </w:numPr>
        <w:spacing w:after="60"/>
      </w:pPr>
      <w:r>
        <w:t xml:space="preserve">Open, and nothing has been paid yet (owed amount equals the full total) → sales_invoice.open (rule r-inv-003)</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Daily example</w:t>
            </w:r>
          </w:p>
          <w:p>
            <w:pPr>
              <w:spacing w:after="40"/>
            </w:pPr>
            <w:r>
              <w:rPr>
                <w:sz w:val="20"/>
                <w:szCs w:val="20"/>
              </w:rPr>
              <w:t xml:space="preserve">Like a electricity bill portal: if you've paid a partial amount toward this month's bill, it shows "partially paid, ₹400 remaining"; if you haven't paid anything yet, it just shows "unpaid."</w:t>
            </w:r>
          </w:p>
        </w:tc>
      </w:tr>
    </w:tbl>
    <w:p>
      <w:pPr>
        <w:spacing w:after="150"/>
      </w:pPr>
    </w:p>
    <w:p>
      <w:pPr>
        <w:pStyle w:val="Heading1"/>
        <w:spacing w:after="200" w:before="400"/>
      </w:pPr>
      <w:r>
        <w:t xml:space="preserve">6. What happens when the vendor says something we've never seen</w:t>
      </w:r>
    </w:p>
    <w:p>
      <w:pPr>
        <w:spacing w:after="150"/>
      </w:pPr>
      <w:r>
        <w:t xml:space="preserve">Every group of rules ends with a fallback row (external_state: "*", is_fallback: true). If nothing else matches, the fallback catches it and labels it "undefined" instead of crashing or silently guessing.</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Daily example</w:t>
            </w:r>
          </w:p>
          <w:p>
            <w:pPr>
              <w:spacing w:after="40"/>
            </w:pPr>
            <w:r>
              <w:rPr>
                <w:sz w:val="20"/>
                <w:szCs w:val="20"/>
              </w:rPr>
              <w:t xml:space="preserve">Like a customer support ticketing system's "Other" category — if a query doesn't fit any known category, it still gets logged and someone can look at it later, rather than the ticket just disappearing.</w:t>
            </w:r>
          </w:p>
        </w:tc>
      </w:tr>
    </w:tbl>
    <w:p>
      <w:pPr>
        <w:spacing w:after="150"/>
      </w:pPr>
      <w:r>
        <w:t xml:space="preserve">This is checked automatically: a completeness script (used in CI) fails the build if any vendor system + document type is missing a fallback row, so this gap can't quietly reappear later.</w:t>
      </w:r>
    </w:p>
    <w:p>
      <w:pPr>
        <w:spacing w:after="150"/>
      </w:pPr>
    </w:p>
    <w:p>
      <w:pPr>
        <w:pStyle w:val="Heading1"/>
        <w:spacing w:after="200" w:before="400"/>
      </w:pPr>
      <w:r>
        <w:t xml:space="preserve">7. What happens when the vendor repeats itself or sends things out of order</w:t>
      </w:r>
    </w:p>
    <w:p>
      <w:pPr>
        <w:pStyle w:val="Heading3"/>
        <w:spacing w:after="100" w:before="200"/>
      </w:pPr>
      <w:r>
        <w:t xml:space="preserve">Repeats (idempotency)</w:t>
      </w:r>
    </w:p>
    <w:p>
      <w:pPr>
        <w:spacing w:after="150"/>
      </w:pPr>
      <w:r>
        <w:t xml:space="preserve">Every event is fingerprinted by (vendor, its own ID, its own last-updated timestamp). If that exact fingerprint was already processed, the second attempt is a safe no-op.</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Daily example</w:t>
            </w:r>
          </w:p>
          <w:p>
            <w:pPr>
              <w:spacing w:after="40"/>
            </w:pPr>
            <w:r>
              <w:rPr>
                <w:sz w:val="20"/>
                <w:szCs w:val="20"/>
              </w:rPr>
              <w:t xml:space="preserve">Like scanning the same boarding pass twice at the gate — the second scan doesn't check you in twice, the system just recognizes "already boarded" and does nothing further.</w:t>
            </w:r>
          </w:p>
        </w:tc>
      </w:tr>
    </w:tbl>
    <w:p>
      <w:pPr>
        <w:pStyle w:val="Heading3"/>
        <w:spacing w:after="100" w:before="200"/>
      </w:pPr>
      <w:r>
        <w:t xml:space="preserve">Out of order / backward moves (transition guardrails)</w:t>
      </w:r>
    </w:p>
    <w:p>
      <w:pPr>
        <w:spacing w:after="150"/>
      </w:pPr>
      <w:r>
        <w:t xml:space="preserve">Most state changes only make sense moving forward (draft → sent → paid). But some backward moves are genuinely valid — an invoice that was paid can later be legitimately canceled or refunded. Those specific backward moves are explicitly whitelisted; anything else backward is treated with caution.</w:t>
      </w: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Daily example</w:t>
            </w:r>
          </w:p>
          <w:p>
            <w:pPr>
              <w:spacing w:after="40"/>
            </w:pPr>
            <w:r>
              <w:rPr>
                <w:sz w:val="20"/>
                <w:szCs w:val="20"/>
              </w:rPr>
              <w:t xml:space="preserve">Like a movie ticket that's already been used for entry — you can't "un-enter" the cinema, but the system does allow a legitimate refund afterward, because that's a real, expected exception to the normal one-way flow.</w:t>
            </w:r>
          </w:p>
        </w:tc>
      </w:tr>
    </w:tbl>
    <w:p>
      <w:pPr>
        <w:spacing w:after="150"/>
      </w:pPr>
    </w:p>
    <w:p>
      <w:pPr>
        <w:pStyle w:val="Heading1"/>
        <w:spacing w:after="200" w:before="400"/>
      </w:pPr>
      <w:r>
        <w:t xml:space="preserve">8. Alternatives at each major decision point</w:t>
      </w:r>
    </w:p>
    <w:p>
      <w:pPr>
        <w:spacing w:after="150"/>
      </w:pPr>
      <w:r>
        <w:t xml:space="preserve">None of the choices in this service are the only option. Here's what else could be used instead, and when you'd actually want to switch.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2F5496" w:val="clear"/>
            <w:vAlign w:val="center"/>
          </w:tcPr>
          <w:p>
            <w:r>
              <w:rPr>
                <w:b/>
                <w:bCs/>
                <w:i w:val="false"/>
                <w:iCs w:val="false"/>
                <w:color w:val="FFFFFF"/>
                <w:sz w:val="20"/>
                <w:szCs w:val="20"/>
              </w:rPr>
              <w:t xml:space="preserve">Decision point</w:t>
            </w:r>
          </w:p>
        </w:tc>
        <w:tc>
          <w:tcPr>
            <w:tcW w:type="dxa" w:w="3475"/>
            <w:shd w:fill="2F5496" w:val="clear"/>
            <w:vAlign w:val="center"/>
          </w:tcPr>
          <w:p>
            <w:r>
              <w:rPr>
                <w:b/>
                <w:bCs/>
                <w:i w:val="false"/>
                <w:iCs w:val="false"/>
                <w:color w:val="FFFFFF"/>
                <w:sz w:val="20"/>
                <w:szCs w:val="20"/>
              </w:rPr>
              <w:t xml:space="preserve">What we used</w:t>
            </w:r>
          </w:p>
        </w:tc>
        <w:tc>
          <w:tcPr>
            <w:tcW w:type="dxa" w:w="3475"/>
            <w:shd w:fill="2F5496" w:val="clear"/>
            <w:vAlign w:val="center"/>
          </w:tcPr>
          <w:p>
            <w:r>
              <w:rPr>
                <w:b/>
                <w:bCs/>
                <w:i w:val="false"/>
                <w:iCs w:val="false"/>
                <w:color w:val="FFFFFF"/>
                <w:sz w:val="20"/>
                <w:szCs w:val="20"/>
              </w:rPr>
              <w:t xml:space="preserve">Alternatives (and when to prefer them)</w:t>
            </w:r>
          </w:p>
        </w:tc>
      </w:tr>
      <w:tr>
        <w:tc>
          <w:tcPr>
            <w:tcW w:type="dxa" w:w="2400"/>
            <w:vAlign w:val="center"/>
          </w:tcPr>
          <w:p>
            <w:r>
              <w:rPr>
                <w:b w:val="false"/>
                <w:bCs w:val="false"/>
                <w:i w:val="false"/>
                <w:iCs w:val="false"/>
                <w:sz w:val="18"/>
                <w:szCs w:val="18"/>
              </w:rPr>
              <w:t xml:space="preserve">Storing the mapping table</w:t>
            </w:r>
          </w:p>
        </w:tc>
        <w:tc>
          <w:tcPr>
            <w:tcW w:type="dxa" w:w="3475"/>
            <w:vAlign w:val="center"/>
          </w:tcPr>
          <w:p>
            <w:r>
              <w:rPr>
                <w:b w:val="false"/>
                <w:bCs w:val="false"/>
                <w:i w:val="false"/>
                <w:iCs w:val="false"/>
                <w:sz w:val="18"/>
                <w:szCs w:val="18"/>
              </w:rPr>
              <w:t xml:space="preserve">A YAML file, loaded at startup</w:t>
            </w:r>
          </w:p>
        </w:tc>
        <w:tc>
          <w:tcPr>
            <w:tcW w:type="dxa" w:w="3475"/>
            <w:vAlign w:val="center"/>
          </w:tcPr>
          <w:p>
            <w:r>
              <w:rPr>
                <w:b w:val="false"/>
                <w:bCs w:val="false"/>
                <w:i w:val="false"/>
                <w:iCs w:val="false"/>
                <w:sz w:val="18"/>
                <w:szCs w:val="18"/>
              </w:rPr>
              <w:t xml:space="preserve">A database table (edit mappings without redeploying — better once non-engineers need to tweak rules); a hardcoded Python dict (fine only for a handful of rows, gets unwieldy fast)</w:t>
            </w:r>
          </w:p>
        </w:tc>
      </w:tr>
      <w:tr>
        <w:tc>
          <w:tcPr>
            <w:tcW w:type="dxa" w:w="2400"/>
            <w:vAlign w:val="center"/>
          </w:tcPr>
          <w:p>
            <w:r>
              <w:rPr>
                <w:b w:val="false"/>
                <w:bCs w:val="false"/>
                <w:i w:val="false"/>
                <w:iCs w:val="false"/>
                <w:sz w:val="18"/>
                <w:szCs w:val="18"/>
              </w:rPr>
              <w:t xml:space="preserve">Fetching vendor data</w:t>
            </w:r>
          </w:p>
        </w:tc>
        <w:tc>
          <w:tcPr>
            <w:tcW w:type="dxa" w:w="3475"/>
            <w:vAlign w:val="center"/>
          </w:tcPr>
          <w:p>
            <w:r>
              <w:rPr>
                <w:b w:val="false"/>
                <w:bCs w:val="false"/>
                <w:i w:val="false"/>
                <w:iCs w:val="false"/>
                <w:sz w:val="18"/>
                <w:szCs w:val="18"/>
              </w:rPr>
              <w:t xml:space="preserve">Scheduled polling of the REST API</w:t>
            </w:r>
          </w:p>
        </w:tc>
        <w:tc>
          <w:tcPr>
            <w:tcW w:type="dxa" w:w="3475"/>
            <w:vAlign w:val="center"/>
          </w:tcPr>
          <w:p>
            <w:r>
              <w:rPr>
                <w:b w:val="false"/>
                <w:bCs w:val="false"/>
                <w:i w:val="false"/>
                <w:iCs w:val="false"/>
                <w:sz w:val="18"/>
                <w:szCs w:val="18"/>
              </w:rPr>
              <w:t xml:space="preserve">Webhooks, if the vendor's plan tier supports them (near-instant updates, less API load); a managed integration platform (e.g. Merge.dev, Codat) if you need many vendors fast and don't want to hand-write each adapter</w:t>
            </w:r>
          </w:p>
        </w:tc>
      </w:tr>
      <w:tr>
        <w:tc>
          <w:tcPr>
            <w:tcW w:type="dxa" w:w="2400"/>
            <w:vAlign w:val="center"/>
          </w:tcPr>
          <w:p>
            <w:r>
              <w:rPr>
                <w:b w:val="false"/>
                <w:bCs w:val="false"/>
                <w:i w:val="false"/>
                <w:iCs w:val="false"/>
                <w:sz w:val="18"/>
                <w:szCs w:val="18"/>
              </w:rPr>
              <w:t xml:space="preserve">Queueing between ingest and normalize</w:t>
            </w:r>
          </w:p>
        </w:tc>
        <w:tc>
          <w:tcPr>
            <w:tcW w:type="dxa" w:w="3475"/>
            <w:vAlign w:val="center"/>
          </w:tcPr>
          <w:p>
            <w:r>
              <w:rPr>
                <w:b w:val="false"/>
                <w:bCs w:val="false"/>
                <w:i w:val="false"/>
                <w:iCs w:val="false"/>
                <w:sz w:val="18"/>
                <w:szCs w:val="18"/>
              </w:rPr>
              <w:t xml:space="preserve">(Not shown in code yet, but recommended) SQS/SNS</w:t>
            </w:r>
          </w:p>
        </w:tc>
        <w:tc>
          <w:tcPr>
            <w:tcW w:type="dxa" w:w="3475"/>
            <w:vAlign w:val="center"/>
          </w:tcPr>
          <w:p>
            <w:r>
              <w:rPr>
                <w:b w:val="false"/>
                <w:bCs w:val="false"/>
                <w:i w:val="false"/>
                <w:iCs w:val="false"/>
                <w:sz w:val="18"/>
                <w:szCs w:val="18"/>
              </w:rPr>
              <w:t xml:space="preserve">Kafka (if volume grows large and you need replay/streaming); a simple database "outbox" table (good enough for low-volume internal tools, avoids extra infrastructure)</w:t>
            </w:r>
          </w:p>
        </w:tc>
      </w:tr>
      <w:tr>
        <w:tc>
          <w:tcPr>
            <w:tcW w:type="dxa" w:w="2400"/>
            <w:vAlign w:val="center"/>
          </w:tcPr>
          <w:p>
            <w:r>
              <w:rPr>
                <w:b w:val="false"/>
                <w:bCs w:val="false"/>
                <w:i w:val="false"/>
                <w:iCs w:val="false"/>
                <w:sz w:val="18"/>
                <w:szCs w:val="18"/>
              </w:rPr>
              <w:t xml:space="preserve">Web framework</w:t>
            </w:r>
          </w:p>
        </w:tc>
        <w:tc>
          <w:tcPr>
            <w:tcW w:type="dxa" w:w="3475"/>
            <w:vAlign w:val="center"/>
          </w:tcPr>
          <w:p>
            <w:r>
              <w:rPr>
                <w:b w:val="false"/>
                <w:bCs w:val="false"/>
                <w:i w:val="false"/>
                <w:iCs w:val="false"/>
                <w:sz w:val="18"/>
                <w:szCs w:val="18"/>
              </w:rPr>
              <w:t xml:space="preserve">FastAPI</w:t>
            </w:r>
          </w:p>
        </w:tc>
        <w:tc>
          <w:tcPr>
            <w:tcW w:type="dxa" w:w="3475"/>
            <w:vAlign w:val="center"/>
          </w:tcPr>
          <w:p>
            <w:r>
              <w:rPr>
                <w:b w:val="false"/>
                <w:bCs w:val="false"/>
                <w:i w:val="false"/>
                <w:iCs w:val="false"/>
                <w:sz w:val="18"/>
                <w:szCs w:val="18"/>
              </w:rPr>
              <w:t xml:space="preserve">Flask (simpler, less built-in validation); Django REST Framework (heavier, but useful if you already have a Django app); Node/Express if the team is more JS-native</w:t>
            </w:r>
          </w:p>
        </w:tc>
      </w:tr>
      <w:tr>
        <w:tc>
          <w:tcPr>
            <w:tcW w:type="dxa" w:w="2400"/>
            <w:vAlign w:val="center"/>
          </w:tcPr>
          <w:p>
            <w:r>
              <w:rPr>
                <w:b w:val="false"/>
                <w:bCs w:val="false"/>
                <w:i w:val="false"/>
                <w:iCs w:val="false"/>
                <w:sz w:val="18"/>
                <w:szCs w:val="18"/>
              </w:rPr>
              <w:t xml:space="preserve">Database</w:t>
            </w:r>
          </w:p>
        </w:tc>
        <w:tc>
          <w:tcPr>
            <w:tcW w:type="dxa" w:w="3475"/>
            <w:vAlign w:val="center"/>
          </w:tcPr>
          <w:p>
            <w:r>
              <w:rPr>
                <w:b w:val="false"/>
                <w:bCs w:val="false"/>
                <w:i w:val="false"/>
                <w:iCs w:val="false"/>
                <w:sz w:val="18"/>
                <w:szCs w:val="18"/>
              </w:rPr>
              <w:t xml:space="preserve">PostgreSQL</w:t>
            </w:r>
          </w:p>
        </w:tc>
        <w:tc>
          <w:tcPr>
            <w:tcW w:type="dxa" w:w="3475"/>
            <w:vAlign w:val="center"/>
          </w:tcPr>
          <w:p>
            <w:r>
              <w:rPr>
                <w:b w:val="false"/>
                <w:bCs w:val="false"/>
                <w:i w:val="false"/>
                <w:iCs w:val="false"/>
                <w:sz w:val="18"/>
                <w:szCs w:val="18"/>
              </w:rPr>
              <w:t xml:space="preserve">MySQL (comparable, team-preference call); SQLite (fine for tests and tiny deployments only, not production concurrency)</w:t>
            </w:r>
          </w:p>
        </w:tc>
      </w:tr>
      <w:tr>
        <w:tc>
          <w:tcPr>
            <w:tcW w:type="dxa" w:w="2400"/>
            <w:vAlign w:val="center"/>
          </w:tcPr>
          <w:p>
            <w:r>
              <w:rPr>
                <w:b w:val="false"/>
                <w:bCs w:val="false"/>
                <w:i w:val="false"/>
                <w:iCs w:val="false"/>
                <w:sz w:val="18"/>
                <w:szCs w:val="18"/>
              </w:rPr>
              <w:t xml:space="preserve">Idempotency mechanism</w:t>
            </w:r>
          </w:p>
        </w:tc>
        <w:tc>
          <w:tcPr>
            <w:tcW w:type="dxa" w:w="3475"/>
            <w:vAlign w:val="center"/>
          </w:tcPr>
          <w:p>
            <w:r>
              <w:rPr>
                <w:b w:val="false"/>
                <w:bCs w:val="false"/>
                <w:i w:val="false"/>
                <w:iCs w:val="false"/>
                <w:sz w:val="18"/>
                <w:szCs w:val="18"/>
              </w:rPr>
              <w:t xml:space="preserve">A unique-constraint ledger table checked before writing</w:t>
            </w:r>
          </w:p>
        </w:tc>
        <w:tc>
          <w:tcPr>
            <w:tcW w:type="dxa" w:w="3475"/>
            <w:vAlign w:val="center"/>
          </w:tcPr>
          <w:p>
            <w:r>
              <w:rPr>
                <w:b w:val="false"/>
                <w:bCs w:val="false"/>
                <w:i w:val="false"/>
                <w:iCs w:val="false"/>
                <w:sz w:val="18"/>
                <w:szCs w:val="18"/>
              </w:rPr>
              <w:t xml:space="preserve">A Redis SETNX-based dedup cache (faster, but adds another moving part and isn't durable by default); vendor-provided idempotency keys, if the vendor's API offers them</w:t>
            </w:r>
          </w:p>
        </w:tc>
      </w:tr>
      <w:tr>
        <w:tc>
          <w:tcPr>
            <w:tcW w:type="dxa" w:w="2400"/>
            <w:vAlign w:val="center"/>
          </w:tcPr>
          <w:p>
            <w:r>
              <w:rPr>
                <w:b w:val="false"/>
                <w:bCs w:val="false"/>
                <w:i w:val="false"/>
                <w:iCs w:val="false"/>
                <w:sz w:val="18"/>
                <w:szCs w:val="18"/>
              </w:rPr>
              <w:t xml:space="preserve">Deployment target</w:t>
            </w:r>
          </w:p>
        </w:tc>
        <w:tc>
          <w:tcPr>
            <w:tcW w:type="dxa" w:w="3475"/>
            <w:vAlign w:val="center"/>
          </w:tcPr>
          <w:p>
            <w:r>
              <w:rPr>
                <w:b w:val="false"/>
                <w:bCs w:val="false"/>
                <w:i w:val="false"/>
                <w:iCs w:val="false"/>
                <w:sz w:val="18"/>
                <w:szCs w:val="18"/>
              </w:rPr>
              <w:t xml:space="preserve">Docker container on ECS/Fargate or Kubernetes</w:t>
            </w:r>
          </w:p>
        </w:tc>
        <w:tc>
          <w:tcPr>
            <w:tcW w:type="dxa" w:w="3475"/>
            <w:vAlign w:val="center"/>
          </w:tcPr>
          <w:p>
            <w:r>
              <w:rPr>
                <w:b w:val="false"/>
                <w:bCs w:val="false"/>
                <w:i w:val="false"/>
                <w:iCs w:val="false"/>
                <w:sz w:val="18"/>
                <w:szCs w:val="18"/>
              </w:rPr>
              <w:t xml:space="preserve">A single VM with systemd (simplest, fine for low traffic, harder to scale); AWS Lambda (good if ingestion is infrequent/bursty, awkward for a long-lived FastAPI app)</w:t>
            </w:r>
          </w:p>
        </w:tc>
      </w:tr>
      <w:tr>
        <w:tc>
          <w:tcPr>
            <w:tcW w:type="dxa" w:w="2400"/>
            <w:vAlign w:val="center"/>
          </w:tcPr>
          <w:p>
            <w:r>
              <w:rPr>
                <w:b w:val="false"/>
                <w:bCs w:val="false"/>
                <w:i w:val="false"/>
                <w:iCs w:val="false"/>
                <w:sz w:val="18"/>
                <w:szCs w:val="18"/>
              </w:rPr>
              <w:t xml:space="preserve">Testing the vendor adapter</w:t>
            </w:r>
          </w:p>
        </w:tc>
        <w:tc>
          <w:tcPr>
            <w:tcW w:type="dxa" w:w="3475"/>
            <w:vAlign w:val="center"/>
          </w:tcPr>
          <w:p>
            <w:r>
              <w:rPr>
                <w:b w:val="false"/>
                <w:bCs w:val="false"/>
                <w:i w:val="false"/>
                <w:iCs w:val="false"/>
                <w:sz w:val="18"/>
                <w:szCs w:val="18"/>
              </w:rPr>
              <w:t xml:space="preserve">Recorded JSON fixtures replayed offline (contract tests)</w:t>
            </w:r>
          </w:p>
        </w:tc>
        <w:tc>
          <w:tcPr>
            <w:tcW w:type="dxa" w:w="3475"/>
            <w:vAlign w:val="center"/>
          </w:tcPr>
          <w:p>
            <w:r>
              <w:rPr>
                <w:b w:val="false"/>
                <w:bCs w:val="false"/>
                <w:i w:val="false"/>
                <w:iCs w:val="false"/>
                <w:sz w:val="18"/>
                <w:szCs w:val="18"/>
              </w:rPr>
              <w:t xml:space="preserve">A live sandbox account hit on every CI run (higher fidelity, but flaky and slow — this is why we keep it as a separate canary script instead)</w:t>
            </w:r>
          </w:p>
        </w:tc>
      </w:tr>
      <w:tr>
        <w:tc>
          <w:tcPr>
            <w:tcW w:type="dxa" w:w="2400"/>
            <w:vAlign w:val="center"/>
          </w:tcPr>
          <w:p>
            <w:r>
              <w:rPr>
                <w:b w:val="false"/>
                <w:bCs w:val="false"/>
                <w:i w:val="false"/>
                <w:iCs w:val="false"/>
                <w:sz w:val="18"/>
                <w:szCs w:val="18"/>
              </w:rPr>
              <w:t xml:space="preserve">CI/CD</w:t>
            </w:r>
          </w:p>
        </w:tc>
        <w:tc>
          <w:tcPr>
            <w:tcW w:type="dxa" w:w="3475"/>
            <w:vAlign w:val="center"/>
          </w:tcPr>
          <w:p>
            <w:r>
              <w:rPr>
                <w:b w:val="false"/>
                <w:bCs w:val="false"/>
                <w:i w:val="false"/>
                <w:iCs w:val="false"/>
                <w:sz w:val="18"/>
                <w:szCs w:val="18"/>
              </w:rPr>
              <w:t xml:space="preserve">GitHub Actions</w:t>
            </w:r>
          </w:p>
        </w:tc>
        <w:tc>
          <w:tcPr>
            <w:tcW w:type="dxa" w:w="3475"/>
            <w:vAlign w:val="center"/>
          </w:tcPr>
          <w:p>
            <w:r>
              <w:rPr>
                <w:b w:val="false"/>
                <w:bCs w:val="false"/>
                <w:i w:val="false"/>
                <w:iCs w:val="false"/>
                <w:sz w:val="18"/>
                <w:szCs w:val="18"/>
              </w:rPr>
              <w:t xml:space="preserve">GitLab CI, CircleCI, Jenkins — functionally interchangeable, pick whatever the org already runs</w:t>
            </w:r>
          </w:p>
        </w:tc>
      </w:tr>
    </w:tbl>
    <w:p>
      <w:pPr>
        <w:spacing w:after="150"/>
      </w:pPr>
    </w:p>
    <w:p>
      <w:pPr>
        <w:pStyle w:val="Heading1"/>
        <w:spacing w:after="200" w:before="400"/>
      </w:pPr>
      <w:r>
        <w:t xml:space="preserve">9. One-paragraph summary to remember</w:t>
      </w:r>
    </w:p>
    <w:p>
      <w:pPr>
        <w:spacing w:after="150"/>
      </w:pPr>
      <w:r>
        <w:t xml:space="preserve">Vendor data comes in through an adapter that speaks only that vendor's language and hands off a plain, neutral event. A rules engine — backed by a readable table of mappings and a handful of small yes/no checks — decides the one true finban state for that event. A single, careful writer saves that decision, refuses to double-count repeats, blocks nonsensical backward jumps, and keeps a permanent paper trail of exactly why every state is what it is. Everything else in the system — the API, the event announcements, the tests — exists to make that decision trustworthy and easy to check later.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2026-09-07T13:32:29.664Z</dcterms:created>
  <dcterms:modified xsi:type="dcterms:W3CDTF">2026-09-07T13:32:29.676Z</dcterms:modified>
</cp:coreProperties>
</file>

<file path=docProps/custom.xml><?xml version="1.0" encoding="utf-8"?>
<Properties xmlns="http://schemas.openxmlformats.org/officeDocument/2006/custom-properties" xmlns:vt="http://schemas.openxmlformats.org/officeDocument/2006/docPropsVTypes"/>
</file>