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Interview Q&amp;A — finban Mapping Service</w:t>
      </w:r>
    </w:p>
    <w:p>
      <w:pPr>
        <w:spacing w:after="300"/>
      </w:pPr>
      <w:r>
        <w:rPr>
          <w:i/>
          <w:iCs/>
          <w:color w:val="555555"/>
          <w:sz w:val="22"/>
          <w:szCs w:val="22"/>
        </w:rPr>
        <w:t xml:space="preserve">Prep material to explain and defend the design of the project you built</w:t>
      </w:r>
    </w:p>
    <w:p>
      <w:pPr>
        <w:pBdr>
          <w:bottom w:val="single" w:color="AAAAAA" w:sz="6" w:space="1"/>
        </w:pBdr>
        <w:spacing w:after="200"/>
      </w:pPr>
    </w:p>
    <w:tbl>
      <w:tblPr>
        <w:tblW w:type="dxa" w:w="9350"/>
        <w:tblBorders>
          <w:top w:val="single" w:color="2F5496" w:sz="4"/>
          <w:left w:val="single" w:color="2F5496" w:sz="4"/>
          <w:bottom w:val="single" w:color="2F5496" w:sz="4"/>
          <w:right w:val="single" w:color="2F5496" w:sz="4"/>
          <w:insideH w:val="single" w:color="auto" w:sz="4"/>
          <w:insideV w:val="single" w:color="auto" w:sz="4"/>
        </w:tblBorders>
      </w:tblPr>
      <w:tblGrid>
        <w:gridCol w:w="9350"/>
      </w:tblGrid>
      <w:tr>
        <w:tc>
          <w:tcPr>
            <w:tcW w:type="dxa" w:w="9350"/>
            <w:shd w:fill="EEF2FA" w:val="clear"/>
            <w:tcMar>
              <w:top w:type="dxa" w:w="150"/>
              <w:left w:type="dxa" w:w="200"/>
              <w:bottom w:type="dxa" w:w="150"/>
              <w:right w:type="dxa" w:w="200"/>
            </w:tcMar>
          </w:tcPr>
          <w:p>
            <w:pPr>
              <w:spacing w:after="100"/>
            </w:pPr>
            <w:r>
              <w:rPr>
                <w:b/>
                <w:bCs/>
                <w:color w:val="2F5496"/>
              </w:rPr>
              <w:t xml:space="preserve">How to use this</w:t>
            </w:r>
          </w:p>
          <w:p>
            <w:pPr>
              <w:spacing w:after="40"/>
            </w:pPr>
            <w:r>
              <w:rPr>
                <w:sz w:val="20"/>
                <w:szCs w:val="20"/>
              </w:rPr>
              <w:t xml:space="preserve">These are your own words to adapt, not a script to memorize — an interviewer will notice recitation. Use the STAR shape where it helps: Situation (a vendor sends inconsistent states), Task (normalize them), Action (what you built), Result (what it achieved/tested).</w:t>
            </w:r>
          </w:p>
          <w:p>
            <w:pPr>
              <w:spacing w:after="40"/>
            </w:pPr>
            <w:r>
              <w:rPr>
                <w:sz w:val="20"/>
                <w:szCs w:val="20"/>
              </w:rPr>
              <w:t xml:space="preserve">Sections 1-2 cover "tell me about a project" style questions. Section 3 covers system design follow-ups. Section 4 covers "what would you do differently" and trade-off probing, which is where interviews often go deepest.</w:t>
            </w:r>
          </w:p>
        </w:tc>
      </w:tr>
    </w:tbl>
    <w:p>
      <w:pPr>
        <w:spacing w:after="150"/>
      </w:pPr>
    </w:p>
    <w:p>
      <w:pPr>
        <w:pStyle w:val="Heading1"/>
        <w:spacing w:after="200" w:before="400"/>
      </w:pPr>
      <w:r>
        <w:t xml:space="preserve">1. The elevator pitch (30 seconds)</w:t>
      </w:r>
    </w:p>
    <w:p>
      <w:pPr>
        <w:spacing w:after="150"/>
      </w:pPr>
      <w:r>
        <w:t xml:space="preserve">"I built a service that normalizes states from an external accounting system — Lexware Office — into a single internal domain model. The interesting part wasn't the API integration, it was that several vendor states aren't 1:1 mappable — the same raw status means different things depending on other fields, like how much of an invoice's value has actually been paid. So I designed the mapping as versioned data with optional predicate functions, rather than hardcoding if/else logic, and made every state change auditable — you can always answer 'why does the system say this' by looking up which rule fired."</w:t>
      </w:r>
    </w:p>
    <w:p>
      <w:pPr>
        <w:spacing w:after="150"/>
      </w:pPr>
    </w:p>
    <w:p>
      <w:pPr>
        <w:pStyle w:val="Heading1"/>
        <w:spacing w:after="200" w:before="400"/>
      </w:pPr>
      <w:r>
        <w:t xml:space="preserve">2. Project walkthrough questions</w:t>
      </w:r>
    </w:p>
    <w:p>
      <w:pPr>
        <w:spacing w:after="100" w:before="200"/>
      </w:pPr>
      <w:r>
        <w:rPr>
          <w:b/>
          <w:bCs/>
          <w:color w:val="2F5496"/>
        </w:rPr>
        <w:t xml:space="preserve">Q1. </w:t>
      </w:r>
      <w:r>
        <w:rPr>
          <w:b/>
          <w:bCs/>
        </w:rPr>
        <w:t xml:space="preserve">What problem does this project solve?</w:t>
      </w:r>
    </w:p>
    <w:p>
      <w:pPr>
        <w:spacing w:after="120"/>
      </w:pPr>
      <w:r>
        <w:t xml:space="preserve">An external system (Lexware Office) represents business documents — quotations, orders, invoices — using its own vocabulary and lifecycle. Our internal system (finban) needs one consistent model regardless of which external system the data came from. The project is the translation layer between them.</w:t>
      </w:r>
    </w:p>
    <w:p>
      <w:pPr>
        <w:spacing w:after="120"/>
      </w:pPr>
      <w:r>
        <w:t xml:space="preserve">The hard part isn't the translation table itself — it's that some vendor states are ambiguous on their own. A quotation vendor-state of "quotation" could mean two different finban states depending on how much has been invoiced against it. That's the actual engineering problem.</w:t>
      </w:r>
    </w:p>
    <w:p>
      <w:pPr>
        <w:spacing w:after="100" w:before="200"/>
      </w:pPr>
      <w:r>
        <w:rPr>
          <w:b/>
          <w:bCs/>
          <w:color w:val="2F5496"/>
        </w:rPr>
        <w:t xml:space="preserve">Q2. </w:t>
      </w:r>
      <w:r>
        <w:rPr>
          <w:b/>
          <w:bCs/>
        </w:rPr>
        <w:t xml:space="preserve">Walk me through the architecture.</w:t>
      </w:r>
    </w:p>
    <w:p>
      <w:pPr>
        <w:spacing w:after="120"/>
      </w:pPr>
      <w:r>
        <w:t xml:space="preserve">Three stages: Ingest, Normalize, Publish.</w:t>
      </w:r>
    </w:p>
    <w:p>
      <w:pPr>
        <w:pStyle w:val="ListParagraph"/>
        <w:numPr>
          <w:ilvl w:val="0"/>
          <w:numId w:val="2"/>
        </w:numPr>
        <w:spacing w:after="50"/>
      </w:pPr>
      <w:r>
        <w:t xml:space="preserve">Ingest — an adapter (adapters/lexware_office/) calls the vendor's REST API and converts their JSON into one neutral event shape. This is the only layer that knows the vendor's actual field names.</w:t>
      </w:r>
    </w:p>
    <w:p>
      <w:pPr>
        <w:pStyle w:val="ListParagraph"/>
        <w:numPr>
          <w:ilvl w:val="0"/>
          <w:numId w:val="2"/>
        </w:numPr>
        <w:spacing w:after="50"/>
      </w:pPr>
      <w:r>
        <w:t xml:space="preserve">Normalize — the engine (engine/resolver.py) looks up matching rules from a mapping table, runs a predicate function if the rule needs one, and returns the correct internal state.</w:t>
      </w:r>
    </w:p>
    <w:p>
      <w:pPr>
        <w:pStyle w:val="ListParagraph"/>
        <w:numPr>
          <w:ilvl w:val="0"/>
          <w:numId w:val="2"/>
        </w:numPr>
        <w:spacing w:after="50"/>
      </w:pPr>
      <w:r>
        <w:t xml:space="preserve">Publish — the repository layer (persistence/repository.py) writes the new state, checks it isn't a duplicate, checks it's a legitimate transition, and records why the change happened before anything is committed.</w:t>
      </w:r>
    </w:p>
    <w:p>
      <w:pPr>
        <w:spacing w:after="100" w:before="200"/>
      </w:pPr>
      <w:r>
        <w:rPr>
          <w:b/>
          <w:bCs/>
          <w:color w:val="2F5496"/>
        </w:rPr>
        <w:t xml:space="preserve">Q3. </w:t>
      </w:r>
      <w:r>
        <w:rPr>
          <w:b/>
          <w:bCs/>
        </w:rPr>
        <w:t xml:space="preserve">Why not just use a simple lookup dictionary for the mapping?</w:t>
      </w:r>
    </w:p>
    <w:p>
      <w:pPr>
        <w:spacing w:after="120"/>
      </w:pPr>
      <w:r>
        <w:t xml:space="preserve">Because several rows in the real spreadsheet aren't 1:1. For example, a vendor's 'archived' order confirmation state maps to three different finban states depending on how much of the order value has actually been invoiced. A flat dictionary can't express 'it depends on this field's value' — so I attached an optional predicate (a small pure function) to any mapping row that needs conditional logic, and left it out entirely on rows that are simple 1:1 lookups.</w:t>
      </w:r>
    </w:p>
    <w:p>
      <w:pPr>
        <w:spacing w:after="100" w:before="200"/>
      </w:pPr>
      <w:r>
        <w:rPr>
          <w:b/>
          <w:bCs/>
          <w:color w:val="2F5496"/>
        </w:rPr>
        <w:t xml:space="preserve">Q4. </w:t>
      </w:r>
      <w:r>
        <w:rPr>
          <w:b/>
          <w:bCs/>
        </w:rPr>
        <w:t xml:space="preserve">How do you handle a vendor sending the same event twice?</w:t>
      </w:r>
    </w:p>
    <w:p>
      <w:pPr>
        <w:spacing w:after="120"/>
      </w:pPr>
      <w:r>
        <w:t xml:space="preserve">Idempotency is enforced before any state is written. Each incoming event is fingerprinted by (vendor system, external ID, vendor's own last-updated timestamp) and checked against a ledger table with a unique constraint. If that exact fingerprint was already processed, the write is a no-op — I don't even reach the point of re-evaluating which rule applies.</w:t>
      </w:r>
    </w:p>
    <w:p>
      <w:pPr>
        <w:spacing w:after="100" w:before="200"/>
      </w:pPr>
      <w:r>
        <w:rPr>
          <w:b/>
          <w:bCs/>
          <w:color w:val="2F5496"/>
        </w:rPr>
        <w:t xml:space="preserve">Q5. </w:t>
      </w:r>
      <w:r>
        <w:rPr>
          <w:b/>
          <w:bCs/>
        </w:rPr>
        <w:t xml:space="preserve">What about events arriving out of order?</w:t>
      </w:r>
    </w:p>
    <w:p>
      <w:pPr>
        <w:spacing w:after="120"/>
      </w:pPr>
      <w:r>
        <w:t xml:space="preserve">I separated 'forward' transitions from 'backward' ones. Most lifecycle moves only go one direction (draft → sent → paid), so those are always allowed. But some backward moves are legitimate business events, not corruption — a paid invoice can later be canceled or refunded. I explicitly whitelist those specific backward transitions per entity type in domain/transitions.py, so an out-of-order delivery can't silently corrupt state, but a real cancellation still goes through.</w:t>
      </w:r>
    </w:p>
    <w:p>
      <w:pPr>
        <w:spacing w:after="100" w:before="200"/>
      </w:pPr>
      <w:r>
        <w:rPr>
          <w:b/>
          <w:bCs/>
          <w:color w:val="2F5496"/>
        </w:rPr>
        <w:t xml:space="preserve">Q6. </w:t>
      </w:r>
      <w:r>
        <w:rPr>
          <w:b/>
          <w:bCs/>
        </w:rPr>
        <w:t xml:space="preserve">How would someone debug 'why is this record in this state'?</w:t>
      </w:r>
    </w:p>
    <w:p>
      <w:pPr>
        <w:spacing w:after="120"/>
      </w:pPr>
      <w:r>
        <w:t xml:space="preserve">Every state change is stored with full provenance — the source event ID, which vendor sent it, and which specific mapping rule ID produced the result. There's a /history API endpoint that returns the entire timeline for any entity. So the answer to 'why does finban say this offer is calculated' is a lookup, not an investigation — you can see it went from sent to calculated via rule r-offer-005 at a specific time.</w:t>
      </w:r>
    </w:p>
    <w:p>
      <w:pPr>
        <w:spacing w:after="100" w:before="200"/>
      </w:pPr>
      <w:r>
        <w:rPr>
          <w:b/>
          <w:bCs/>
          <w:color w:val="2F5496"/>
        </w:rPr>
        <w:t xml:space="preserve">Q7. </w:t>
      </w:r>
      <w:r>
        <w:rPr>
          <w:b/>
          <w:bCs/>
        </w:rPr>
        <w:t xml:space="preserve">How is this tested?</w:t>
      </w:r>
    </w:p>
    <w:p>
      <w:pPr>
        <w:spacing w:after="120"/>
      </w:pPr>
      <w:r>
        <w:t xml:space="preserve">Four layers, each catching a different kind of regression:</w:t>
      </w:r>
    </w:p>
    <w:p>
      <w:pPr>
        <w:pStyle w:val="ListParagraph"/>
        <w:numPr>
          <w:ilvl w:val="0"/>
          <w:numId w:val="2"/>
        </w:numPr>
        <w:spacing w:after="50"/>
      </w:pPr>
      <w:r>
        <w:t xml:space="preserve">Unit tests on the predicate functions — both branches of every conditional rule (e.g. invoice value below vs. at/above the offer value).</w:t>
      </w:r>
    </w:p>
    <w:p>
      <w:pPr>
        <w:pStyle w:val="ListParagraph"/>
        <w:numPr>
          <w:ilvl w:val="0"/>
          <w:numId w:val="2"/>
        </w:numPr>
        <w:spacing w:after="50"/>
      </w:pPr>
      <w:r>
        <w:t xml:space="preserve">Unit tests on the resolver — one test per meaningful mapping row, asserting the correct state and correct rule ID come back.</w:t>
      </w:r>
    </w:p>
    <w:p>
      <w:pPr>
        <w:pStyle w:val="ListParagraph"/>
        <w:numPr>
          <w:ilvl w:val="0"/>
          <w:numId w:val="2"/>
        </w:numPr>
        <w:spacing w:after="50"/>
      </w:pPr>
      <w:r>
        <w:t xml:space="preserve">Contract tests on the adapter — replay recorded, sanitized vendor API responses so tests don't depend on live credentials or network calls.</w:t>
      </w:r>
    </w:p>
    <w:p>
      <w:pPr>
        <w:pStyle w:val="ListParagraph"/>
        <w:numPr>
          <w:ilvl w:val="0"/>
          <w:numId w:val="2"/>
        </w:numPr>
        <w:spacing w:after="50"/>
      </w:pPr>
      <w:r>
        <w:t xml:space="preserve">A snapshot test that runs the whole mapping table through the engine and diffs against an expected-results file, so an accidental change to a mapping rule fails CI immediately.</w:t>
      </w:r>
    </w:p>
    <w:p>
      <w:pPr>
        <w:spacing w:after="120"/>
      </w:pPr>
      <w:r>
        <w:t xml:space="preserve">All 31 tests currently pass, and they run against in-memory SQLite, not a live Postgres instance, so the suite is fast and has no external dependencies.</w:t>
      </w:r>
    </w:p>
    <w:p>
      <w:pPr>
        <w:spacing w:after="100" w:before="200"/>
      </w:pPr>
      <w:r>
        <w:rPr>
          <w:b/>
          <w:bCs/>
          <w:color w:val="2F5496"/>
        </w:rPr>
        <w:t xml:space="preserve">Q8. </w:t>
      </w:r>
      <w:r>
        <w:rPr>
          <w:b/>
          <w:bCs/>
        </w:rPr>
        <w:t xml:space="preserve">How does deployment work?</w:t>
      </w:r>
    </w:p>
    <w:p>
      <w:pPr>
        <w:spacing w:after="120"/>
      </w:pPr>
      <w:r>
        <w:t xml:space="preserve">GitHub Actions in two stages. CI runs on every pull request: lint, type check, the full test suite, and a mapping-completeness check that fails the build if any vendor state group is missing a fallback rule. Deploy runs on merge to main: build and tag a Docker image, push it, run migrations and deploy to staging, run contract tests against a vendor sandbox if available, then require manual approval before promoting the same image to production — since this touches financial state, I didn't want fully automatic prod deploys.</w:t>
      </w:r>
    </w:p>
    <w:p>
      <w:pPr>
        <w:spacing w:after="150"/>
      </w:pPr>
    </w:p>
    <w:p>
      <w:pPr>
        <w:pStyle w:val="Heading1"/>
        <w:spacing w:after="200" w:before="400"/>
      </w:pPr>
      <w:r>
        <w:t xml:space="preserve">3. Likely system-design follow-ups</w:t>
      </w:r>
    </w:p>
    <w:p>
      <w:pPr>
        <w:spacing w:after="100" w:before="200"/>
      </w:pPr>
      <w:r>
        <w:rPr>
          <w:b/>
          <w:bCs/>
          <w:color w:val="2F5496"/>
        </w:rPr>
        <w:t xml:space="preserve">Q9. </w:t>
      </w:r>
      <w:r>
        <w:rPr>
          <w:b/>
          <w:bCs/>
        </w:rPr>
        <w:t xml:space="preserve">How would you add a second vendor system, like QuickBooks?</w:t>
      </w:r>
    </w:p>
    <w:p>
      <w:pPr>
        <w:spacing w:after="120"/>
      </w:pPr>
      <w:r>
        <w:t xml:space="preserve">Add a new adapter subpackage implementing the same BaseAdapter interface — it only needs to produce the same neutral ExternalEvent shape. Then add new rows to the mapping table for QuickBooks's vocabulary. Neither the domain model nor the resolution engine needs to change at all — that separation was the whole point of keeping vendor knowledge confined to the adapter layer.</w:t>
      </w:r>
    </w:p>
    <w:p>
      <w:pPr>
        <w:spacing w:after="100" w:before="200"/>
      </w:pPr>
      <w:r>
        <w:rPr>
          <w:b/>
          <w:bCs/>
          <w:color w:val="2F5496"/>
        </w:rPr>
        <w:t xml:space="preserve">Q10. </w:t>
      </w:r>
      <w:r>
        <w:rPr>
          <w:b/>
          <w:bCs/>
        </w:rPr>
        <w:t xml:space="preserve">What happens if the vendor sends a state you've never mapped?</w:t>
      </w:r>
    </w:p>
    <w:p>
      <w:pPr>
        <w:spacing w:after="120"/>
      </w:pPr>
      <w:r>
        <w:t xml:space="preserve">Every (vendor, document type) group has a required fallback rule that catches anything unmatched and labels it 'undefined' instead of crashing or guessing. There's also a CI check that fails the build if any group is missing its fallback — I actually caught a real gap this way during development, where order confirmations had no fallback rule defined yet.</w:t>
      </w:r>
    </w:p>
    <w:p>
      <w:pPr>
        <w:spacing w:after="100" w:before="200"/>
      </w:pPr>
      <w:r>
        <w:rPr>
          <w:b/>
          <w:bCs/>
          <w:color w:val="2F5496"/>
        </w:rPr>
        <w:t xml:space="preserve">Q11. </w:t>
      </w:r>
      <w:r>
        <w:rPr>
          <w:b/>
          <w:bCs/>
        </w:rPr>
        <w:t xml:space="preserve">Why Postgres instead of a NoSQL store?</w:t>
      </w:r>
    </w:p>
    <w:p>
      <w:pPr>
        <w:spacing w:after="120"/>
      </w:pPr>
      <w:r>
        <w:t xml:space="preserve">The data is genuinely relational — state changes reference entities, entities have a current state plus a full history, and the idempotency ledger needs a real unique constraint to be reliable. I also wanted transactional guarantees when writing the current-state row and the audit-trail row together. A document store would work but would make the uniqueness and transactional guarantees harder to get for free.</w:t>
      </w:r>
    </w:p>
    <w:p>
      <w:pPr>
        <w:spacing w:after="100" w:before="200"/>
      </w:pPr>
      <w:r>
        <w:rPr>
          <w:b/>
          <w:bCs/>
          <w:color w:val="2F5496"/>
        </w:rPr>
        <w:t xml:space="preserve">Q12. </w:t>
      </w:r>
      <w:r>
        <w:rPr>
          <w:b/>
          <w:bCs/>
        </w:rPr>
        <w:t xml:space="preserve">Why poll the vendor API instead of using webhooks?</w:t>
      </w:r>
    </w:p>
    <w:p>
      <w:pPr>
        <w:spacing w:after="120"/>
      </w:pPr>
      <w:r>
        <w:t xml:space="preserve">Lexware Office's webhook support depends on the account tier, so I designed around polling as the reliable baseline and left room to add a webhook receiver later using the same ExternalEvent shape — the adapter interface doesn't care how events arrive, only that they arrive normalized. If I know a specific vendor supports webhooks, that's the better choice for latency and API load, and I'd swap it in without touching downstream layers.</w:t>
      </w:r>
    </w:p>
    <w:p>
      <w:pPr>
        <w:spacing w:after="100" w:before="200"/>
      </w:pPr>
      <w:r>
        <w:rPr>
          <w:b/>
          <w:bCs/>
          <w:color w:val="2F5496"/>
        </w:rPr>
        <w:t xml:space="preserve">Q13. </w:t>
      </w:r>
      <w:r>
        <w:rPr>
          <w:b/>
          <w:bCs/>
        </w:rPr>
        <w:t xml:space="preserve">How would this scale if event volume got much larger?</w:t>
      </w:r>
    </w:p>
    <w:p>
      <w:pPr>
        <w:spacing w:after="120"/>
      </w:pPr>
      <w:r>
        <w:t xml:space="preserve">I'd put a real queue (SQS or Kafka) between ingest and normalize instead of processing synchronously, so a burst of vendor updates doesn't block. The resolver itself is already stateless and pure, so it horizontally scales trivially. The database writes are the more likely bottleneck — I'd look at batching state-change inserts and possibly partitioning the audit trail table by entity type if it grew very large.</w:t>
      </w:r>
    </w:p>
    <w:p>
      <w:pPr>
        <w:spacing w:after="150"/>
      </w:pPr>
    </w:p>
    <w:p>
      <w:pPr>
        <w:pStyle w:val="Heading1"/>
        <w:spacing w:after="200" w:before="400"/>
      </w:pPr>
      <w:r>
        <w:t xml:space="preserve">4. Trade-off and 'what would you do differently' questions</w:t>
      </w:r>
    </w:p>
    <w:p>
      <w:pPr>
        <w:spacing w:after="100" w:before="200"/>
      </w:pPr>
      <w:r>
        <w:rPr>
          <w:b/>
          <w:bCs/>
          <w:color w:val="2F5496"/>
        </w:rPr>
        <w:t xml:space="preserve">Q14. </w:t>
      </w:r>
      <w:r>
        <w:rPr>
          <w:b/>
          <w:bCs/>
        </w:rPr>
        <w:t xml:space="preserve">What's the biggest weakness in your current design?</w:t>
      </w:r>
    </w:p>
    <w:p>
      <w:pPr>
        <w:spacing w:after="120"/>
      </w:pPr>
      <w:r>
        <w:t xml:space="preserve">The mapping table lives in a YAML file loaded at startup, which means changing a mapping rule requires a code deploy. For a fast-moving assessment or prototype that's fine, but in production I'd move it into a database table (I actually scaffolded that alternative path in scripts/seed_mapping_table.py) so a non-engineer or ops person could adjust a rule without waiting on a release.</w:t>
      </w:r>
    </w:p>
    <w:p>
      <w:pPr>
        <w:spacing w:after="100" w:before="200"/>
      </w:pPr>
      <w:r>
        <w:rPr>
          <w:b/>
          <w:bCs/>
          <w:color w:val="2F5496"/>
        </w:rPr>
        <w:t xml:space="preserve">Q15. </w:t>
      </w:r>
      <w:r>
        <w:rPr>
          <w:b/>
          <w:bCs/>
        </w:rPr>
        <w:t xml:space="preserve">If you had another day, what would you focus on?</w:t>
      </w:r>
    </w:p>
    <w:p>
      <w:pPr>
        <w:spacing w:after="120"/>
      </w:pPr>
      <w:r>
        <w:t xml:space="preserve">Two things: first, I'd want real (sanitized) sample data from the vendor to check my assumptions about ambiguous states — a few of the sheet's raw states like 'Ignored' or 'Undefined' don't have an obvious target mapping, and I made a judgment call rather than confirming it. Second, I'd add the canary check (scripts/canary_check.py) into an actual scheduled job hitting a live sandbox, since right now it exists but isn't wired into any scheduler yet.</w:t>
      </w:r>
    </w:p>
    <w:p>
      <w:pPr>
        <w:spacing w:after="100" w:before="200"/>
      </w:pPr>
      <w:r>
        <w:rPr>
          <w:b/>
          <w:bCs/>
          <w:color w:val="2F5496"/>
        </w:rPr>
        <w:t xml:space="preserve">Q16. </w:t>
      </w:r>
      <w:r>
        <w:rPr>
          <w:b/>
          <w:bCs/>
        </w:rPr>
        <w:t xml:space="preserve">Why predicates as named functions instead of, say, a small expression language (JSONLogic, etc.)?</w:t>
      </w:r>
    </w:p>
    <w:p>
      <w:pPr>
        <w:spacing w:after="120"/>
      </w:pPr>
      <w:r>
        <w:t xml:space="preserve">An expression language would let non-engineers edit conditions without touching code, which is a real advantage if the rule set grows large or changes often. I chose plain Python functions because the current predicate set is small, each one needs to reason about actual business fields (invoice value comparisons), and keeping them as real functions makes them trivially unit-testable and type-checked. If the rule count grew into the hundreds or needed to be vendor-configurable, I'd reconsider and move toward a declarative expression format.</w:t>
      </w:r>
    </w:p>
    <w:p>
      <w:pPr>
        <w:spacing w:after="100" w:before="200"/>
      </w:pPr>
      <w:r>
        <w:rPr>
          <w:b/>
          <w:bCs/>
          <w:color w:val="2F5496"/>
        </w:rPr>
        <w:t xml:space="preserve">Q17. </w:t>
      </w:r>
      <w:r>
        <w:rPr>
          <w:b/>
          <w:bCs/>
        </w:rPr>
        <w:t xml:space="preserve">Is a manual approval gate before production overkill?</w:t>
      </w:r>
    </w:p>
    <w:p>
      <w:pPr>
        <w:spacing w:after="120"/>
      </w:pPr>
      <w:r>
        <w:t xml:space="preserve">For most services, yes, I'd automate it with a canary rollout and automatic rollback on error-rate spikes. I kept it manual here specifically because this service writes financial state — invoices, offers, orders — and a bad mapping rule reaching production could misrepresent real transactions. That's a case where the cost of a slower deploy is clearly worth it over the cost of an undetected financial mapping bug.</w:t>
      </w:r>
    </w:p>
    <w:p>
      <w:pPr>
        <w:spacing w:after="150"/>
      </w:pPr>
    </w:p>
    <w:p>
      <w:pPr>
        <w:pStyle w:val="Heading1"/>
        <w:spacing w:after="200" w:before="400"/>
      </w:pPr>
      <w:r>
        <w:t xml:space="preserve">5. If asked what you'd bring from this to a role</w:t>
      </w:r>
    </w:p>
    <w:p>
      <w:pPr>
        <w:spacing w:after="150"/>
      </w:pPr>
      <w:r>
        <w:t xml:space="preserve">A few honest, specific claims you can make:</w:t>
      </w:r>
    </w:p>
    <w:p>
      <w:pPr>
        <w:pStyle w:val="ListParagraph"/>
        <w:numPr>
          <w:ilvl w:val="0"/>
          <w:numId w:val="2"/>
        </w:numPr>
        <w:spacing w:after="60"/>
      </w:pPr>
      <w:r>
        <w:t xml:space="preserve">Comfortable designing a translation/normalization layer between systems that don't share a data model — not just writing CRUD.</w:t>
      </w:r>
    </w:p>
    <w:p>
      <w:pPr>
        <w:pStyle w:val="ListParagraph"/>
        <w:numPr>
          <w:ilvl w:val="0"/>
          <w:numId w:val="2"/>
        </w:numPr>
        <w:spacing w:after="60"/>
      </w:pPr>
      <w:r>
        <w:t xml:space="preserve">Default toward auditability: every non-trivial decision my code makes is designed to be traceable after the fact, not just correct in the moment.</w:t>
      </w:r>
    </w:p>
    <w:p>
      <w:pPr>
        <w:pStyle w:val="ListParagraph"/>
        <w:numPr>
          <w:ilvl w:val="0"/>
          <w:numId w:val="2"/>
        </w:numPr>
        <w:spacing w:after="60"/>
      </w:pPr>
      <w:r>
        <w:t xml:space="preserve">Test strategy matched to failure modes — I didn't just write 'some tests,' I mapped specific test types (unit, contract, snapshot) to the specific ways this system could silently regress.</w:t>
      </w:r>
    </w:p>
    <w:p>
      <w:pPr>
        <w:pStyle w:val="ListParagraph"/>
        <w:numPr>
          <w:ilvl w:val="0"/>
          <w:numId w:val="2"/>
        </w:numPr>
        <w:spacing w:after="60"/>
      </w:pPr>
      <w:r>
        <w:t xml:space="preserve">Comfortable articulating trade-offs rather than presenting one design as the only correct one — YAML vs. DB-backed rules, polling vs. webhooks, and the manual approval gate are all choices I can defend and would revisit under different constraints.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2026-09-07T13:42:35.199Z</dcterms:created>
  <dcterms:modified xsi:type="dcterms:W3CDTF">2026-09-07T13:42:35.208Z</dcterms:modified>
</cp:coreProperties>
</file>

<file path=docProps/custom.xml><?xml version="1.0" encoding="utf-8"?>
<Properties xmlns="http://schemas.openxmlformats.org/officeDocument/2006/custom-properties" xmlns:vt="http://schemas.openxmlformats.org/officeDocument/2006/docPropsVTypes"/>
</file>