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Reference Design: finban ↔ External System State Mapping Service</w:t>
      </w:r>
    </w:p>
    <w:p>
      <w:pPr>
        <w:spacing w:after="300"/>
      </w:pPr>
      <w:r>
        <w:rPr>
          <w:i/>
          <w:iCs/>
          <w:color w:val="555555"/>
          <w:sz w:val="22"/>
          <w:szCs w:val="22"/>
        </w:rPr>
        <w:t xml:space="preserve">Internal evaluation guide — how I would architect, build, test, and deploy the system this take-home assessment is modeled on</w:t>
      </w:r>
    </w:p>
    <w:p>
      <w:pPr>
        <w:pBdr>
          <w:bottom w:val="single" w:color="AAAAAA" w:sz="6" w:space="1"/>
        </w:pBdr>
        <w:spacing w:after="200"/>
      </w:pPr>
    </w:p>
    <w:p>
      <w:pPr>
        <w:pStyle w:val="Heading1"/>
        <w:spacing w:after="200" w:before="400"/>
      </w:pPr>
      <w:r>
        <w:t xml:space="preserve">1. Purpose of this document</w:t>
      </w:r>
    </w:p>
    <w:p>
      <w:pPr>
        <w:spacing w:after="150"/>
      </w:pPr>
      <w:r>
        <w:t xml:space="preserve">This is not the candidate deliverable. It's a reference solution and evaluation rubric to use before handing the assessment to candidates — so you have a concrete bar for what a strong, mediocre, and weak submission looks like, and can spot which parts of the problem candidates tend to skip.</w:t>
      </w:r>
    </w:p>
    <w:p>
      <w:pPr>
        <w:pStyle w:val="Heading1"/>
        <w:spacing w:after="200" w:before="400"/>
      </w:pPr>
      <w:r>
        <w:t xml:space="preserve">2. What the assessment is actually testing</w:t>
      </w:r>
    </w:p>
    <w:p>
      <w:pPr>
        <w:spacing w:after="150"/>
      </w:pPr>
      <w:r>
        <w:t xml:space="preserve">The source spreadsheet maps finban's internal transaction lifecycle (Lead → Offer → Order → Sales Invoice → Credit Note → Bank Transaction) onto an external accounting platform's states (endpoints like /v1/voucherlist/, /v1/quotations/, /v1/order-confirmations/ point to Lexware Office). The core engineering problem is state normalization across heterogeneous source systems, not CRUD or UI work.</w:t>
      </w:r>
    </w:p>
    <w:p>
      <w:pPr>
        <w:spacing w:after="150"/>
      </w:pPr>
      <w:r>
        <w:t xml:space="preserve">Three things make it non-trivial, and are the real signal in a candidate's answer:</w:t>
      </w:r>
    </w:p>
    <w:p>
      <w:pPr>
        <w:pStyle w:val="ListParagraph"/>
        <w:numPr>
          <w:ilvl w:val="0"/>
          <w:numId w:val="2"/>
        </w:numPr>
        <w:spacing w:after="60"/>
      </w:pPr>
      <w:r>
        <w:t xml:space="preserve">Non-1:1 mappings. Several external states map to a finban state only under a condition — e.g. a "quotation" external state resolves to different finban offer states depending on whether related invoice value is below or at/above the offer value. This is derived state, not a lookup table.</w:t>
      </w:r>
    </w:p>
    <w:p>
      <w:pPr>
        <w:pStyle w:val="ListParagraph"/>
        <w:numPr>
          <w:ilvl w:val="0"/>
          <w:numId w:val="2"/>
        </w:numPr>
        <w:spacing w:after="60"/>
      </w:pPr>
      <w:r>
        <w:t xml:space="preserve">Multiple external systems, one internal model. finban's Lead/Offer/Order/Invoice model has to stay stable as new source systems (QuickBooks, Xero, etc.) are added — each with its own vocabulary and lifecycle quirks.</w:t>
      </w:r>
    </w:p>
    <w:p>
      <w:pPr>
        <w:pStyle w:val="ListParagraph"/>
        <w:numPr>
          <w:ilvl w:val="0"/>
          <w:numId w:val="2"/>
        </w:numPr>
        <w:spacing w:after="60"/>
      </w:pPr>
      <w:r>
        <w:t xml:space="preserve">Traceability. Given how many source states collapse into one finban state, an ops person will eventually ask "why does finban say this deal is X?" — the mapping decision needs to be auditable, not just applied.</w:t>
      </w:r>
    </w:p>
    <w:p>
      <w:pPr>
        <w:spacing w:after="150"/>
      </w:pPr>
    </w:p>
    <w:p>
      <w:pPr>
        <w:pStyle w:val="Heading1"/>
        <w:spacing w:after="200" w:before="400"/>
      </w:pPr>
      <w:r>
        <w:t xml:space="preserve">3. Reference architecture</w:t>
      </w:r>
    </w:p>
    <w:p>
      <w:pPr>
        <w:pStyle w:val="Heading2"/>
        <w:spacing w:after="150" w:before="300"/>
      </w:pPr>
      <w:r>
        <w:t xml:space="preserve">3.1 High-level shape</w:t>
      </w:r>
    </w:p>
    <w:p>
      <w:pPr>
        <w:spacing w:after="150"/>
      </w:pPr>
      <w:r>
        <w:t xml:space="preserve">A three-layer pipeline: Ingest → Normalize → Publish.</w:t>
      </w:r>
    </w:p>
    <w:p>
      <w:pPr>
        <w:pStyle w:val="ListParagraph"/>
        <w:numPr>
          <w:ilvl w:val="0"/>
          <w:numId w:val="3"/>
        </w:numPr>
        <w:spacing w:after="60"/>
      </w:pPr>
      <w:r>
        <w:t xml:space="preserve">Ingest: per-connector adapters (Lexware Office today) that pull raw vouchers/quotations/invoices via their REST API and land them, unmodified, as immutable events.</w:t>
      </w:r>
    </w:p>
    <w:p>
      <w:pPr>
        <w:pStyle w:val="ListParagraph"/>
        <w:numPr>
          <w:ilvl w:val="0"/>
          <w:numId w:val="3"/>
        </w:numPr>
        <w:spacing w:after="60"/>
      </w:pPr>
      <w:r>
        <w:t xml:space="preserve">Normalize: a rules engine that evaluates each external system's state (plus any conditional fields — amounts, archived flags, related-document values) against a declarative mapping table, producing a canonical finban state transition.</w:t>
      </w:r>
    </w:p>
    <w:p>
      <w:pPr>
        <w:pStyle w:val="ListParagraph"/>
        <w:numPr>
          <w:ilvl w:val="0"/>
          <w:numId w:val="3"/>
        </w:numPr>
        <w:spacing w:after="60"/>
      </w:pPr>
      <w:r>
        <w:t xml:space="preserve">Publish: writes the canonical state to finban's domain store and emits a domain event (e.g. OfferStateChanged) for downstream consumers.</w:t>
      </w:r>
    </w:p>
    <w:p>
      <w:pPr>
        <w:spacing w:after="150"/>
      </w:pP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Why not a simple lookup table alone</w:t>
            </w:r>
          </w:p>
          <w:p>
            <w:pPr>
              <w:spacing w:after="40"/>
            </w:pPr>
            <w:r>
              <w:rPr>
                <w:sz w:val="20"/>
                <w:szCs w:val="20"/>
              </w:rPr>
              <w:t xml:space="preserve">A flat dictionary (external_state → finban_state) covers most rows in the sheet, but breaks on the conditional rows (e.g. offer value vs. related invoice value comparisons, archived + amount thresholds on order confirmations).</w:t>
            </w:r>
          </w:p>
          <w:p>
            <w:pPr>
              <w:spacing w:after="40"/>
            </w:pPr>
            <w:r>
              <w:rPr>
                <w:sz w:val="20"/>
                <w:szCs w:val="20"/>
              </w:rPr>
              <w:t xml:space="preserve">Design the mapping table so each row carries an optional predicate function name, not just a static target state — falls back to direct lookup when no predicate is needed.</w:t>
            </w:r>
          </w:p>
        </w:tc>
      </w:tr>
    </w:tbl>
    <w:p>
      <w:pPr>
        <w:spacing w:after="150"/>
      </w:pPr>
    </w:p>
    <w:p>
      <w:pPr>
        <w:pStyle w:val="Heading2"/>
        <w:spacing w:after="150" w:before="300"/>
      </w:pPr>
      <w:r>
        <w:t xml:space="preserve">3.2 Canonical domain model</w:t>
      </w:r>
    </w:p>
    <w:p>
      <w:pPr>
        <w:spacing w:after="150"/>
      </w:pPr>
      <w:r>
        <w:t xml:space="preserve">Central entity types, independent of any external vendor's vocabulary: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2F5496" w:val="clear"/>
            <w:vAlign w:val="center"/>
          </w:tcPr>
          <w:p>
            <w:r>
              <w:rPr>
                <w:b/>
                <w:bCs/>
                <w:color w:val="FFFFFF"/>
                <w:sz w:val="20"/>
                <w:szCs w:val="20"/>
              </w:rPr>
              <w:t xml:space="preserve">Entity</w:t>
            </w:r>
          </w:p>
        </w:tc>
        <w:tc>
          <w:tcPr>
            <w:tcW w:type="dxa" w:w="2200"/>
            <w:shd w:fill="2F5496" w:val="clear"/>
            <w:vAlign w:val="center"/>
          </w:tcPr>
          <w:p>
            <w:r>
              <w:rPr>
                <w:b/>
                <w:bCs/>
                <w:color w:val="FFFFFF"/>
                <w:sz w:val="20"/>
                <w:szCs w:val="20"/>
              </w:rPr>
              <w:t xml:space="preserve">Example states</w:t>
            </w:r>
          </w:p>
        </w:tc>
        <w:tc>
          <w:tcPr>
            <w:tcW w:type="dxa" w:w="4950"/>
            <w:shd w:fill="2F5496" w:val="clear"/>
            <w:vAlign w:val="center"/>
          </w:tcPr>
          <w:p>
            <w:r>
              <w:rPr>
                <w:b/>
                <w:bCs/>
                <w:color w:val="FFFFFF"/>
                <w:sz w:val="20"/>
                <w:szCs w:val="20"/>
              </w:rPr>
              <w:t xml:space="preserve">Notes</w:t>
            </w:r>
          </w:p>
        </w:tc>
      </w:tr>
      <w:tr>
        <w:tc>
          <w:tcPr>
            <w:tcW w:type="dxa" w:w="2200"/>
            <w:vAlign w:val="center"/>
          </w:tcPr>
          <w:p>
            <w:r>
              <w:rPr>
                <w:b w:val="false"/>
                <w:bCs w:val="false"/>
                <w:sz w:val="20"/>
                <w:szCs w:val="20"/>
              </w:rPr>
              <w:t xml:space="preserve">Lead</w:t>
            </w:r>
          </w:p>
        </w:tc>
        <w:tc>
          <w:tcPr>
            <w:tcW w:type="dxa" w:w="2200"/>
            <w:vAlign w:val="center"/>
          </w:tcPr>
          <w:p>
            <w:r>
              <w:rPr>
                <w:b w:val="false"/>
                <w:bCs w:val="false"/>
                <w:sz w:val="20"/>
                <w:szCs w:val="20"/>
              </w:rPr>
              <w:t xml:space="preserve">potential, won, lost, deleted, archived</w:t>
            </w:r>
          </w:p>
        </w:tc>
        <w:tc>
          <w:tcPr>
            <w:tcW w:type="dxa" w:w="4950"/>
            <w:vAlign w:val="center"/>
          </w:tcPr>
          <w:p>
            <w:r>
              <w:rPr>
                <w:b w:val="false"/>
                <w:bCs w:val="false"/>
                <w:sz w:val="18"/>
                <w:szCs w:val="18"/>
              </w:rPr>
              <w:t xml:space="preserve">Top of funnel; no external system row needs conditional logic here.</w:t>
            </w:r>
          </w:p>
        </w:tc>
      </w:tr>
      <w:tr>
        <w:tc>
          <w:tcPr>
            <w:tcW w:type="dxa" w:w="2200"/>
            <w:vAlign w:val="center"/>
          </w:tcPr>
          <w:p>
            <w:r>
              <w:rPr>
                <w:b w:val="false"/>
                <w:bCs w:val="false"/>
                <w:sz w:val="20"/>
                <w:szCs w:val="20"/>
              </w:rPr>
              <w:t xml:space="preserve">Offer</w:t>
            </w:r>
          </w:p>
        </w:tc>
        <w:tc>
          <w:tcPr>
            <w:tcW w:type="dxa" w:w="2200"/>
            <w:vAlign w:val="center"/>
          </w:tcPr>
          <w:p>
            <w:r>
              <w:rPr>
                <w:b w:val="false"/>
                <w:bCs w:val="false"/>
                <w:sz w:val="20"/>
                <w:szCs w:val="20"/>
              </w:rPr>
              <w:t xml:space="preserve">draft, sent, accepted, partially_calculated, calculated, archived, rejected</w:t>
            </w:r>
          </w:p>
        </w:tc>
        <w:tc>
          <w:tcPr>
            <w:tcW w:type="dxa" w:w="4950"/>
            <w:vAlign w:val="center"/>
          </w:tcPr>
          <w:p>
            <w:r>
              <w:rPr>
                <w:b w:val="false"/>
                <w:bCs w:val="false"/>
                <w:sz w:val="18"/>
                <w:szCs w:val="18"/>
              </w:rPr>
              <w:t xml:space="preserve">partially_calculated vs calculated is derived from related invoice value vs offer value — needs a predicate, not a static map.</w:t>
            </w:r>
          </w:p>
        </w:tc>
      </w:tr>
      <w:tr>
        <w:tc>
          <w:tcPr>
            <w:tcW w:type="dxa" w:w="2200"/>
            <w:vAlign w:val="center"/>
          </w:tcPr>
          <w:p>
            <w:r>
              <w:rPr>
                <w:b w:val="false"/>
                <w:bCs w:val="false"/>
                <w:sz w:val="20"/>
                <w:szCs w:val="20"/>
              </w:rPr>
              <w:t xml:space="preserve">Order</w:t>
            </w:r>
          </w:p>
        </w:tc>
        <w:tc>
          <w:tcPr>
            <w:tcW w:type="dxa" w:w="2200"/>
            <w:vAlign w:val="center"/>
          </w:tcPr>
          <w:p>
            <w:r>
              <w:rPr>
                <w:b w:val="false"/>
                <w:bCs w:val="false"/>
                <w:sz w:val="20"/>
                <w:szCs w:val="20"/>
              </w:rPr>
              <w:t xml:space="preserve">draft, confirmed, partially_calculated, calculated, archived</w:t>
            </w:r>
          </w:p>
        </w:tc>
        <w:tc>
          <w:tcPr>
            <w:tcW w:type="dxa" w:w="4950"/>
            <w:vAlign w:val="center"/>
          </w:tcPr>
          <w:p>
            <w:r>
              <w:rPr>
                <w:b w:val="false"/>
                <w:bCs w:val="false"/>
                <w:sz w:val="18"/>
                <w:szCs w:val="18"/>
              </w:rPr>
              <w:t xml:space="preserve">Same derived-state pattern as Offer, but keyed off order value instead of offer value.</w:t>
            </w:r>
          </w:p>
        </w:tc>
      </w:tr>
      <w:tr>
        <w:tc>
          <w:tcPr>
            <w:tcW w:type="dxa" w:w="2200"/>
            <w:vAlign w:val="center"/>
          </w:tcPr>
          <w:p>
            <w:r>
              <w:rPr>
                <w:b w:val="false"/>
                <w:bCs w:val="false"/>
                <w:sz w:val="20"/>
                <w:szCs w:val="20"/>
              </w:rPr>
              <w:t xml:space="preserve">Sales Invoice</w:t>
            </w:r>
          </w:p>
        </w:tc>
        <w:tc>
          <w:tcPr>
            <w:tcW w:type="dxa" w:w="2200"/>
            <w:vAlign w:val="center"/>
          </w:tcPr>
          <w:p>
            <w:r>
              <w:rPr>
                <w:b w:val="false"/>
                <w:bCs w:val="false"/>
                <w:sz w:val="20"/>
                <w:szCs w:val="20"/>
              </w:rPr>
              <w:t xml:space="preserve">open, draft, sent, partially_paid, paid, canceled, refunded, written_off, on_hold</w:t>
            </w:r>
          </w:p>
        </w:tc>
        <w:tc>
          <w:tcPr>
            <w:tcW w:type="dxa" w:w="4950"/>
            <w:vAlign w:val="center"/>
          </w:tcPr>
          <w:p>
            <w:r>
              <w:rPr>
                <w:b w:val="false"/>
                <w:bCs w:val="false"/>
                <w:sz w:val="18"/>
                <w:szCs w:val="18"/>
              </w:rPr>
              <w:t xml:space="preserve">Largest state space in the sheet; several external labels (e.g. "Ignored", "Undefined") map to the same finban bucket and should be explicit synonyms, not silently dropped.</w:t>
            </w:r>
          </w:p>
        </w:tc>
      </w:tr>
      <w:tr>
        <w:tc>
          <w:tcPr>
            <w:tcW w:type="dxa" w:w="2200"/>
            <w:vAlign w:val="center"/>
          </w:tcPr>
          <w:p>
            <w:r>
              <w:rPr>
                <w:b w:val="false"/>
                <w:bCs w:val="false"/>
                <w:sz w:val="20"/>
                <w:szCs w:val="20"/>
              </w:rPr>
              <w:t xml:space="preserve">Partial Invoice</w:t>
            </w:r>
          </w:p>
        </w:tc>
        <w:tc>
          <w:tcPr>
            <w:tcW w:type="dxa" w:w="2200"/>
            <w:vAlign w:val="center"/>
          </w:tcPr>
          <w:p>
            <w:r>
              <w:rPr>
                <w:b w:val="false"/>
                <w:bCs w:val="false"/>
                <w:sz w:val="20"/>
                <w:szCs w:val="20"/>
              </w:rPr>
              <w:t xml:space="preserve">draft, open, paid, partially_paid, canceled</w:t>
            </w:r>
          </w:p>
        </w:tc>
        <w:tc>
          <w:tcPr>
            <w:tcW w:type="dxa" w:w="4950"/>
            <w:vAlign w:val="center"/>
          </w:tcPr>
          <w:p>
            <w:r>
              <w:rPr>
                <w:b w:val="false"/>
                <w:bCs w:val="false"/>
                <w:sz w:val="18"/>
                <w:szCs w:val="18"/>
              </w:rPr>
              <w:t xml:space="preserve">Modeled as a Sales Invoice subtype — same state machine, different source endpoint.</w:t>
            </w:r>
          </w:p>
        </w:tc>
      </w:tr>
      <w:tr>
        <w:tc>
          <w:tcPr>
            <w:tcW w:type="dxa" w:w="2200"/>
            <w:vAlign w:val="center"/>
          </w:tcPr>
          <w:p>
            <w:r>
              <w:rPr>
                <w:b w:val="false"/>
                <w:bCs w:val="false"/>
                <w:sz w:val="20"/>
                <w:szCs w:val="20"/>
              </w:rPr>
              <w:t xml:space="preserve">Sales / Purchase Credit Note</w:t>
            </w:r>
          </w:p>
        </w:tc>
        <w:tc>
          <w:tcPr>
            <w:tcW w:type="dxa" w:w="2200"/>
            <w:vAlign w:val="center"/>
          </w:tcPr>
          <w:p>
            <w:r>
              <w:rPr>
                <w:b w:val="false"/>
                <w:bCs w:val="false"/>
                <w:sz w:val="20"/>
                <w:szCs w:val="20"/>
              </w:rPr>
              <w:t xml:space="preserve">open, paid, voided, archived, partially_paid</w:t>
            </w:r>
          </w:p>
        </w:tc>
        <w:tc>
          <w:tcPr>
            <w:tcW w:type="dxa" w:w="4950"/>
            <w:vAlign w:val="center"/>
          </w:tcPr>
          <w:p>
            <w:r>
              <w:rPr>
                <w:b w:val="false"/>
                <w:bCs w:val="false"/>
                <w:sz w:val="18"/>
                <w:szCs w:val="18"/>
              </w:rPr>
              <w:t xml:space="preserve">Mirrors invoice state machine; kept as a distinct entity because it nets against invoices downstream.</w:t>
            </w:r>
          </w:p>
        </w:tc>
      </w:tr>
      <w:tr>
        <w:tc>
          <w:tcPr>
            <w:tcW w:type="dxa" w:w="2200"/>
            <w:vAlign w:val="center"/>
          </w:tcPr>
          <w:p>
            <w:r>
              <w:rPr>
                <w:b w:val="false"/>
                <w:bCs w:val="false"/>
                <w:sz w:val="20"/>
                <w:szCs w:val="20"/>
              </w:rPr>
              <w:t xml:space="preserve">Bank Transaction</w:t>
            </w:r>
          </w:p>
        </w:tc>
        <w:tc>
          <w:tcPr>
            <w:tcW w:type="dxa" w:w="2200"/>
            <w:vAlign w:val="center"/>
          </w:tcPr>
          <w:p>
            <w:r>
              <w:rPr>
                <w:b w:val="false"/>
                <w:bCs w:val="false"/>
                <w:sz w:val="20"/>
                <w:szCs w:val="20"/>
              </w:rPr>
              <w:t xml:space="preserve">booked, pending</w:t>
            </w:r>
          </w:p>
        </w:tc>
        <w:tc>
          <w:tcPr>
            <w:tcW w:type="dxa" w:w="4950"/>
            <w:vAlign w:val="center"/>
          </w:tcPr>
          <w:p>
            <w:r>
              <w:rPr>
                <w:b w:val="false"/>
                <w:bCs w:val="false"/>
                <w:sz w:val="18"/>
                <w:szCs w:val="18"/>
              </w:rPr>
              <w:t xml:space="preserve">Simplest entity in the sheet — flat 1:1 mapping, no predicates.</w:t>
            </w:r>
          </w:p>
        </w:tc>
      </w:tr>
    </w:tbl>
    <w:p>
      <w:pPr>
        <w:spacing w:after="150"/>
      </w:pPr>
    </w:p>
    <w:p>
      <w:pPr>
        <w:pStyle w:val="Heading2"/>
        <w:spacing w:after="150" w:before="300"/>
      </w:pPr>
      <w:r>
        <w:t xml:space="preserve">3.3 The mapping table as data, not code</w:t>
      </w:r>
    </w:p>
    <w:p>
      <w:pPr>
        <w:spacing w:after="150"/>
      </w:pPr>
      <w:r>
        <w:t xml:space="preserve">Store mappings as versioned, declarative records rather than if/else chains buried in adapter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50"/>
        <w:gridCol w:w="2000"/>
      </w:tblGrid>
      <w:tr>
        <w:tc>
          <w:tcPr>
            <w:tcW w:type="dxa" w:w="1800"/>
            <w:shd w:fill="2F5496" w:val="clear"/>
            <w:vAlign w:val="center"/>
          </w:tcPr>
          <w:p>
            <w:r>
              <w:rPr>
                <w:b/>
                <w:bCs/>
                <w:color w:val="FFFFFF"/>
                <w:sz w:val="20"/>
                <w:szCs w:val="20"/>
              </w:rPr>
              <w:t xml:space="preserve">external_system</w:t>
            </w:r>
          </w:p>
        </w:tc>
        <w:tc>
          <w:tcPr>
            <w:tcW w:type="dxa" w:w="1800"/>
            <w:shd w:fill="2F5496" w:val="clear"/>
            <w:vAlign w:val="center"/>
          </w:tcPr>
          <w:p>
            <w:r>
              <w:rPr>
                <w:b/>
                <w:bCs/>
                <w:color w:val="FFFFFF"/>
                <w:sz w:val="20"/>
                <w:szCs w:val="20"/>
              </w:rPr>
              <w:t xml:space="preserve">external_type</w:t>
            </w:r>
          </w:p>
        </w:tc>
        <w:tc>
          <w:tcPr>
            <w:tcW w:type="dxa" w:w="1800"/>
            <w:shd w:fill="2F5496" w:val="clear"/>
            <w:vAlign w:val="center"/>
          </w:tcPr>
          <w:p>
            <w:r>
              <w:rPr>
                <w:b/>
                <w:bCs/>
                <w:color w:val="FFFFFF"/>
                <w:sz w:val="20"/>
                <w:szCs w:val="20"/>
              </w:rPr>
              <w:t xml:space="preserve">external_state</w:t>
            </w:r>
          </w:p>
        </w:tc>
        <w:tc>
          <w:tcPr>
            <w:tcW w:type="dxa" w:w="1950"/>
            <w:shd w:fill="2F5496" w:val="clear"/>
            <w:vAlign w:val="center"/>
          </w:tcPr>
          <w:p>
            <w:r>
              <w:rPr>
                <w:b/>
                <w:bCs/>
                <w:color w:val="FFFFFF"/>
                <w:sz w:val="20"/>
                <w:szCs w:val="20"/>
              </w:rPr>
              <w:t xml:space="preserve">condition</w:t>
            </w:r>
          </w:p>
        </w:tc>
        <w:tc>
          <w:tcPr>
            <w:tcW w:type="dxa" w:w="2000"/>
            <w:shd w:fill="2F5496" w:val="clear"/>
            <w:vAlign w:val="center"/>
          </w:tcPr>
          <w:p>
            <w:r>
              <w:rPr>
                <w:b/>
                <w:bCs/>
                <w:color w:val="FFFFFF"/>
                <w:sz w:val="20"/>
                <w:szCs w:val="20"/>
              </w:rPr>
              <w:t xml:space="preserve">finban_state</w:t>
            </w:r>
          </w:p>
        </w:tc>
      </w:tr>
      <w:tr>
        <w:tc>
          <w:tcPr>
            <w:tcW w:type="dxa" w:w="1800"/>
            <w:vAlign w:val="center"/>
          </w:tcPr>
          <w:p>
            <w:r>
              <w:rPr>
                <w:b w:val="false"/>
                <w:bCs w:val="false"/>
                <w:sz w:val="18"/>
                <w:szCs w:val="18"/>
              </w:rPr>
              <w:t xml:space="preserve">lexware_office</w:t>
            </w:r>
          </w:p>
        </w:tc>
        <w:tc>
          <w:tcPr>
            <w:tcW w:type="dxa" w:w="1800"/>
            <w:vAlign w:val="center"/>
          </w:tcPr>
          <w:p>
            <w:r>
              <w:rPr>
                <w:b w:val="false"/>
                <w:bCs w:val="false"/>
                <w:sz w:val="18"/>
                <w:szCs w:val="18"/>
              </w:rPr>
              <w:t xml:space="preserve">quotation</w:t>
            </w:r>
          </w:p>
        </w:tc>
        <w:tc>
          <w:tcPr>
            <w:tcW w:type="dxa" w:w="1800"/>
            <w:vAlign w:val="center"/>
          </w:tcPr>
          <w:p>
            <w:r>
              <w:rPr>
                <w:b w:val="false"/>
                <w:bCs w:val="false"/>
                <w:sz w:val="18"/>
                <w:szCs w:val="18"/>
              </w:rPr>
              <w:t xml:space="preserve">quotation</w:t>
            </w:r>
          </w:p>
        </w:tc>
        <w:tc>
          <w:tcPr>
            <w:tcW w:type="dxa" w:w="1950"/>
            <w:vAlign w:val="center"/>
          </w:tcPr>
          <w:p>
            <w:r>
              <w:rPr>
                <w:b w:val="false"/>
                <w:bCs w:val="false"/>
                <w:sz w:val="18"/>
                <w:szCs w:val="18"/>
              </w:rPr>
              <w:t xml:space="preserve">related_invoice_value &lt; offer_value</w:t>
            </w:r>
          </w:p>
        </w:tc>
        <w:tc>
          <w:tcPr>
            <w:tcW w:type="dxa" w:w="2000"/>
            <w:vAlign w:val="center"/>
          </w:tcPr>
          <w:p>
            <w:r>
              <w:rPr>
                <w:b w:val="false"/>
                <w:bCs w:val="false"/>
                <w:sz w:val="18"/>
                <w:szCs w:val="18"/>
              </w:rPr>
              <w:t xml:space="preserve">offer.partially_calculated</w:t>
            </w:r>
          </w:p>
        </w:tc>
      </w:tr>
      <w:tr>
        <w:tc>
          <w:tcPr>
            <w:tcW w:type="dxa" w:w="1800"/>
            <w:vAlign w:val="center"/>
          </w:tcPr>
          <w:p>
            <w:r>
              <w:rPr>
                <w:b w:val="false"/>
                <w:bCs w:val="false"/>
                <w:sz w:val="18"/>
                <w:szCs w:val="18"/>
              </w:rPr>
              <w:t xml:space="preserve">lexware_office</w:t>
            </w:r>
          </w:p>
        </w:tc>
        <w:tc>
          <w:tcPr>
            <w:tcW w:type="dxa" w:w="1800"/>
            <w:vAlign w:val="center"/>
          </w:tcPr>
          <w:p>
            <w:r>
              <w:rPr>
                <w:b w:val="false"/>
                <w:bCs w:val="false"/>
                <w:sz w:val="18"/>
                <w:szCs w:val="18"/>
              </w:rPr>
              <w:t xml:space="preserve">quotation</w:t>
            </w:r>
          </w:p>
        </w:tc>
        <w:tc>
          <w:tcPr>
            <w:tcW w:type="dxa" w:w="1800"/>
            <w:vAlign w:val="center"/>
          </w:tcPr>
          <w:p>
            <w:r>
              <w:rPr>
                <w:b w:val="false"/>
                <w:bCs w:val="false"/>
                <w:sz w:val="18"/>
                <w:szCs w:val="18"/>
              </w:rPr>
              <w:t xml:space="preserve">quotation</w:t>
            </w:r>
          </w:p>
        </w:tc>
        <w:tc>
          <w:tcPr>
            <w:tcW w:type="dxa" w:w="1950"/>
            <w:vAlign w:val="center"/>
          </w:tcPr>
          <w:p>
            <w:r>
              <w:rPr>
                <w:b w:val="false"/>
                <w:bCs w:val="false"/>
                <w:sz w:val="18"/>
                <w:szCs w:val="18"/>
              </w:rPr>
              <w:t xml:space="preserve">related_invoice_value &gt;= offer_value</w:t>
            </w:r>
          </w:p>
        </w:tc>
        <w:tc>
          <w:tcPr>
            <w:tcW w:type="dxa" w:w="2000"/>
            <w:vAlign w:val="center"/>
          </w:tcPr>
          <w:p>
            <w:r>
              <w:rPr>
                <w:b w:val="false"/>
                <w:bCs w:val="false"/>
                <w:sz w:val="18"/>
                <w:szCs w:val="18"/>
              </w:rPr>
              <w:t xml:space="preserve">offer.calculated</w:t>
            </w:r>
          </w:p>
        </w:tc>
      </w:tr>
      <w:tr>
        <w:tc>
          <w:tcPr>
            <w:tcW w:type="dxa" w:w="1800"/>
            <w:vAlign w:val="center"/>
          </w:tcPr>
          <w:p>
            <w:r>
              <w:rPr>
                <w:b w:val="false"/>
                <w:bCs w:val="false"/>
                <w:sz w:val="18"/>
                <w:szCs w:val="18"/>
              </w:rPr>
              <w:t xml:space="preserve">lexware_office</w:t>
            </w:r>
          </w:p>
        </w:tc>
        <w:tc>
          <w:tcPr>
            <w:tcW w:type="dxa" w:w="1800"/>
            <w:vAlign w:val="center"/>
          </w:tcPr>
          <w:p>
            <w:r>
              <w:rPr>
                <w:b w:val="false"/>
                <w:bCs w:val="false"/>
                <w:sz w:val="18"/>
                <w:szCs w:val="18"/>
              </w:rPr>
              <w:t xml:space="preserve">voucher</w:t>
            </w:r>
          </w:p>
        </w:tc>
        <w:tc>
          <w:tcPr>
            <w:tcW w:type="dxa" w:w="1800"/>
            <w:vAlign w:val="center"/>
          </w:tcPr>
          <w:p>
            <w:r>
              <w:rPr>
                <w:b w:val="false"/>
                <w:bCs w:val="false"/>
                <w:sz w:val="18"/>
                <w:szCs w:val="18"/>
              </w:rPr>
              <w:t xml:space="preserve">purchase invoice</w:t>
            </w:r>
          </w:p>
        </w:tc>
        <w:tc>
          <w:tcPr>
            <w:tcW w:type="dxa" w:w="1950"/>
            <w:vAlign w:val="center"/>
          </w:tcPr>
          <w:p>
            <w:r>
              <w:rPr>
                <w:b w:val="false"/>
                <w:bCs w:val="false"/>
                <w:sz w:val="18"/>
                <w:szCs w:val="18"/>
              </w:rPr>
              <w:t xml:space="preserve">(none)</w:t>
            </w:r>
          </w:p>
        </w:tc>
        <w:tc>
          <w:tcPr>
            <w:tcW w:type="dxa" w:w="2000"/>
            <w:vAlign w:val="center"/>
          </w:tcPr>
          <w:p>
            <w:r>
              <w:rPr>
                <w:b w:val="false"/>
                <w:bCs w:val="false"/>
                <w:sz w:val="18"/>
                <w:szCs w:val="18"/>
              </w:rPr>
              <w:t xml:space="preserve">purchase_invoice.draft_open</w:t>
            </w:r>
          </w:p>
        </w:tc>
      </w:tr>
    </w:tbl>
    <w:p>
      <w:pPr>
        <w:spacing w:after="150"/>
      </w:pPr>
    </w:p>
    <w:p>
      <w:pPr>
        <w:spacing w:after="150"/>
      </w:pPr>
      <w:r>
        <w:t xml:space="preserve">This lets you add a new external system by inserting rows, not shipping code — and gives you a single place to answer "why is this record in this state" (see §3.5).</w:t>
      </w:r>
    </w:p>
    <w:p>
      <w:pPr>
        <w:pStyle w:val="Heading2"/>
        <w:spacing w:after="150" w:before="300"/>
      </w:pPr>
      <w:r>
        <w:t xml:space="preserve">3.4 Handling conditional / derived states</w:t>
      </w:r>
    </w:p>
    <w:p>
      <w:pPr>
        <w:spacing w:after="150"/>
      </w:pPr>
      <w:r>
        <w:t xml:space="preserve">Represent each conditional rule as a small named predicate (pure function, unit-testable in isolation) referenced by the mapping row rather than inlined:</w:t>
      </w:r>
    </w:p>
    <w:p>
      <w:pPr>
        <w:pStyle w:val="ListParagraph"/>
        <w:numPr>
          <w:ilvl w:val="0"/>
          <w:numId w:val="3"/>
        </w:numPr>
        <w:spacing w:after="60"/>
      </w:pPr>
      <w:r>
        <w:t xml:space="preserve">offer_calculated_vs_partial(offer, related_invoices) → compares summed related invoice gross value to offer value</w:t>
      </w:r>
    </w:p>
    <w:p>
      <w:pPr>
        <w:pStyle w:val="ListParagraph"/>
        <w:numPr>
          <w:ilvl w:val="0"/>
          <w:numId w:val="3"/>
        </w:numPr>
        <w:spacing w:after="60"/>
      </w:pPr>
      <w:r>
        <w:t xml:space="preserve">order_archived_settlement(order, related_invoices) → same shape for order confirmations' archived + settlement-ratio rows</w:t>
      </w:r>
    </w:p>
    <w:p>
      <w:pPr>
        <w:pStyle w:val="ListParagraph"/>
        <w:numPr>
          <w:ilvl w:val="0"/>
          <w:numId w:val="3"/>
        </w:numPr>
        <w:spacing w:after="60"/>
      </w:pPr>
      <w:r>
        <w:t xml:space="preserve">Predicates take only the fields they need, are side-effect free, and are evaluated in the order rows appear for a given (system, type, external_state) tuple; first match wins, with a required fallback row per type so nothing silently falls through.</w:t>
      </w:r>
    </w:p>
    <w:p>
      <w:pPr>
        <w:pStyle w:val="Heading2"/>
        <w:spacing w:after="150" w:before="300"/>
      </w:pPr>
      <w:r>
        <w:t xml:space="preserve">3.5 Traceability</w:t>
      </w:r>
    </w:p>
    <w:p>
      <w:pPr>
        <w:spacing w:after="150"/>
      </w:pPr>
      <w:r>
        <w:t xml:space="preserve">Every normalized state write stores the source event id, the external raw state string, and which mapping rule (row id + predicate name, if any) produced it. This turns "why does finban say this is calculated" into a lookup, not an investigation — and it's the detail most candidates skip.</w:t>
      </w:r>
    </w:p>
    <w:p>
      <w:pPr>
        <w:spacing w:after="150"/>
      </w:pPr>
    </w:p>
    <w:p>
      <w:pPr>
        <w:pStyle w:val="Heading1"/>
        <w:spacing w:after="200" w:before="400"/>
      </w:pPr>
      <w:r>
        <w:t xml:space="preserve">4. Build plan (what I'd expect a strong candidate to actually do)</w:t>
      </w:r>
    </w:p>
    <w:p>
      <w:pPr>
        <w:pStyle w:val="Heading2"/>
        <w:spacing w:after="150" w:before="300"/>
      </w:pPr>
      <w:r>
        <w:t xml:space="preserve">Step 1 — Model the domain before touching any API</w:t>
      </w:r>
    </w:p>
    <w:p>
      <w:pPr>
        <w:spacing w:after="150"/>
      </w:pPr>
      <w:r>
        <w:t xml:space="preserve">Write the canonical state machines for each entity (Lead, Offer, Order, Sales Invoice, Credit Note, Bank Transaction) as explicit enums + allowed transitions, derived purely by reading the spreadsheet's finban_type/state columns — before looking at how Lexware Office represents anything. This ordering matters: it's the difference between designing a canonical model and just cloning the vendor's model.</w:t>
      </w:r>
    </w:p>
    <w:p>
      <w:pPr>
        <w:pStyle w:val="Heading2"/>
        <w:spacing w:after="150" w:before="300"/>
      </w:pPr>
      <w:r>
        <w:t xml:space="preserve">Step 2 — Build the mapping table + predicate registry</w:t>
      </w:r>
    </w:p>
    <w:p>
      <w:pPr>
        <w:spacing w:after="150"/>
      </w:pPr>
      <w:r>
        <w:t xml:space="preserve">Encode every row from the sheet as data (see §3.3). Implement the handful of predicates as pure functions with unit tests covering both branches of each conditional (e.g. offer value above/below/equal to related invoice value).</w:t>
      </w:r>
    </w:p>
    <w:p>
      <w:pPr>
        <w:pStyle w:val="Heading2"/>
        <w:spacing w:after="150" w:before="300"/>
      </w:pPr>
      <w:r>
        <w:t xml:space="preserve">Step 3 — Build the Lexware Office adapter</w:t>
      </w:r>
    </w:p>
    <w:p>
      <w:pPr>
        <w:spacing w:after="150"/>
      </w:pPr>
      <w:r>
        <w:t xml:space="preserve">A thin client wrapping /v1/voucherlist/, /v1/quotations/, /v1/invoices/, /v1/order-confirmations/, /v1/down-payment-invoices/. Adapter responsibilities: pagination, auth/token refresh, rate-limit backoff, and translating the vendor's raw JSON into a neutral "external event" shape (system, type, state, amounts, flags, timestamp) — nothing more. No mapping logic lives here.</w:t>
      </w:r>
    </w:p>
    <w:p>
      <w:pPr>
        <w:pStyle w:val="Heading2"/>
        <w:spacing w:after="150" w:before="300"/>
      </w:pPr>
      <w:r>
        <w:t xml:space="preserve">Step 4 — Normalization engine</w:t>
      </w:r>
    </w:p>
    <w:p>
      <w:pPr>
        <w:spacing w:after="150"/>
      </w:pPr>
      <w:r>
        <w:t xml:space="preserve">Given an external event, look up candidate mapping rows for (system, type, state), evaluate predicates in order, apply the first match (or the fallback), and emit a canonical state-change record with full provenance (source event id, rule id).</w:t>
      </w:r>
    </w:p>
    <w:p>
      <w:pPr>
        <w:pStyle w:val="Heading2"/>
        <w:spacing w:after="150" w:before="300"/>
      </w:pPr>
      <w:r>
        <w:t xml:space="preserve">Step 5 — Idempotency and ordering</w:t>
      </w:r>
    </w:p>
    <w:p>
      <w:pPr>
        <w:spacing w:after="150"/>
      </w:pPr>
      <w:r>
        <w:t xml:space="preserve">External systems will redeliver events and can deliver out of order. Dedupe on (system, external_id, external_updated_at) and reject/park state transitions that would move a finban entity backward unless explicitly allowed (e.g. a paid invoice later voided is a legitimate backward-looking transition; make that an explicit rule, not an accident of processing order).</w:t>
      </w:r>
    </w:p>
    <w:p>
      <w:pPr>
        <w:pStyle w:val="Heading2"/>
        <w:spacing w:after="150" w:before="300"/>
      </w:pPr>
      <w:r>
        <w:t xml:space="preserve">Step 6 — Publish + notify</w:t>
      </w:r>
    </w:p>
    <w:p>
      <w:pPr>
        <w:spacing w:after="150"/>
      </w:pPr>
      <w:r>
        <w:t xml:space="preserve">Persist canonical state, emit a domain event per change, and expose a query API for "current finban state + full provenance trail" per entity.</w:t>
      </w:r>
    </w:p>
    <w:p>
      <w:pPr>
        <w:spacing w:after="150"/>
      </w:pPr>
    </w:p>
    <w:p>
      <w:pPr>
        <w:pStyle w:val="Heading1"/>
        <w:spacing w:after="200" w:before="400"/>
      </w:pPr>
      <w:r>
        <w:t xml:space="preserve">5. Tech stack (what I'd use, and what I'd accept)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25"/>
        <w:gridCol w:w="3425"/>
      </w:tblGrid>
      <w:tr>
        <w:tc>
          <w:tcPr>
            <w:tcW w:type="dxa" w:w="2500"/>
            <w:shd w:fill="2F5496" w:val="clear"/>
            <w:vAlign w:val="center"/>
          </w:tcPr>
          <w:p>
            <w:r>
              <w:rPr>
                <w:b/>
                <w:bCs/>
                <w:color w:val="FFFFFF"/>
                <w:sz w:val="20"/>
                <w:szCs w:val="20"/>
              </w:rPr>
              <w:t xml:space="preserve">Layer</w:t>
            </w:r>
          </w:p>
        </w:tc>
        <w:tc>
          <w:tcPr>
            <w:tcW w:type="dxa" w:w="3425"/>
            <w:shd w:fill="2F5496" w:val="clear"/>
            <w:vAlign w:val="center"/>
          </w:tcPr>
          <w:p>
            <w:r>
              <w:rPr>
                <w:b/>
                <w:bCs/>
                <w:color w:val="FFFFFF"/>
                <w:sz w:val="20"/>
                <w:szCs w:val="20"/>
              </w:rPr>
              <w:t xml:space="preserve">My pick</w:t>
            </w:r>
          </w:p>
        </w:tc>
        <w:tc>
          <w:tcPr>
            <w:tcW w:type="dxa" w:w="3425"/>
            <w:shd w:fill="2F5496" w:val="clear"/>
            <w:vAlign w:val="center"/>
          </w:tcPr>
          <w:p>
            <w:r>
              <w:rPr>
                <w:b/>
                <w:bCs/>
                <w:color w:val="FFFFFF"/>
                <w:sz w:val="20"/>
                <w:szCs w:val="20"/>
              </w:rPr>
              <w:t xml:space="preserve">Also acceptable</w:t>
            </w:r>
          </w:p>
        </w:tc>
      </w:tr>
      <w:tr>
        <w:tc>
          <w:tcPr>
            <w:tcW w:type="dxa" w:w="2500"/>
            <w:vAlign w:val="center"/>
          </w:tcPr>
          <w:p>
            <w:r>
              <w:rPr>
                <w:b w:val="false"/>
                <w:bCs w:val="false"/>
                <w:sz w:val="20"/>
                <w:szCs w:val="20"/>
              </w:rPr>
              <w:t xml:space="preserve">Language/runtime</w:t>
            </w:r>
          </w:p>
        </w:tc>
        <w:tc>
          <w:tcPr>
            <w:tcW w:type="dxa" w:w="3425"/>
            <w:vAlign w:val="center"/>
          </w:tcPr>
          <w:p>
            <w:r>
              <w:rPr>
                <w:b w:val="false"/>
                <w:bCs w:val="false"/>
                <w:sz w:val="18"/>
                <w:szCs w:val="18"/>
              </w:rPr>
              <w:t xml:space="preserve">Python (FastAPI) or Node/TypeScript</w:t>
            </w:r>
          </w:p>
        </w:tc>
        <w:tc>
          <w:tcPr>
            <w:tcW w:type="dxa" w:w="3425"/>
            <w:vAlign w:val="center"/>
          </w:tcPr>
          <w:p>
            <w:r>
              <w:rPr>
                <w:b w:val="false"/>
                <w:bCs w:val="false"/>
                <w:sz w:val="18"/>
                <w:szCs w:val="18"/>
              </w:rPr>
              <w:t xml:space="preserve">Java/Kotlin/Go — fine if state machine + predicates stay explicit and testable</w:t>
            </w:r>
          </w:p>
        </w:tc>
      </w:tr>
      <w:tr>
        <w:tc>
          <w:tcPr>
            <w:tcW w:type="dxa" w:w="2500"/>
            <w:vAlign w:val="center"/>
          </w:tcPr>
          <w:p>
            <w:r>
              <w:rPr>
                <w:b w:val="false"/>
                <w:bCs w:val="false"/>
                <w:sz w:val="20"/>
                <w:szCs w:val="20"/>
              </w:rPr>
              <w:t xml:space="preserve">Mapping table storage</w:t>
            </w:r>
          </w:p>
        </w:tc>
        <w:tc>
          <w:tcPr>
            <w:tcW w:type="dxa" w:w="3425"/>
            <w:vAlign w:val="center"/>
          </w:tcPr>
          <w:p>
            <w:r>
              <w:rPr>
                <w:b w:val="false"/>
                <w:bCs w:val="false"/>
                <w:sz w:val="18"/>
                <w:szCs w:val="18"/>
              </w:rPr>
              <w:t xml:space="preserve">Postgres table, versioned, seed-loaded from the spreadsheet at build time</w:t>
            </w:r>
          </w:p>
        </w:tc>
        <w:tc>
          <w:tcPr>
            <w:tcW w:type="dxa" w:w="3425"/>
            <w:vAlign w:val="center"/>
          </w:tcPr>
          <w:p>
            <w:r>
              <w:rPr>
                <w:b w:val="false"/>
                <w:bCs w:val="false"/>
                <w:sz w:val="18"/>
                <w:szCs w:val="18"/>
              </w:rPr>
              <w:t xml:space="preserve">YAML/JSON config file if the team is small and change frequency is low</w:t>
            </w:r>
          </w:p>
        </w:tc>
      </w:tr>
      <w:tr>
        <w:tc>
          <w:tcPr>
            <w:tcW w:type="dxa" w:w="2500"/>
            <w:vAlign w:val="center"/>
          </w:tcPr>
          <w:p>
            <w:r>
              <w:rPr>
                <w:b w:val="false"/>
                <w:bCs w:val="false"/>
                <w:sz w:val="20"/>
                <w:szCs w:val="20"/>
              </w:rPr>
              <w:t xml:space="preserve">Ingestion</w:t>
            </w:r>
          </w:p>
        </w:tc>
        <w:tc>
          <w:tcPr>
            <w:tcW w:type="dxa" w:w="3425"/>
            <w:vAlign w:val="center"/>
          </w:tcPr>
          <w:p>
            <w:r>
              <w:rPr>
                <w:b w:val="false"/>
                <w:bCs w:val="false"/>
                <w:sz w:val="18"/>
                <w:szCs w:val="18"/>
              </w:rPr>
              <w:t xml:space="preserve">Scheduled poll (Lexware Office has no webhooks in most tiers) into a queue (SQS/RabbitMQ)</w:t>
            </w:r>
          </w:p>
        </w:tc>
        <w:tc>
          <w:tcPr>
            <w:tcW w:type="dxa" w:w="3425"/>
            <w:vAlign w:val="center"/>
          </w:tcPr>
          <w:p>
            <w:r>
              <w:rPr>
                <w:b w:val="false"/>
                <w:bCs w:val="false"/>
                <w:sz w:val="18"/>
                <w:szCs w:val="18"/>
              </w:rPr>
              <w:t xml:space="preserve">Webhook receiver if the vendor tier supports it</w:t>
            </w:r>
          </w:p>
        </w:tc>
      </w:tr>
      <w:tr>
        <w:tc>
          <w:tcPr>
            <w:tcW w:type="dxa" w:w="2500"/>
            <w:vAlign w:val="center"/>
          </w:tcPr>
          <w:p>
            <w:r>
              <w:rPr>
                <w:b w:val="false"/>
                <w:bCs w:val="false"/>
                <w:sz w:val="20"/>
                <w:szCs w:val="20"/>
              </w:rPr>
              <w:t xml:space="preserve">Event bus</w:t>
            </w:r>
          </w:p>
        </w:tc>
        <w:tc>
          <w:tcPr>
            <w:tcW w:type="dxa" w:w="3425"/>
            <w:vAlign w:val="center"/>
          </w:tcPr>
          <w:p>
            <w:r>
              <w:rPr>
                <w:b w:val="false"/>
                <w:bCs w:val="false"/>
                <w:sz w:val="18"/>
                <w:szCs w:val="18"/>
              </w:rPr>
              <w:t xml:space="preserve">SQS + SNS, or Kafka if scale warrants it</w:t>
            </w:r>
          </w:p>
        </w:tc>
        <w:tc>
          <w:tcPr>
            <w:tcW w:type="dxa" w:w="3425"/>
            <w:vAlign w:val="center"/>
          </w:tcPr>
          <w:p>
            <w:r>
              <w:rPr>
                <w:b w:val="false"/>
                <w:bCs w:val="false"/>
                <w:sz w:val="18"/>
                <w:szCs w:val="18"/>
              </w:rPr>
              <w:t xml:space="preserve">Simple DB outbox table if this is a small internal tool</w:t>
            </w:r>
          </w:p>
        </w:tc>
      </w:tr>
      <w:tr>
        <w:tc>
          <w:tcPr>
            <w:tcW w:type="dxa" w:w="2500"/>
            <w:vAlign w:val="center"/>
          </w:tcPr>
          <w:p>
            <w:r>
              <w:rPr>
                <w:b w:val="false"/>
                <w:bCs w:val="false"/>
                <w:sz w:val="20"/>
                <w:szCs w:val="20"/>
              </w:rPr>
              <w:t xml:space="preserve">Testing</w:t>
            </w:r>
          </w:p>
        </w:tc>
        <w:tc>
          <w:tcPr>
            <w:tcW w:type="dxa" w:w="3425"/>
            <w:vAlign w:val="center"/>
          </w:tcPr>
          <w:p>
            <w:r>
              <w:rPr>
                <w:b w:val="false"/>
                <w:bCs w:val="false"/>
                <w:sz w:val="18"/>
                <w:szCs w:val="18"/>
              </w:rPr>
              <w:t xml:space="preserve">pytest / vitest for unit + contract tests; recorded API fixtures (VCR-style)</w:t>
            </w:r>
          </w:p>
        </w:tc>
        <w:tc>
          <w:tcPr>
            <w:tcW w:type="dxa" w:w="3425"/>
            <w:vAlign w:val="center"/>
          </w:tcPr>
          <w:p>
            <w:r>
              <w:rPr>
                <w:b w:val="false"/>
                <w:bCs w:val="false"/>
                <w:sz w:val="18"/>
                <w:szCs w:val="18"/>
              </w:rPr>
              <w:t xml:space="preserve">Any framework — the fixtures-over-live-calls pattern is what matters</w:t>
            </w:r>
          </w:p>
        </w:tc>
      </w:tr>
      <w:tr>
        <w:tc>
          <w:tcPr>
            <w:tcW w:type="dxa" w:w="2500"/>
            <w:vAlign w:val="center"/>
          </w:tcPr>
          <w:p>
            <w:r>
              <w:rPr>
                <w:b w:val="false"/>
                <w:bCs w:val="false"/>
                <w:sz w:val="20"/>
                <w:szCs w:val="20"/>
              </w:rPr>
              <w:t xml:space="preserve">CI/CD</w:t>
            </w:r>
          </w:p>
        </w:tc>
        <w:tc>
          <w:tcPr>
            <w:tcW w:type="dxa" w:w="3425"/>
            <w:vAlign w:val="center"/>
          </w:tcPr>
          <w:p>
            <w:r>
              <w:rPr>
                <w:b w:val="false"/>
                <w:bCs w:val="false"/>
                <w:sz w:val="18"/>
                <w:szCs w:val="18"/>
              </w:rPr>
              <w:t xml:space="preserve">GitHub Actions → build, test, lint → deploy</w:t>
            </w:r>
          </w:p>
        </w:tc>
        <w:tc>
          <w:tcPr>
            <w:tcW w:type="dxa" w:w="3425"/>
            <w:vAlign w:val="center"/>
          </w:tcPr>
          <w:p>
            <w:r>
              <w:rPr>
                <w:b w:val="false"/>
                <w:bCs w:val="false"/>
                <w:sz w:val="18"/>
                <w:szCs w:val="18"/>
              </w:rPr>
              <w:t xml:space="preserve">GitLab CI, CircleCI — whatever the org already uses</w:t>
            </w:r>
          </w:p>
        </w:tc>
      </w:tr>
      <w:tr>
        <w:tc>
          <w:tcPr>
            <w:tcW w:type="dxa" w:w="2500"/>
            <w:vAlign w:val="center"/>
          </w:tcPr>
          <w:p>
            <w:r>
              <w:rPr>
                <w:b w:val="false"/>
                <w:bCs w:val="false"/>
                <w:sz w:val="20"/>
                <w:szCs w:val="20"/>
              </w:rPr>
              <w:t xml:space="preserve">Deploy target</w:t>
            </w:r>
          </w:p>
        </w:tc>
        <w:tc>
          <w:tcPr>
            <w:tcW w:type="dxa" w:w="3425"/>
            <w:vAlign w:val="center"/>
          </w:tcPr>
          <w:p>
            <w:r>
              <w:rPr>
                <w:b w:val="false"/>
                <w:bCs w:val="false"/>
                <w:sz w:val="18"/>
                <w:szCs w:val="18"/>
              </w:rPr>
              <w:t xml:space="preserve">Containerized (Docker) on ECS/Fargate or Kubernetes</w:t>
            </w:r>
          </w:p>
        </w:tc>
        <w:tc>
          <w:tcPr>
            <w:tcW w:type="dxa" w:w="3425"/>
            <w:vAlign w:val="center"/>
          </w:tcPr>
          <w:p>
            <w:r>
              <w:rPr>
                <w:b w:val="false"/>
                <w:bCs w:val="false"/>
                <w:sz w:val="18"/>
                <w:szCs w:val="18"/>
              </w:rPr>
              <w:t xml:space="preserve">Simple VM/systemd service if the volume is low</w:t>
            </w:r>
          </w:p>
        </w:tc>
      </w:tr>
      <w:tr>
        <w:tc>
          <w:tcPr>
            <w:tcW w:type="dxa" w:w="2500"/>
            <w:vAlign w:val="center"/>
          </w:tcPr>
          <w:p>
            <w:r>
              <w:rPr>
                <w:b w:val="false"/>
                <w:bCs w:val="false"/>
                <w:sz w:val="20"/>
                <w:szCs w:val="20"/>
              </w:rPr>
              <w:t xml:space="preserve">Observability</w:t>
            </w:r>
          </w:p>
        </w:tc>
        <w:tc>
          <w:tcPr>
            <w:tcW w:type="dxa" w:w="3425"/>
            <w:vAlign w:val="center"/>
          </w:tcPr>
          <w:p>
            <w:r>
              <w:rPr>
                <w:b w:val="false"/>
                <w:bCs w:val="false"/>
                <w:sz w:val="18"/>
                <w:szCs w:val="18"/>
              </w:rPr>
              <w:t xml:space="preserve">Structured logs + a dashboard on mapping-rule hit counts and "fallback rule" hits (signals a gap in the mapping table)</w:t>
            </w:r>
          </w:p>
        </w:tc>
        <w:tc>
          <w:tcPr>
            <w:tcW w:type="dxa" w:w="3425"/>
            <w:vAlign w:val="center"/>
          </w:tcPr>
          <w:p>
            <w:r>
              <w:rPr>
                <w:b w:val="false"/>
                <w:bCs w:val="false"/>
                <w:sz w:val="18"/>
                <w:szCs w:val="18"/>
              </w:rPr>
              <w:t xml:space="preserve">At minimum: alerting when the fallback/default rule fires, since that means an unmapped external state appeared</w:t>
            </w:r>
          </w:p>
        </w:tc>
      </w:tr>
    </w:tbl>
    <w:p>
      <w:pPr>
        <w:spacing w:after="150"/>
      </w:pPr>
    </w:p>
    <w:p>
      <w:pPr>
        <w:pStyle w:val="Heading1"/>
        <w:spacing w:after="200" w:before="400"/>
      </w:pPr>
      <w:r>
        <w:t xml:space="preserve">6. Testing strategy</w:t>
      </w:r>
    </w:p>
    <w:p>
      <w:pPr>
        <w:pStyle w:val="Heading2"/>
        <w:spacing w:after="150" w:before="300"/>
      </w:pPr>
      <w:r>
        <w:t xml:space="preserve">6.1 Unit tests</w:t>
      </w:r>
    </w:p>
    <w:p>
      <w:pPr>
        <w:pStyle w:val="ListParagraph"/>
        <w:numPr>
          <w:ilvl w:val="0"/>
          <w:numId w:val="3"/>
        </w:numPr>
        <w:spacing w:after="60"/>
      </w:pPr>
      <w:r>
        <w:t xml:space="preserve">Every predicate function: both branches of every conditional row in the sheet (e.g. offer value strictly below, equal to, and above related invoice value).</w:t>
      </w:r>
    </w:p>
    <w:p>
      <w:pPr>
        <w:pStyle w:val="ListParagraph"/>
        <w:numPr>
          <w:ilvl w:val="0"/>
          <w:numId w:val="3"/>
        </w:numPr>
        <w:spacing w:after="60"/>
      </w:pPr>
      <w:r>
        <w:t xml:space="preserve">Mapping resolution: given a raw external event, assert the correct finban state and correct rule id is returned — one test per row in the source spreadsheet, generated programmatically from the table so coverage is provably complete.</w:t>
      </w:r>
    </w:p>
    <w:p>
      <w:pPr>
        <w:pStyle w:val="Heading2"/>
        <w:spacing w:after="150" w:before="300"/>
      </w:pPr>
      <w:r>
        <w:t xml:space="preserve">6.2 Contract tests against Lexware Office</w:t>
      </w:r>
    </w:p>
    <w:p>
      <w:pPr>
        <w:pStyle w:val="ListParagraph"/>
        <w:numPr>
          <w:ilvl w:val="0"/>
          <w:numId w:val="3"/>
        </w:numPr>
        <w:spacing w:after="60"/>
      </w:pPr>
      <w:r>
        <w:t xml:space="preserve">Record real API responses (sanitized) as fixtures once; replay them in CI so tests don't depend on live vendor calls or credentials.</w:t>
      </w:r>
    </w:p>
    <w:p>
      <w:pPr>
        <w:pStyle w:val="ListParagraph"/>
        <w:numPr>
          <w:ilvl w:val="0"/>
          <w:numId w:val="3"/>
        </w:numPr>
        <w:spacing w:after="60"/>
      </w:pPr>
      <w:r>
        <w:t xml:space="preserve">Add a canary test that periodically calls the real API in a lower environment to catch vendor schema drift — separate from the main CI suite so it doesn't block merges on vendor flakiness.</w:t>
      </w:r>
    </w:p>
    <w:p>
      <w:pPr>
        <w:pStyle w:val="Heading2"/>
        <w:spacing w:after="150" w:before="300"/>
      </w:pPr>
      <w:r>
        <w:t xml:space="preserve">6.3 Idempotency / ordering tests</w:t>
      </w:r>
    </w:p>
    <w:p>
      <w:pPr>
        <w:pStyle w:val="ListParagraph"/>
        <w:numPr>
          <w:ilvl w:val="0"/>
          <w:numId w:val="3"/>
        </w:numPr>
        <w:spacing w:after="60"/>
      </w:pPr>
      <w:r>
        <w:t xml:space="preserve">Feed the same event twice → no duplicate state change or side effects.</w:t>
      </w:r>
    </w:p>
    <w:p>
      <w:pPr>
        <w:pStyle w:val="ListParagraph"/>
        <w:numPr>
          <w:ilvl w:val="0"/>
          <w:numId w:val="3"/>
        </w:numPr>
        <w:spacing w:after="60"/>
      </w:pPr>
      <w:r>
        <w:t xml:space="preserve">Feed events out of order → verify backward-transition guardrails behave as designed (rejected, parked, or explicitly allowed per the rule).</w:t>
      </w:r>
    </w:p>
    <w:p>
      <w:pPr>
        <w:pStyle w:val="Heading2"/>
        <w:spacing w:after="150" w:before="300"/>
      </w:pPr>
      <w:r>
        <w:t xml:space="preserve">6.4 Regression safety net</w:t>
      </w:r>
    </w:p>
    <w:p>
      <w:pPr>
        <w:pStyle w:val="ListParagraph"/>
        <w:numPr>
          <w:ilvl w:val="0"/>
          <w:numId w:val="3"/>
        </w:numPr>
        <w:spacing w:after="60"/>
      </w:pPr>
      <w:r>
        <w:t xml:space="preserve">Snapshot test: run the entire source spreadsheet through the engine and assert the output matches a checked-in expected-results file — this is the fastest way to catch an accidental mapping regression when someone edits a rule.</w:t>
      </w:r>
    </w:p>
    <w:p>
      <w:pPr>
        <w:spacing w:after="150"/>
      </w:pPr>
    </w:p>
    <w:p>
      <w:pPr>
        <w:pStyle w:val="Heading1"/>
        <w:spacing w:after="200" w:before="400"/>
      </w:pPr>
      <w:r>
        <w:t xml:space="preserve">7. Deployment</w:t>
      </w:r>
    </w:p>
    <w:p>
      <w:pPr>
        <w:pStyle w:val="ListParagraph"/>
        <w:numPr>
          <w:ilvl w:val="0"/>
          <w:numId w:val="2"/>
        </w:numPr>
        <w:spacing w:after="60"/>
      </w:pPr>
      <w:r>
        <w:t xml:space="preserve">PR merges to main trigger CI: lint, unit tests, mapping-table completeness check (every external state in the connector's known vocabulary has a matching rule or explicit fallback).</w:t>
      </w:r>
    </w:p>
    <w:p>
      <w:pPr>
        <w:pStyle w:val="ListParagraph"/>
        <w:numPr>
          <w:ilvl w:val="0"/>
          <w:numId w:val="2"/>
        </w:numPr>
        <w:spacing w:after="60"/>
      </w:pPr>
      <w:r>
        <w:t xml:space="preserve">Build container image, tag with commit SHA, push to registry.</w:t>
      </w:r>
    </w:p>
    <w:p>
      <w:pPr>
        <w:pStyle w:val="ListParagraph"/>
        <w:numPr>
          <w:ilvl w:val="0"/>
          <w:numId w:val="2"/>
        </w:numPr>
        <w:spacing w:after="60"/>
      </w:pPr>
      <w:r>
        <w:t xml:space="preserve">Deploy to staging automatically; run contract tests against a Lexware Office sandbox account if one exists.</w:t>
      </w:r>
    </w:p>
    <w:p>
      <w:pPr>
        <w:pStyle w:val="ListParagraph"/>
        <w:numPr>
          <w:ilvl w:val="0"/>
          <w:numId w:val="2"/>
        </w:numPr>
        <w:spacing w:after="60"/>
      </w:pPr>
      <w:r>
        <w:t xml:space="preserve">Manual promotion to production (or automatic with a canary/rollback gate) given this touches financial state.</w:t>
      </w:r>
    </w:p>
    <w:p>
      <w:pPr>
        <w:pStyle w:val="ListParagraph"/>
        <w:numPr>
          <w:ilvl w:val="0"/>
          <w:numId w:val="2"/>
        </w:numPr>
        <w:spacing w:after="60"/>
      </w:pPr>
      <w:r>
        <w:t xml:space="preserve">Post-deploy: watch the fallback-rule-hit metric for a spike, which would indicate a real-world external state the mapping table doesn't cover yet.</w:t>
      </w:r>
    </w:p>
    <w:p>
      <w:pPr>
        <w:spacing w:after="150"/>
      </w:pPr>
    </w:p>
    <w:p>
      <w:pPr>
        <w:pStyle w:val="Heading1"/>
        <w:spacing w:after="200" w:before="400"/>
      </w:pPr>
      <w:r>
        <w:t xml:space="preserve">8. Evaluation rubric for candidate submissions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175"/>
        <w:gridCol w:w="3175"/>
      </w:tblGrid>
      <w:tr>
        <w:tc>
          <w:tcPr>
            <w:tcW w:type="dxa" w:w="3000"/>
            <w:shd w:fill="2F5496" w:val="clear"/>
            <w:vAlign w:val="center"/>
          </w:tcPr>
          <w:p>
            <w:r>
              <w:rPr>
                <w:b/>
                <w:bCs/>
                <w:color w:val="FFFFFF"/>
                <w:sz w:val="20"/>
                <w:szCs w:val="20"/>
              </w:rPr>
              <w:t xml:space="preserve">Signal</w:t>
            </w:r>
          </w:p>
        </w:tc>
        <w:tc>
          <w:tcPr>
            <w:tcW w:type="dxa" w:w="3175"/>
            <w:shd w:fill="2F5496" w:val="clear"/>
            <w:vAlign w:val="center"/>
          </w:tcPr>
          <w:p>
            <w:r>
              <w:rPr>
                <w:b/>
                <w:bCs/>
                <w:color w:val="FFFFFF"/>
                <w:sz w:val="20"/>
                <w:szCs w:val="20"/>
              </w:rPr>
              <w:t xml:space="preserve">Weak answer</w:t>
            </w:r>
          </w:p>
        </w:tc>
        <w:tc>
          <w:tcPr>
            <w:tcW w:type="dxa" w:w="3175"/>
            <w:shd w:fill="2F5496" w:val="clear"/>
            <w:vAlign w:val="center"/>
          </w:tcPr>
          <w:p>
            <w:r>
              <w:rPr>
                <w:b/>
                <w:bCs/>
                <w:color w:val="FFFFFF"/>
                <w:sz w:val="20"/>
                <w:szCs w:val="20"/>
              </w:rPr>
              <w:t xml:space="preserve">Strong answer</w:t>
            </w:r>
          </w:p>
        </w:tc>
      </w:tr>
      <w:tr>
        <w:tc>
          <w:tcPr>
            <w:tcW w:type="dxa" w:w="3000"/>
            <w:vAlign w:val="center"/>
          </w:tcPr>
          <w:p>
            <w:r>
              <w:rPr>
                <w:b w:val="false"/>
                <w:bCs w:val="false"/>
                <w:sz w:val="20"/>
                <w:szCs w:val="20"/>
              </w:rPr>
              <w:t xml:space="preserve">Handling conditional rows</w:t>
            </w:r>
          </w:p>
        </w:tc>
        <w:tc>
          <w:tcPr>
            <w:tcW w:type="dxa" w:w="3175"/>
            <w:vAlign w:val="center"/>
          </w:tcPr>
          <w:p>
            <w:r>
              <w:rPr>
                <w:b w:val="false"/>
                <w:bCs w:val="false"/>
                <w:sz w:val="18"/>
                <w:szCs w:val="18"/>
              </w:rPr>
              <w:t xml:space="preserve">Treats every row as a flat 1:1 lookup; ignores or hand-waves the value-comparison rows</w:t>
            </w:r>
          </w:p>
        </w:tc>
        <w:tc>
          <w:tcPr>
            <w:tcW w:type="dxa" w:w="3175"/>
            <w:vAlign w:val="center"/>
          </w:tcPr>
          <w:p>
            <w:r>
              <w:rPr>
                <w:b w:val="false"/>
                <w:bCs w:val="false"/>
                <w:sz w:val="18"/>
                <w:szCs w:val="18"/>
              </w:rPr>
              <w:t xml:space="preserve">Explicitly calls out which rows are conditional and proposes a predicate-based design</w:t>
            </w:r>
          </w:p>
        </w:tc>
      </w:tr>
      <w:tr>
        <w:tc>
          <w:tcPr>
            <w:tcW w:type="dxa" w:w="3000"/>
            <w:vAlign w:val="center"/>
          </w:tcPr>
          <w:p>
            <w:r>
              <w:rPr>
                <w:b w:val="false"/>
                <w:bCs w:val="false"/>
                <w:sz w:val="20"/>
                <w:szCs w:val="20"/>
              </w:rPr>
              <w:t xml:space="preserve">Extensibility</w:t>
            </w:r>
          </w:p>
        </w:tc>
        <w:tc>
          <w:tcPr>
            <w:tcW w:type="dxa" w:w="3175"/>
            <w:vAlign w:val="center"/>
          </w:tcPr>
          <w:p>
            <w:r>
              <w:rPr>
                <w:b w:val="false"/>
                <w:bCs w:val="false"/>
                <w:sz w:val="18"/>
                <w:szCs w:val="18"/>
              </w:rPr>
              <w:t xml:space="preserve">Hardcodes Lexware Office's vocabulary into the core model</w:t>
            </w:r>
          </w:p>
        </w:tc>
        <w:tc>
          <w:tcPr>
            <w:tcW w:type="dxa" w:w="3175"/>
            <w:vAlign w:val="center"/>
          </w:tcPr>
          <w:p>
            <w:r>
              <w:rPr>
                <w:b w:val="false"/>
                <w:bCs w:val="false"/>
                <w:sz w:val="18"/>
                <w:szCs w:val="18"/>
              </w:rPr>
              <w:t xml:space="preserve">Separates canonical model from vendor adapter; adding a system is additive</w:t>
            </w:r>
          </w:p>
        </w:tc>
      </w:tr>
      <w:tr>
        <w:tc>
          <w:tcPr>
            <w:tcW w:type="dxa" w:w="3000"/>
            <w:vAlign w:val="center"/>
          </w:tcPr>
          <w:p>
            <w:r>
              <w:rPr>
                <w:b w:val="false"/>
                <w:bCs w:val="false"/>
                <w:sz w:val="20"/>
                <w:szCs w:val="20"/>
              </w:rPr>
              <w:t xml:space="preserve">Traceability</w:t>
            </w:r>
          </w:p>
        </w:tc>
        <w:tc>
          <w:tcPr>
            <w:tcW w:type="dxa" w:w="3175"/>
            <w:vAlign w:val="center"/>
          </w:tcPr>
          <w:p>
            <w:r>
              <w:rPr>
                <w:b w:val="false"/>
                <w:bCs w:val="false"/>
                <w:sz w:val="18"/>
                <w:szCs w:val="18"/>
              </w:rPr>
              <w:t xml:space="preserve">Doesn't mention it</w:t>
            </w:r>
          </w:p>
        </w:tc>
        <w:tc>
          <w:tcPr>
            <w:tcW w:type="dxa" w:w="3175"/>
            <w:vAlign w:val="center"/>
          </w:tcPr>
          <w:p>
            <w:r>
              <w:rPr>
                <w:b w:val="false"/>
                <w:bCs w:val="false"/>
                <w:sz w:val="18"/>
                <w:szCs w:val="18"/>
              </w:rPr>
              <w:t xml:space="preserve">Proposes storing source event + rule id with every state change</w:t>
            </w:r>
          </w:p>
        </w:tc>
      </w:tr>
      <w:tr>
        <w:tc>
          <w:tcPr>
            <w:tcW w:type="dxa" w:w="3000"/>
            <w:vAlign w:val="center"/>
          </w:tcPr>
          <w:p>
            <w:r>
              <w:rPr>
                <w:b w:val="false"/>
                <w:bCs w:val="false"/>
                <w:sz w:val="20"/>
                <w:szCs w:val="20"/>
              </w:rPr>
              <w:t xml:space="preserve">Idempotency/ordering</w:t>
            </w:r>
          </w:p>
        </w:tc>
        <w:tc>
          <w:tcPr>
            <w:tcW w:type="dxa" w:w="3175"/>
            <w:vAlign w:val="center"/>
          </w:tcPr>
          <w:p>
            <w:r>
              <w:rPr>
                <w:b w:val="false"/>
                <w:bCs w:val="false"/>
                <w:sz w:val="18"/>
                <w:szCs w:val="18"/>
              </w:rPr>
              <w:t xml:space="preserve">Not addressed, or assumes events always arrive once, in order</w:t>
            </w:r>
          </w:p>
        </w:tc>
        <w:tc>
          <w:tcPr>
            <w:tcW w:type="dxa" w:w="3175"/>
            <w:vAlign w:val="center"/>
          </w:tcPr>
          <w:p>
            <w:r>
              <w:rPr>
                <w:b w:val="false"/>
                <w:bCs w:val="false"/>
                <w:sz w:val="18"/>
                <w:szCs w:val="18"/>
              </w:rPr>
              <w:t xml:space="preserve">Explicitly designs for redelivery and out-of-order/backward transitions</w:t>
            </w:r>
          </w:p>
        </w:tc>
      </w:tr>
      <w:tr>
        <w:tc>
          <w:tcPr>
            <w:tcW w:type="dxa" w:w="3000"/>
            <w:vAlign w:val="center"/>
          </w:tcPr>
          <w:p>
            <w:r>
              <w:rPr>
                <w:b w:val="false"/>
                <w:bCs w:val="false"/>
                <w:sz w:val="20"/>
                <w:szCs w:val="20"/>
              </w:rPr>
              <w:t xml:space="preserve">Testing</w:t>
            </w:r>
          </w:p>
        </w:tc>
        <w:tc>
          <w:tcPr>
            <w:tcW w:type="dxa" w:w="3175"/>
            <w:vAlign w:val="center"/>
          </w:tcPr>
          <w:p>
            <w:r>
              <w:rPr>
                <w:b w:val="false"/>
                <w:bCs w:val="false"/>
                <w:sz w:val="18"/>
                <w:szCs w:val="18"/>
              </w:rPr>
              <w:t xml:space="preserve">Vague "I'd write tests" with no structure</w:t>
            </w:r>
          </w:p>
        </w:tc>
        <w:tc>
          <w:tcPr>
            <w:tcW w:type="dxa" w:w="3175"/>
            <w:vAlign w:val="center"/>
          </w:tcPr>
          <w:p>
            <w:r>
              <w:rPr>
                <w:b w:val="false"/>
                <w:bCs w:val="false"/>
                <w:sz w:val="18"/>
                <w:szCs w:val="18"/>
              </w:rPr>
              <w:t xml:space="preserve">Names concrete test types (predicate unit tests, per-row mapping tests, contract fixtures)</w:t>
            </w:r>
          </w:p>
        </w:tc>
      </w:tr>
      <w:tr>
        <w:tc>
          <w:tcPr>
            <w:tcW w:type="dxa" w:w="3000"/>
            <w:vAlign w:val="center"/>
          </w:tcPr>
          <w:p>
            <w:r>
              <w:rPr>
                <w:b w:val="false"/>
                <w:bCs w:val="false"/>
                <w:sz w:val="20"/>
                <w:szCs w:val="20"/>
              </w:rPr>
              <w:t xml:space="preserve">Assumptions section</w:t>
            </w:r>
          </w:p>
        </w:tc>
        <w:tc>
          <w:tcPr>
            <w:tcW w:type="dxa" w:w="3175"/>
            <w:vAlign w:val="center"/>
          </w:tcPr>
          <w:p>
            <w:r>
              <w:rPr>
                <w:b w:val="false"/>
                <w:bCs w:val="false"/>
                <w:sz w:val="18"/>
                <w:szCs w:val="18"/>
              </w:rPr>
              <w:t xml:space="preserve">Left blank or restates the question</w:t>
            </w:r>
          </w:p>
        </w:tc>
        <w:tc>
          <w:tcPr>
            <w:tcW w:type="dxa" w:w="3175"/>
            <w:vAlign w:val="center"/>
          </w:tcPr>
          <w:p>
            <w:r>
              <w:rPr>
                <w:b w:val="false"/>
                <w:bCs w:val="false"/>
                <w:sz w:val="18"/>
                <w:szCs w:val="18"/>
              </w:rPr>
              <w:t xml:space="preserve">Flags the genuinely ambiguous rows (e.g. "Ignored"/"Undefined" sales invoice states) and what they'd have asked</w:t>
            </w:r>
          </w:p>
        </w:tc>
      </w:tr>
    </w:tbl>
    <w:p>
      <w:pPr>
        <w:spacing w:after="150"/>
      </w:pPr>
    </w:p>
    <w:p>
      <w:pPr>
        <w:pStyle w:val="Heading1"/>
        <w:spacing w:after="200" w:before="400"/>
      </w:pPr>
      <w:r>
        <w:t xml:space="preserve">9. Ambiguities in the source sheet worth probing candidates on</w:t>
      </w:r>
    </w:p>
    <w:p>
      <w:pPr>
        <w:pStyle w:val="ListParagraph"/>
        <w:numPr>
          <w:ilvl w:val="0"/>
          <w:numId w:val="3"/>
        </w:numPr>
        <w:spacing w:after="60"/>
      </w:pPr>
      <w:r>
        <w:t xml:space="preserve">Several Sales Invoice external states ("Ignored", "Undefined", "On-hold") don't have an obvious finban target in the second table — does a strong candidate notice the gap and flag it, or silently invent a mapping?</w:t>
      </w:r>
    </w:p>
    <w:p>
      <w:pPr>
        <w:pStyle w:val="ListParagraph"/>
        <w:numPr>
          <w:ilvl w:val="0"/>
          <w:numId w:val="3"/>
        </w:numPr>
        <w:spacing w:after="60"/>
      </w:pPr>
      <w:r>
        <w:t xml:space="preserve">The order confirmation "archived == True" rows have three variants gated on related-invoice-value thresholds, mirroring the offer logic — does the candidate spot the reused pattern and generalize the predicate, or duplicate logic?</w:t>
      </w:r>
    </w:p>
    <w:p>
      <w:pPr>
        <w:pStyle w:val="ListParagraph"/>
        <w:numPr>
          <w:ilvl w:val="0"/>
          <w:numId w:val="3"/>
        </w:numPr>
        <w:spacing w:after="60"/>
      </w:pPr>
      <w:r>
        <w:t xml:space="preserve">Partial Invoice and Sales Invoice share the same finban_type (sales_invoice) — does the candidate recognize this as one entity with two source endpoints rather than two separate entities?</w:t>
      </w:r>
    </w:p>
    <w:p>
      <w:pPr>
        <w:spacing w:after="150"/>
      </w:pPr>
    </w:p>
    <w:p>
      <w:pPr>
        <w:pStyle w:val="Heading1"/>
        <w:spacing w:after="200" w:before="400"/>
      </w:pPr>
      <w:r>
        <w:t xml:space="preserve">10. What I'd do with one more day (as the assessment designer)</w:t>
      </w:r>
    </w:p>
    <w:p>
      <w:pPr>
        <w:pStyle w:val="ListParagraph"/>
        <w:numPr>
          <w:ilvl w:val="0"/>
          <w:numId w:val="3"/>
        </w:numPr>
        <w:spacing w:after="60"/>
      </w:pPr>
      <w:r>
        <w:t xml:space="preserve">Add 2-3 deliberately ambiguous rows to the source sheet (mirroring the real "Ignored"/"Undefined" gaps) specifically to see whether candidates flag them or paper over them — this is currently the single best differentiator in the dataset and is under-exploited.</w:t>
      </w:r>
    </w:p>
    <w:p>
      <w:pPr>
        <w:pStyle w:val="ListParagraph"/>
        <w:numPr>
          <w:ilvl w:val="0"/>
          <w:numId w:val="3"/>
        </w:numPr>
        <w:spacing w:after="60"/>
      </w:pPr>
      <w:r>
        <w:t xml:space="preserve">Provide a small sample of real (sanitized) Lexware Office API responses alongside the mapping sheet, so candidates can also be evaluated on parsing/adapter code, not just the mapping design.</w:t>
      </w:r>
    </w:p>
    <w:p>
      <w:pPr>
        <w:pStyle w:val="ListParagraph"/>
        <w:numPr>
          <w:ilvl w:val="0"/>
          <w:numId w:val="3"/>
        </w:numPr>
        <w:spacing w:after="60"/>
      </w:pPr>
      <w:r>
        <w:t xml:space="preserve">Add a rubric weight to the assessment's own "what would you do with another day" question — candidates who identify the same gaps listed in §9 unprompted are a strong signal.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2026-09-07T13:07:36.277Z</dcterms:created>
  <dcterms:modified xsi:type="dcterms:W3CDTF">2026-09-07T13:07:36.290Z</dcterms:modified>
</cp:coreProperties>
</file>

<file path=docProps/custom.xml><?xml version="1.0" encoding="utf-8"?>
<Properties xmlns="http://schemas.openxmlformats.org/officeDocument/2006/custom-properties" xmlns:vt="http://schemas.openxmlformats.org/officeDocument/2006/docPropsVTypes"/>
</file>