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Recruiter Kit: State-Mapping Service Assessment</w:t>
      </w:r>
    </w:p>
    <w:p>
      <w:pPr>
        <w:spacing w:after="300"/>
      </w:pPr>
      <w:r>
        <w:rPr>
          <w:i/>
          <w:iCs/>
          <w:color w:val="555555"/>
          <w:sz w:val="22"/>
          <w:szCs w:val="22"/>
        </w:rPr>
        <w:t xml:space="preserve">A model candidate summary to compare submissions against, plus a ready-to-use interview question bank</w:t>
      </w:r>
    </w:p>
    <w:p>
      <w:pPr>
        <w:pBdr>
          <w:bottom w:val="single" w:color="AAAAAA" w:sz="6" w:space="1"/>
        </w:pBdr>
        <w:spacing w:after="200"/>
      </w:pP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How to use this document</w:t>
            </w:r>
          </w:p>
          <w:p>
            <w:pPr>
              <w:spacing w:after="40"/>
            </w:pPr>
            <w:r>
              <w:rPr>
                <w:sz w:val="20"/>
                <w:szCs w:val="20"/>
              </w:rPr>
              <w:t xml:space="preserve">Part 1 is a reference answer — what a strong candidate's own project summary should sound like in substance, not exact wording. Use it as a calibration tool: does the candidate's actual summary hit the same underlying decisions, even if phrased completely differently?</w:t>
            </w:r>
          </w:p>
          <w:p>
            <w:pPr>
              <w:spacing w:after="40"/>
            </w:pPr>
            <w:r>
              <w:rPr>
                <w:sz w:val="20"/>
                <w:szCs w:val="20"/>
              </w:rPr>
              <w:t xml:space="preserve">Part 2 is a question bank for you to ask in the interview itself, organized from warm-up to probing, with a short note on what a good vs. weak answer sounds like for each.</w:t>
            </w:r>
          </w:p>
        </w:tc>
      </w:tr>
    </w:tbl>
    <w:p>
      <w:pPr>
        <w:spacing w:after="150"/>
      </w:pPr>
    </w:p>
    <w:p>
      <w:pPr>
        <w:pStyle w:val="Heading1"/>
        <w:spacing w:after="200" w:before="400"/>
      </w:pPr>
      <w:r>
        <w:t xml:space="preserve">Part 1 — Model candidate summary</w:t>
      </w:r>
    </w:p>
    <w:p>
      <w:pPr>
        <w:spacing w:after="150"/>
      </w:pPr>
      <w:r>
        <w:t xml:space="preserve">This is what a strong submission's own explanation of the project should sound like in substance. A real candidate will phrase it differently — that's fine and expected. What matters is whether the same underlying reasoning shows up.</w:t>
      </w:r>
    </w:p>
    <w:p>
      <w:pPr>
        <w:pStyle w:val="Heading2"/>
        <w:spacing w:after="130" w:before="280"/>
      </w:pPr>
      <w:r>
        <w:t xml:space="preserve">The 30-second version a strong candidate would give</w:t>
      </w:r>
    </w:p>
    <w:tbl>
      <w:tblPr>
        <w:tblW w:type="dxa" w:w="9350"/>
        <w:tblBorders>
          <w:top w:val="single" w:color="auto" w:sz="4"/>
          <w:left w:val="single" w:color="2F5496" w:sz="24"/>
          <w:bottom w:val="single" w:color="auto" w:sz="4"/>
          <w:right w:val="single" w:color="auto" w:sz="4"/>
          <w:insideH w:val="single" w:color="auto" w:sz="4"/>
          <w:insideV w:val="single" w:color="auto" w:sz="4"/>
        </w:tblBorders>
      </w:tblPr>
      <w:tblGrid>
        <w:gridCol w:w="9350"/>
      </w:tblGrid>
      <w:tr>
        <w:tc>
          <w:tcPr>
            <w:tcW w:type="dxa" w:w="9350"/>
            <w:tcMar>
              <w:top w:type="dxa" w:w="120"/>
              <w:left w:type="dxa" w:w="250"/>
              <w:bottom w:type="dxa" w:w="120"/>
              <w:right w:type="dxa" w:w="150"/>
            </w:tcMar>
          </w:tcPr>
          <w:p>
            <w:pPr>
              <w:spacing w:after="0"/>
            </w:pPr>
            <w:r>
              <w:rPr>
                <w:i/>
                <w:iCs/>
                <w:sz w:val="21"/>
                <w:szCs w:val="21"/>
              </w:rPr>
              <w:t xml:space="preserve">"I built a service that translates states from an external accounting system into our internal domain model. The core challenge was that some external states aren't a clean one-to-one match — the same raw status can mean different things depending on other data, like how much of an invoice has actually been paid. So instead of a flat lookup table, I designed the mapping as data with optional conditional rules attached, and made sure every decision the system makes is traceable after the fact."</w:t>
            </w:r>
          </w:p>
        </w:tc>
      </w:tr>
    </w:tbl>
    <w:p>
      <w:pPr>
        <w:spacing w:after="150"/>
      </w:pPr>
    </w:p>
    <w:p>
      <w:pPr>
        <w:pStyle w:val="Heading2"/>
        <w:spacing w:after="130" w:before="280"/>
      </w:pPr>
      <w:r>
        <w:t xml:space="preserve">The fuller version, if asked to elaborate</w:t>
      </w:r>
    </w:p>
    <w:tbl>
      <w:tblPr>
        <w:tblW w:type="dxa" w:w="9350"/>
        <w:tblBorders>
          <w:top w:val="single" w:color="auto" w:sz="4"/>
          <w:left w:val="single" w:color="2F5496" w:sz="24"/>
          <w:bottom w:val="single" w:color="auto" w:sz="4"/>
          <w:right w:val="single" w:color="auto" w:sz="4"/>
          <w:insideH w:val="single" w:color="auto" w:sz="4"/>
          <w:insideV w:val="single" w:color="auto" w:sz="4"/>
        </w:tblBorders>
      </w:tblPr>
      <w:tblGrid>
        <w:gridCol w:w="9350"/>
      </w:tblGrid>
      <w:tr>
        <w:tc>
          <w:tcPr>
            <w:tcW w:type="dxa" w:w="9350"/>
            <w:tcMar>
              <w:top w:type="dxa" w:w="120"/>
              <w:left w:type="dxa" w:w="250"/>
              <w:bottom w:type="dxa" w:w="120"/>
              <w:right w:type="dxa" w:w="150"/>
            </w:tcMar>
          </w:tcPr>
          <w:p>
            <w:pPr>
              <w:spacing w:after="0"/>
            </w:pPr>
            <w:r>
              <w:rPr>
                <w:i/>
                <w:iCs/>
                <w:sz w:val="21"/>
                <w:szCs w:val="21"/>
              </w:rPr>
              <w:t xml:space="preserve">"The system has three stages. First, an adapter talks to the vendor's API and converts their specific JSON into one neutral shape — this is the only part of the code that knows the vendor's actual field names. Second, a resolution engine looks up the right mapping rule for that event; some rules are simple lookups, others need a small predicate function to decide, like checking whether an invoice's paid amount is below or above its total. Third, a repository layer writes the result — but only after checking the event hasn't already been processed, and recording exactly which rule fired so the decision can be audited later.
I tested this at a few different levels: unit tests on the conditional logic itself, tests that run the whole mapping table through the engine to catch regressions, and tests that replay recorded API responses so I'm not depending on live vendor calls. I also built in a fallback path — if the vendor ever sends a state I haven't mapped, the system doesn't crash or guess, it flags it explicitly as unmapped."</w:t>
            </w:r>
          </w:p>
        </w:tc>
      </w:tr>
    </w:tbl>
    <w:p>
      <w:pPr>
        <w:spacing w:after="150"/>
      </w:pPr>
    </w:p>
    <w:p>
      <w:pPr>
        <w:pStyle w:val="Heading2"/>
        <w:spacing w:after="130" w:before="280"/>
      </w:pPr>
      <w:r>
        <w:t xml:space="preserve">What a strong candidate would flag as ambiguous or as their assumptions</w:t>
      </w:r>
    </w:p>
    <w:p>
      <w:pPr>
        <w:spacing w:after="150"/>
      </w:pPr>
      <w:r>
        <w:t xml:space="preserve">A strong candidate does not gloss over gaps — they name them specifically. Listen for something like:</w:t>
      </w:r>
    </w:p>
    <w:p>
      <w:pPr>
        <w:pStyle w:val="ListParagraph"/>
        <w:numPr>
          <w:ilvl w:val="0"/>
          <w:numId w:val="2"/>
        </w:numPr>
        <w:spacing w:after="60"/>
      </w:pPr>
      <w:r>
        <w:t xml:space="preserve">"A few of the source states — like 'Ignored' or 'Undefined' on sales invoices — didn't have an obvious target mapping in the second table. I made a judgment call and flagged it rather than assuming."</w:t>
      </w:r>
    </w:p>
    <w:p>
      <w:pPr>
        <w:pStyle w:val="ListParagraph"/>
        <w:numPr>
          <w:ilvl w:val="0"/>
          <w:numId w:val="2"/>
        </w:numPr>
        <w:spacing w:after="60"/>
      </w:pPr>
      <w:r>
        <w:t xml:space="preserve">"I noticed the same conditional pattern (comparing invoiced value against a total) shows up for both offers and orders, so I generalized it into a reusable style of predicate rather than writing the comparison twice."</w:t>
      </w:r>
    </w:p>
    <w:p>
      <w:pPr>
        <w:pStyle w:val="ListParagraph"/>
        <w:numPr>
          <w:ilvl w:val="0"/>
          <w:numId w:val="2"/>
        </w:numPr>
        <w:spacing w:after="60"/>
      </w:pPr>
      <w:r>
        <w:t xml:space="preserve">"I assumed backward state transitions were rare but sometimes legitimate — e.g. a paid invoice later being cancelled — so I didn't block all backward moves, only unexpected ones. I'd confirm that assumption with the actual business rules before shipping it."</w:t>
      </w:r>
    </w:p>
    <w:p>
      <w:pPr>
        <w:spacing w:after="150"/>
      </w:pPr>
    </w:p>
    <w:p>
      <w:pPr>
        <w:pStyle w:val="Heading2"/>
        <w:spacing w:after="130" w:before="280"/>
      </w:pPr>
      <w:r>
        <w:t xml:space="preserve">What a strong candidate would say about next steps</w:t>
      </w:r>
    </w:p>
    <w:p>
      <w:pPr>
        <w:spacing w:after="150"/>
      </w:pPr>
      <w:r>
        <w:t xml:space="preserve">Not "I'd add more tests" (too vague) — something concrete and specific to this problem, such as:</w:t>
      </w:r>
    </w:p>
    <w:p>
      <w:pPr>
        <w:pStyle w:val="ListParagraph"/>
        <w:numPr>
          <w:ilvl w:val="0"/>
          <w:numId w:val="2"/>
        </w:numPr>
        <w:spacing w:after="60"/>
      </w:pPr>
      <w:r>
        <w:t xml:space="preserve">"I'd want real sample data from the vendor to validate my assumptions on the ambiguous states, rather than guessing."</w:t>
      </w:r>
    </w:p>
    <w:p>
      <w:pPr>
        <w:pStyle w:val="ListParagraph"/>
        <w:numPr>
          <w:ilvl w:val="0"/>
          <w:numId w:val="2"/>
        </w:numPr>
        <w:spacing w:after="60"/>
      </w:pPr>
      <w:r>
        <w:t xml:space="preserve">"I'd move the mapping table into a database so it can be edited without a code deploy, if it's expected to change often."</w:t>
      </w:r>
    </w:p>
    <w:p>
      <w:pPr>
        <w:pStyle w:val="ListParagraph"/>
        <w:numPr>
          <w:ilvl w:val="0"/>
          <w:numId w:val="2"/>
        </w:numPr>
        <w:spacing w:after="60"/>
      </w:pPr>
      <w:r>
        <w:t xml:space="preserve">"I'd add monitoring on how often the fallback/unmapped rule fires in production, since that's the signal that the mapping table has a real gap."</w:t>
      </w:r>
    </w:p>
    <w:p>
      <w:pPr>
        <w:spacing w:after="150"/>
      </w:pPr>
    </w:p>
    <w:tbl>
      <w:tblPr>
        <w:tblW w:type="dxa" w:w="9350"/>
        <w:tblBorders>
          <w:top w:val="single" w:color="C00000" w:sz="4"/>
          <w:left w:val="single" w:color="C00000" w:sz="4"/>
          <w:bottom w:val="single" w:color="C00000" w:sz="4"/>
          <w:right w:val="single" w:color="C00000" w:sz="4"/>
          <w:insideH w:val="single" w:color="auto" w:sz="4"/>
          <w:insideV w:val="single" w:color="auto" w:sz="4"/>
        </w:tblBorders>
      </w:tblPr>
      <w:tblGrid>
        <w:gridCol w:w="9350"/>
      </w:tblGrid>
      <w:tr>
        <w:tc>
          <w:tcPr>
            <w:tcW w:type="dxa" w:w="9350"/>
            <w:shd w:fill="FBE9E7" w:val="clear"/>
            <w:tcMar>
              <w:top w:type="dxa" w:w="150"/>
              <w:left w:type="dxa" w:w="200"/>
              <w:bottom w:type="dxa" w:w="150"/>
              <w:right w:type="dxa" w:w="200"/>
            </w:tcMar>
          </w:tcPr>
          <w:p>
            <w:pPr>
              <w:spacing w:after="100"/>
            </w:pPr>
            <w:r>
              <w:rPr>
                <w:b/>
                <w:bCs/>
                <w:color w:val="C00000"/>
              </w:rPr>
              <w:t xml:space="preserve">Red flags — what a weak summary sounds like</w:t>
            </w:r>
          </w:p>
          <w:p>
            <w:pPr>
              <w:spacing w:after="40"/>
            </w:pPr>
            <w:r>
              <w:rPr>
                <w:sz w:val="20"/>
                <w:szCs w:val="20"/>
              </w:rPr>
              <w:t xml:space="preserve">Describes the project as "just mapping states from A to B" with no mention of the conditional cases — suggests they didn't notice or engage with the actual complexity in the data.</w:t>
            </w:r>
          </w:p>
          <w:p>
            <w:pPr>
              <w:spacing w:after="40"/>
            </w:pPr>
            <w:r>
              <w:rPr>
                <w:sz w:val="20"/>
                <w:szCs w:val="20"/>
              </w:rPr>
              <w:t xml:space="preserve">Claims total confidence with no caveats or flagged assumptions — the source data has genuine ambiguities (see the "Ignored"/"Undefined" states); someone who read it carefully should have questions.</w:t>
            </w:r>
          </w:p>
          <w:p>
            <w:pPr>
              <w:spacing w:after="40"/>
            </w:pPr>
            <w:r>
              <w:rPr>
                <w:sz w:val="20"/>
                <w:szCs w:val="20"/>
              </w:rPr>
              <w:t xml:space="preserve">Can describe what the code does but not why it's structured that way (e.g. can't explain why vendor logic is isolated to one layer) — suggests they may have followed a pattern without understanding the reasoning.</w:t>
            </w:r>
          </w:p>
          <w:p>
            <w:pPr>
              <w:spacing w:after="40"/>
            </w:pPr>
            <w:r>
              <w:rPr>
                <w:sz w:val="20"/>
                <w:szCs w:val="20"/>
              </w:rPr>
              <w:t xml:space="preserve">No mention of testing strategy beyond "I wrote tests" — no distinction between testing the logic itself vs. testing the vendor integration vs. catching regressions.</w:t>
            </w:r>
          </w:p>
        </w:tc>
      </w:tr>
    </w:tbl>
    <w:p>
      <w:pPr>
        <w:spacing w:after="150"/>
      </w:pPr>
    </w:p>
    <w:p>
      <w:pPr>
        <w:pStyle w:val="Heading1"/>
        <w:spacing w:after="200" w:before="400"/>
      </w:pPr>
      <w:r>
        <w:t xml:space="preserve">Part 2 — Interview question bank</w:t>
      </w:r>
    </w:p>
    <w:p>
      <w:pPr>
        <w:spacing w:after="150"/>
      </w:pPr>
      <w:r>
        <w:t xml:space="preserve">Organized in three tiers: warm-up (get them talking), core technical (test real understanding), and probing (test judgment under pressure). Each includes a short note on what to listen for.</w:t>
      </w:r>
    </w:p>
    <w:p>
      <w:pPr>
        <w:pStyle w:val="Heading2"/>
        <w:spacing w:after="130" w:before="280"/>
      </w:pPr>
      <w:r>
        <w:t xml:space="preserve">Tier 1 — Warm-up / project overview</w:t>
      </w:r>
    </w:p>
    <w:p>
      <w:pPr>
        <w:pStyle w:val="ListParagraph"/>
        <w:numPr>
          <w:ilvl w:val="0"/>
          <w:numId w:val="3"/>
        </w:numPr>
        <w:spacing w:after="90"/>
      </w:pPr>
      <w:r>
        <w:t xml:space="preserve">"Walk me through what you built, in your own words." — Listen for: do they lead with the interesting problem (ambiguous states) or just describe CRUD/API mechanics?</w:t>
      </w:r>
    </w:p>
    <w:p>
      <w:pPr>
        <w:pStyle w:val="ListParagraph"/>
        <w:numPr>
          <w:ilvl w:val="0"/>
          <w:numId w:val="3"/>
        </w:numPr>
        <w:spacing w:after="90"/>
      </w:pPr>
      <w:r>
        <w:t xml:space="preserve">"What was the trickiest part of this assessment, and why?" — A strong candidate names the conditional-mapping rows specifically, not something generic like "figuring out the API."</w:t>
      </w:r>
    </w:p>
    <w:p>
      <w:pPr>
        <w:pStyle w:val="ListParagraph"/>
        <w:numPr>
          <w:ilvl w:val="0"/>
          <w:numId w:val="3"/>
        </w:numPr>
        <w:spacing w:after="90"/>
      </w:pPr>
      <w:r>
        <w:t xml:space="preserve">"If you had to explain this project to a non-technical stakeholder, how would you describe it?" — Tests communication, not just technical depth.</w:t>
      </w:r>
    </w:p>
    <w:p>
      <w:pPr>
        <w:spacing w:after="150"/>
      </w:pPr>
    </w:p>
    <w:p>
      <w:pPr>
        <w:pStyle w:val="Heading2"/>
        <w:spacing w:after="130" w:before="280"/>
      </w:pPr>
      <w:r>
        <w:t xml:space="preserve">Tier 2 — Core technical understanding</w:t>
      </w:r>
    </w:p>
    <w:p>
      <w:pPr>
        <w:pStyle w:val="ListParagraph"/>
        <w:numPr>
          <w:ilvl w:val="0"/>
          <w:numId w:val="3"/>
        </w:numPr>
        <w:spacing w:after="90"/>
      </w:pPr>
      <w:r>
        <w:t xml:space="preserve">"Why didn't a simple lookup table work for every row in the mapping sheet?" — Should identify the conditional rows and explain what information a flat mapping loses.</w:t>
      </w:r>
    </w:p>
    <w:p>
      <w:pPr>
        <w:pStyle w:val="ListParagraph"/>
        <w:numPr>
          <w:ilvl w:val="0"/>
          <w:numId w:val="3"/>
        </w:numPr>
        <w:spacing w:after="90"/>
      </w:pPr>
      <w:r>
        <w:t xml:space="preserve">"How does your design handle a vendor sending the same update twice?" — Should describe some form of deduplication/idempotency, ideally with a concrete mechanism, not just "I'd check if it exists first" without detail on what makes an event unique.</w:t>
      </w:r>
    </w:p>
    <w:p>
      <w:pPr>
        <w:pStyle w:val="ListParagraph"/>
        <w:numPr>
          <w:ilvl w:val="0"/>
          <w:numId w:val="3"/>
        </w:numPr>
        <w:spacing w:after="90"/>
      </w:pPr>
      <w:r>
        <w:t xml:space="preserve">"What happens in your design if the vendor introduces a brand-new state you've never seen?" — Should have a defined fallback behavior, not silence or 'it would probably error out.'</w:t>
      </w:r>
    </w:p>
    <w:p>
      <w:pPr>
        <w:pStyle w:val="ListParagraph"/>
        <w:numPr>
          <w:ilvl w:val="0"/>
          <w:numId w:val="3"/>
        </w:numPr>
        <w:spacing w:after="90"/>
      </w:pPr>
      <w:r>
        <w:t xml:space="preserve">"How would you debug a report that says 'this record is in the wrong state'?" — Tests whether they built in any traceability/audit trail, or only a current-state snapshot with no history.</w:t>
      </w:r>
    </w:p>
    <w:p>
      <w:pPr>
        <w:pStyle w:val="ListParagraph"/>
        <w:numPr>
          <w:ilvl w:val="0"/>
          <w:numId w:val="3"/>
        </w:numPr>
        <w:spacing w:after="90"/>
      </w:pPr>
      <w:r>
        <w:t xml:space="preserve">"How would you extend this to support a second external system?" — Should describe adding an adapter and mapping rows without touching the core logic — if they describe rewriting core logic per vendor, that's a coupling problem.</w:t>
      </w:r>
    </w:p>
    <w:p>
      <w:pPr>
        <w:spacing w:after="150"/>
      </w:pPr>
    </w:p>
    <w:p>
      <w:pPr>
        <w:pStyle w:val="Heading2"/>
        <w:spacing w:after="130" w:before="280"/>
      </w:pPr>
      <w:r>
        <w:t xml:space="preserve">Tier 3 — Probing / judgment</w:t>
      </w:r>
    </w:p>
    <w:p>
      <w:pPr>
        <w:pStyle w:val="ListParagraph"/>
        <w:numPr>
          <w:ilvl w:val="0"/>
          <w:numId w:val="3"/>
        </w:numPr>
        <w:spacing w:after="90"/>
      </w:pPr>
      <w:r>
        <w:t xml:space="preserve">"What assumption did you make that you're least confident about?" — Anyone who claims total confidence on ambiguous source data should be pressed further. A strong candidate has a specific, named uncertainty.</w:t>
      </w:r>
    </w:p>
    <w:p>
      <w:pPr>
        <w:pStyle w:val="ListParagraph"/>
        <w:numPr>
          <w:ilvl w:val="0"/>
          <w:numId w:val="3"/>
        </w:numPr>
        <w:spacing w:after="90"/>
      </w:pPr>
      <w:r>
        <w:t xml:space="preserve">"What would you do differently if you had another day?" — Compare their answer against what they actually flagged as ambiguous. If their 'next steps' don't connect to any weakness they identified, that's a disconnect worth probing.</w:t>
      </w:r>
    </w:p>
    <w:p>
      <w:pPr>
        <w:pStyle w:val="ListParagraph"/>
        <w:numPr>
          <w:ilvl w:val="0"/>
          <w:numId w:val="3"/>
        </w:numPr>
        <w:spacing w:after="90"/>
      </w:pPr>
      <w:r>
        <w:t xml:space="preserve">"Suppose two of your mapping rules could both apply to the same incoming event — how would your system behave, and is that the right behavior?" — Tests whether they thought about rule conflicts/precedence at all, or only the happy path.</w:t>
      </w:r>
    </w:p>
    <w:p>
      <w:pPr>
        <w:pStyle w:val="ListParagraph"/>
        <w:numPr>
          <w:ilvl w:val="0"/>
          <w:numId w:val="3"/>
        </w:numPr>
        <w:spacing w:after="90"/>
      </w:pPr>
      <w:r>
        <w:t xml:space="preserve">"Where would this design break down if the number of external systems grew from 1 to 10?" — Tests whether their separation between vendor-specific code and shared logic actually holds up, or was accidental.</w:t>
      </w:r>
    </w:p>
    <w:p>
      <w:pPr>
        <w:pStyle w:val="ListParagraph"/>
        <w:numPr>
          <w:ilvl w:val="0"/>
          <w:numId w:val="3"/>
        </w:numPr>
        <w:spacing w:after="90"/>
      </w:pPr>
      <w:r>
        <w:t xml:space="preserve">"This service writes financial state — invoices, payments. Would you deploy changes to it the same way you'd deploy a marketing website? Why or why not?" — Tests risk judgment, not just architecture knowledge.</w:t>
      </w:r>
    </w:p>
    <w:p>
      <w:pPr>
        <w:spacing w:after="150"/>
      </w:pP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A note on evaluating answers</w:t>
            </w:r>
          </w:p>
          <w:p>
            <w:pPr>
              <w:spacing w:after="40"/>
            </w:pPr>
            <w:r>
              <w:rPr>
                <w:sz w:val="20"/>
                <w:szCs w:val="20"/>
              </w:rPr>
              <w:t xml:space="preserve">The specific tools, language, or framework a candidate used matters far less than whether their reasoning generalizes. Someone who used a different tech stack entirely but independently arrived at "isolate vendor knowledge," "make ambiguous mappings explicit and testable," and "make state changes traceable" has understood the actual problem — regardless of whether their code looks anything like a reference implementation.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2026-09-07T13:49:27.448Z</dcterms:created>
  <dcterms:modified xsi:type="dcterms:W3CDTF">2026-09-07T13:49:27.460Z</dcterms:modified>
</cp:coreProperties>
</file>

<file path=docProps/custom.xml><?xml version="1.0" encoding="utf-8"?>
<Properties xmlns="http://schemas.openxmlformats.org/officeDocument/2006/custom-properties" xmlns:vt="http://schemas.openxmlformats.org/officeDocument/2006/docPropsVTypes"/>
</file>