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3864"/>
          <w:sz w:val="44"/>
        </w:rPr>
        <w:t>Deploying an Agentic AI Application in the Corporate AWS Environment</w:t>
      </w:r>
    </w:p>
    <w:p>
      <w:pPr>
        <w:spacing w:after="200"/>
      </w:pPr>
      <w:r>
        <w:rPr>
          <w:color w:val="595959"/>
          <w:sz w:val="28"/>
        </w:rPr>
        <w:t>Findings, constraints, and requested changes</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Item</w:t>
            </w:r>
          </w:p>
        </w:tc>
        <w:tc>
          <w:tcPr>
            <w:tcW w:type="dxa" w:w="7848"/>
            <w:shd w:val="clear" w:color="auto" w:fill="1F3864"/>
          </w:tcPr>
          <w:p>
            <w:pPr>
              <w:spacing w:after="40" w:before="0"/>
            </w:pPr>
            <w:r/>
            <w:r>
              <w:rPr>
                <w:b/>
                <w:color w:val="FFFFFF"/>
                <w:sz w:val="18"/>
              </w:rPr>
              <w:t>Value</w:t>
            </w:r>
          </w:p>
        </w:tc>
      </w:tr>
      <w:tr>
        <w:trPr>
          <w:cantSplit w:val="true"/>
        </w:trPr>
        <w:tc>
          <w:tcPr>
            <w:tcW w:type="dxa" w:w="2088"/>
            <w:shd w:val="clear" w:color="auto" w:fill="EEF2F8"/>
          </w:tcPr>
          <w:p>
            <w:pPr>
              <w:spacing w:after="40" w:before="0"/>
            </w:pPr>
            <w:r/>
            <w:r>
              <w:rPr>
                <w:b/>
                <w:sz w:val="18"/>
              </w:rPr>
              <w:t>Project</w:t>
            </w:r>
          </w:p>
        </w:tc>
        <w:tc>
          <w:tcPr>
            <w:tcW w:type="dxa" w:w="7848"/>
          </w:tcPr>
          <w:p>
            <w:pPr>
              <w:spacing w:after="40" w:before="0"/>
            </w:pPr>
            <w:r/>
            <w:r>
              <w:rPr>
                <w:sz w:val="18"/>
              </w:rPr>
              <w:t>mahalo-agentcore: multi-persona SDLC assistant on Amazon Bedrock AgentCore and the Strands Agents SDK</w:t>
            </w:r>
          </w:p>
        </w:tc>
      </w:tr>
      <w:tr>
        <w:trPr>
          <w:cantSplit w:val="true"/>
        </w:trPr>
        <w:tc>
          <w:tcPr>
            <w:tcW w:type="dxa" w:w="2088"/>
            <w:shd w:val="clear" w:color="auto" w:fill="EEF2F8"/>
          </w:tcPr>
          <w:p>
            <w:pPr>
              <w:spacing w:after="40" w:before="0"/>
            </w:pPr>
            <w:r/>
            <w:r>
              <w:rPr>
                <w:b/>
                <w:sz w:val="18"/>
              </w:rPr>
              <w:t>Prepared by</w:t>
            </w:r>
          </w:p>
        </w:tc>
        <w:tc>
          <w:tcPr>
            <w:tcW w:type="dxa" w:w="7848"/>
          </w:tcPr>
          <w:p>
            <w:pPr>
              <w:spacing w:after="40" w:before="0"/>
            </w:pPr>
            <w:r/>
            <w:r>
              <w:rPr>
                <w:sz w:val="18"/>
              </w:rPr>
              <w:t>[Name / team: add before sending]</w:t>
            </w:r>
          </w:p>
        </w:tc>
      </w:tr>
      <w:tr>
        <w:trPr>
          <w:cantSplit w:val="true"/>
        </w:trPr>
        <w:tc>
          <w:tcPr>
            <w:tcW w:type="dxa" w:w="2088"/>
            <w:shd w:val="clear" w:color="auto" w:fill="EEF2F8"/>
          </w:tcPr>
          <w:p>
            <w:pPr>
              <w:spacing w:after="40" w:before="0"/>
            </w:pPr>
            <w:r/>
            <w:r>
              <w:rPr>
                <w:b/>
                <w:sz w:val="18"/>
              </w:rPr>
              <w:t>Date</w:t>
            </w:r>
          </w:p>
        </w:tc>
        <w:tc>
          <w:tcPr>
            <w:tcW w:type="dxa" w:w="7848"/>
          </w:tcPr>
          <w:p>
            <w:pPr>
              <w:spacing w:after="40" w:before="0"/>
            </w:pPr>
            <w:r/>
            <w:r>
              <w:rPr>
                <w:sz w:val="18"/>
              </w:rPr>
              <w:t>October 2026</w:t>
            </w:r>
          </w:p>
        </w:tc>
      </w:tr>
      <w:tr>
        <w:trPr>
          <w:cantSplit w:val="true"/>
        </w:trPr>
        <w:tc>
          <w:tcPr>
            <w:tcW w:type="dxa" w:w="2088"/>
            <w:shd w:val="clear" w:color="auto" w:fill="EEF2F8"/>
          </w:tcPr>
          <w:p>
            <w:pPr>
              <w:spacing w:after="40" w:before="0"/>
            </w:pPr>
            <w:r/>
            <w:r>
              <w:rPr>
                <w:b/>
                <w:sz w:val="18"/>
              </w:rPr>
              <w:t>Audience</w:t>
            </w:r>
          </w:p>
        </w:tc>
        <w:tc>
          <w:tcPr>
            <w:tcW w:type="dxa" w:w="7848"/>
          </w:tcPr>
          <w:p>
            <w:pPr>
              <w:spacing w:after="40" w:before="0"/>
            </w:pPr>
            <w:r/>
            <w:r>
              <w:rPr>
                <w:sz w:val="18"/>
              </w:rPr>
              <w:t>Cloud / IT provisioning, platform and security teams; engineering management</w:t>
            </w:r>
          </w:p>
        </w:tc>
      </w:tr>
      <w:tr>
        <w:trPr>
          <w:cantSplit w:val="true"/>
        </w:trPr>
        <w:tc>
          <w:tcPr>
            <w:tcW w:type="dxa" w:w="2088"/>
            <w:shd w:val="clear" w:color="auto" w:fill="EEF2F8"/>
          </w:tcPr>
          <w:p>
            <w:pPr>
              <w:spacing w:after="40" w:before="0"/>
            </w:pPr>
            <w:r/>
            <w:r>
              <w:rPr>
                <w:b/>
                <w:sz w:val="18"/>
              </w:rPr>
              <w:t>Environment</w:t>
            </w:r>
          </w:p>
        </w:tc>
        <w:tc>
          <w:tcPr>
            <w:tcW w:type="dxa" w:w="7848"/>
          </w:tcPr>
          <w:p>
            <w:pPr>
              <w:spacing w:after="40" w:before="0"/>
            </w:pPr>
            <w:r/>
            <w:r>
              <w:rPr>
                <w:sz w:val="18"/>
              </w:rPr>
              <w:t>Corporate AWS account, us-east-1, accessed from an AWS WorkSpaces VDI with IAM Identity Center (SSO)</w:t>
            </w:r>
          </w:p>
        </w:tc>
      </w:tr>
      <w:tr>
        <w:trPr>
          <w:cantSplit w:val="true"/>
        </w:trPr>
        <w:tc>
          <w:tcPr>
            <w:tcW w:type="dxa" w:w="2088"/>
            <w:shd w:val="clear" w:color="auto" w:fill="EEF2F8"/>
          </w:tcPr>
          <w:p>
            <w:pPr>
              <w:spacing w:after="40" w:before="0"/>
            </w:pPr>
            <w:r/>
            <w:r>
              <w:rPr>
                <w:b/>
                <w:sz w:val="18"/>
              </w:rPr>
              <w:t>Account ID</w:t>
            </w:r>
          </w:p>
        </w:tc>
        <w:tc>
          <w:tcPr>
            <w:tcW w:type="dxa" w:w="7848"/>
          </w:tcPr>
          <w:p>
            <w:pPr>
              <w:spacing w:after="40" w:before="0"/>
            </w:pPr>
            <w:r/>
            <w:r>
              <w:rPr>
                <w:sz w:val="18"/>
              </w:rPr>
              <w:t>[Add before sending. Intentionally omitted from this draft.]</w:t>
            </w:r>
          </w:p>
        </w:tc>
      </w:tr>
      <w:tr>
        <w:trPr>
          <w:cantSplit w:val="true"/>
        </w:trPr>
        <w:tc>
          <w:tcPr>
            <w:tcW w:type="dxa" w:w="2088"/>
            <w:shd w:val="clear" w:color="auto" w:fill="EEF2F8"/>
          </w:tcPr>
          <w:p>
            <w:pPr>
              <w:spacing w:after="40" w:before="0"/>
            </w:pPr>
            <w:r/>
            <w:r>
              <w:rPr>
                <w:b/>
                <w:sz w:val="18"/>
              </w:rPr>
              <w:t>Status</w:t>
            </w:r>
          </w:p>
        </w:tc>
        <w:tc>
          <w:tcPr>
            <w:tcW w:type="dxa" w:w="7848"/>
          </w:tcPr>
          <w:p>
            <w:pPr>
              <w:spacing w:after="40" w:before="0"/>
            </w:pPr>
            <w:r/>
            <w:r>
              <w:rPr>
                <w:sz w:val="18"/>
              </w:rPr>
              <w:t>Draft for review. All facts below come from our own deployment records; items we could not verify are marked as such.</w:t>
            </w:r>
          </w:p>
        </w:tc>
      </w:tr>
    </w:tbl>
    <w:p>
      <w:pPr>
        <w:spacing w:after="80"/>
      </w:pPr>
    </w:p>
    <w:p>
      <w:pPr>
        <w:pStyle w:val="Heading3"/>
      </w:pPr>
      <w:r>
        <w:t>Contents</w:t>
      </w:r>
    </w:p>
    <w:p>
      <w:pPr>
        <w:pStyle w:val="ListBullet"/>
        <w:spacing w:after="40"/>
      </w:pPr>
      <w:r>
        <w:rPr>
          <w:sz w:val="20"/>
        </w:rPr>
        <w:t>1. Purpose and summary</w:t>
      </w:r>
    </w:p>
    <w:p>
      <w:pPr>
        <w:pStyle w:val="ListBullet"/>
        <w:spacing w:after="40"/>
      </w:pPr>
      <w:r>
        <w:rPr>
          <w:sz w:val="20"/>
        </w:rPr>
        <w:t>2. Application and deployed footprint</w:t>
      </w:r>
    </w:p>
    <w:p>
      <w:pPr>
        <w:pStyle w:val="ListBullet"/>
        <w:spacing w:after="40"/>
      </w:pPr>
      <w:r>
        <w:rPr>
          <w:sz w:val="20"/>
        </w:rPr>
        <w:t>3. Feature-by-feature comparison: corporate vs. commercial AWS</w:t>
      </w:r>
    </w:p>
    <w:p>
      <w:pPr>
        <w:pStyle w:val="ListBullet"/>
        <w:spacing w:after="40"/>
      </w:pPr>
      <w:r>
        <w:rPr>
          <w:sz w:val="20"/>
        </w:rPr>
        <w:t>4. Detailed findings (technical)</w:t>
      </w:r>
    </w:p>
    <w:p>
      <w:pPr>
        <w:pStyle w:val="ListBullet"/>
        <w:spacing w:after="40"/>
      </w:pPr>
      <w:r>
        <w:rPr>
          <w:sz w:val="20"/>
        </w:rPr>
        <w:t>5. Security considerations</w:t>
      </w:r>
    </w:p>
    <w:p>
      <w:pPr>
        <w:pStyle w:val="ListBullet"/>
        <w:spacing w:after="40"/>
      </w:pPr>
      <w:r>
        <w:rPr>
          <w:sz w:val="20"/>
        </w:rPr>
        <w:t>6. Issues that were ours, not the environment</w:t>
      </w:r>
    </w:p>
    <w:p>
      <w:pPr>
        <w:pStyle w:val="ListBullet"/>
        <w:spacing w:after="40"/>
      </w:pPr>
      <w:r>
        <w:rPr>
          <w:sz w:val="20"/>
        </w:rPr>
        <w:t>7. Requested changes</w:t>
      </w:r>
    </w:p>
    <w:p>
      <w:pPr>
        <w:pStyle w:val="ListBullet"/>
        <w:spacing w:after="40"/>
      </w:pPr>
      <w:r>
        <w:rPr>
          <w:sz w:val="20"/>
        </w:rPr>
        <w:t>8. Permissions and services a sandbox account must allow</w:t>
      </w:r>
    </w:p>
    <w:p>
      <w:pPr>
        <w:pStyle w:val="ListBullet"/>
        <w:spacing w:after="40"/>
      </w:pPr>
      <w:r>
        <w:rPr>
          <w:sz w:val="20"/>
        </w:rPr>
        <w:t>9. Cost and budget</w:t>
      </w:r>
    </w:p>
    <w:p>
      <w:pPr>
        <w:pStyle w:val="ListBullet"/>
        <w:spacing w:after="40"/>
      </w:pPr>
      <w:r>
        <w:rPr>
          <w:sz w:val="20"/>
        </w:rPr>
        <w:t>10. Open questions for IT</w:t>
      </w:r>
    </w:p>
    <w:p>
      <w:pPr>
        <w:pStyle w:val="ListBullet"/>
        <w:spacing w:after="40"/>
      </w:pPr>
      <w:r>
        <w:rPr>
          <w:sz w:val="20"/>
        </w:rPr>
        <w:t>Appendix A: Network and port map; Appendix B: Workaround inventory</w:t>
      </w:r>
    </w:p>
    <w:p>
      <w:pPr>
        <w:spacing w:after="40"/>
      </w:pPr>
    </w:p>
    <w:p>
      <w:pPr>
        <w:pStyle w:val="Heading1"/>
      </w:pPr>
      <w:r>
        <w:t>1. Purpose and summary</w:t>
      </w:r>
    </w:p>
    <w:p>
      <w:pPr>
        <w:spacing w:after="120"/>
      </w:pPr>
      <w:r>
        <w:t>This document describes what we encountered while building and operating a demo AI application in the corporate AWS environment. It compares each deployment feature with how the same feature would be deployed in an unrestricted commercial AWS account, and lists specific changes that would remove the friction. The goal is a corporate AWS setup that is friendlier to development work, not only one where port 443 is open.</w:t>
      </w:r>
    </w:p>
    <w:tbl>
      <w:tblPr>
        <w:tblStyle w:val="TableGrid"/>
        <w:tblW w:type="auto" w:w="0"/>
        <w:jc w:val="center"/>
        <w:tblLook w:firstColumn="1" w:firstRow="1" w:lastColumn="0" w:lastRow="0" w:noHBand="0" w:noVBand="1" w:val="04A0"/>
      </w:tblPr>
      <w:tblGrid>
        <w:gridCol w:w="9936"/>
      </w:tblGrid>
      <w:tr>
        <w:tc>
          <w:tcPr>
            <w:tcW w:type="dxa" w:w="9936"/>
            <w:shd w:val="clear" w:color="auto" w:fill="EAF1FB"/>
          </w:tcPr>
          <w:p>
            <w:pPr>
              <w:spacing w:after="40" w:before="0"/>
            </w:pPr>
            <w:r/>
            <w:r>
              <w:rPr>
                <w:b/>
                <w:sz w:val="20"/>
              </w:rPr>
              <w:t>Bottom line</w:t>
            </w:r>
          </w:p>
          <w:p>
            <w:pPr>
              <w:spacing w:after="40" w:before="0"/>
            </w:pPr>
            <w:r>
              <w:rPr>
                <w:sz w:val="20"/>
              </w:rPr>
              <w:t>The platform services we need are available and work in the corporate account: Amazon Bedrock (Claude Sonnet 4.5), AgentCore Runtime, Gateway and Memory, Lambda, DynamoDB, S3 and CloudFront. The cost is at the edges. Five environment constraints forced workarounds, one weaker security design, and a deployment that a new person cannot repeat without help:</w:t>
            </w:r>
          </w:p>
          <w:p>
            <w:pPr>
              <w:spacing w:after="40" w:before="0"/>
              <w:ind w:left="173" w:hanging="173"/>
            </w:pPr>
            <w:r>
              <w:rPr>
                <w:sz w:val="20"/>
              </w:rPr>
              <w:t>• No Docker on the WorkSpaces VDI, so container images cannot be built locally.</w:t>
            </w:r>
          </w:p>
          <w:p>
            <w:pPr>
              <w:spacing w:after="40" w:before="0"/>
              <w:ind w:left="173" w:hanging="173"/>
            </w:pPr>
            <w:r>
              <w:rPr>
                <w:sz w:val="20"/>
              </w:rPr>
              <w:t>• Inbound security-group rules on non-standard ports are removed automatically within seconds.</w:t>
            </w:r>
          </w:p>
          <w:p>
            <w:pPr>
              <w:spacing w:after="40" w:before="0"/>
              <w:ind w:left="173" w:hanging="173"/>
            </w:pPr>
            <w:r>
              <w:rPr>
                <w:sz w:val="20"/>
              </w:rPr>
              <w:t>• The office network reaches only TCP 443.</w:t>
            </w:r>
          </w:p>
          <w:p>
            <w:pPr>
              <w:spacing w:after="40" w:before="0"/>
              <w:ind w:left="173" w:hanging="173"/>
            </w:pPr>
            <w:r>
              <w:rPr>
                <w:sz w:val="20"/>
              </w:rPr>
              <w:t>• An organization SCP explicitly denies cognito-identity:CreateIdentityPool.</w:t>
            </w:r>
          </w:p>
          <w:p>
            <w:pPr>
              <w:spacing w:after="40" w:before="0"/>
              <w:ind w:left="173" w:hanging="173"/>
            </w:pPr>
            <w:r>
              <w:rPr>
                <w:sz w:val="20"/>
              </w:rPr>
              <w:t>• SSO credentials expire about hourly, and CDK cannot read the CLI's SSO token cache on the VDI.</w:t>
            </w:r>
          </w:p>
          <w:p>
            <w:pPr>
              <w:spacing w:after="40" w:before="0"/>
            </w:pPr>
            <w:r>
              <w:rPr>
                <w:sz w:val="20"/>
              </w:rPr>
              <w:t>A sandbox account with a documented exception path, plus a Docker-capable build route, would remove most of this.</w:t>
            </w:r>
          </w:p>
        </w:tc>
      </w:tr>
    </w:tbl>
    <w:p>
      <w:pPr>
        <w:spacing w:after="80"/>
      </w:pPr>
    </w:p>
    <w:p>
      <w:pPr>
        <w:pStyle w:val="Heading3"/>
      </w:pPr>
      <w:r>
        <w:t>Impact in numbers</w:t>
      </w:r>
    </w:p>
    <w:p>
      <w:pPr>
        <w:pStyle w:val="ListBullet"/>
        <w:spacing w:after="40"/>
      </w:pPr>
      <w:r>
        <w:rPr>
          <w:b/>
        </w:rPr>
        <w:t>1 of 12</w:t>
      </w:r>
      <w:r>
        <w:t xml:space="preserve"> CloudFormation stacks (the EC2 builder) exists only to work around the missing Docker, and its instance role carries </w:t>
      </w:r>
      <w:r>
        <w:rPr>
          <w:b/>
        </w:rPr>
        <w:t>AdministratorAccess</w:t>
      </w:r>
      <w:r>
        <w:t>.</w:t>
      </w:r>
    </w:p>
    <w:p>
      <w:pPr>
        <w:pStyle w:val="ListBullet"/>
        <w:spacing w:after="40"/>
      </w:pPr>
      <w:r>
        <w:rPr>
          <w:b/>
        </w:rPr>
        <w:t>2</w:t>
      </w:r>
      <w:r>
        <w:t xml:space="preserve"> items (the CloudFront distribution in front of Gitea, and the Elastic IP association for the Gitea host) were created </w:t>
      </w:r>
      <w:r>
        <w:rPr>
          <w:b/>
        </w:rPr>
        <w:t>out-of-band</w:t>
      </w:r>
      <w:r>
        <w:t xml:space="preserve"> with the AWS CLI, so the live environment no longer matches the infrastructure code.</w:t>
      </w:r>
    </w:p>
    <w:p>
      <w:pPr>
        <w:pStyle w:val="ListBullet"/>
        <w:spacing w:after="40"/>
      </w:pPr>
      <w:r>
        <w:rPr>
          <w:b/>
        </w:rPr>
        <w:t>1</w:t>
      </w:r>
      <w:r>
        <w:t xml:space="preserve"> security design was weakened: public Lambda Function URLs with </w:t>
      </w:r>
      <w:r>
        <w:rPr>
          <w:rFonts w:ascii="Consolas" w:hAnsi="Consolas" w:eastAsia="Consolas"/>
        </w:rPr>
        <w:t>AuthType=NONE</w:t>
      </w:r>
      <w:r>
        <w:t xml:space="preserve"> replaced a Cognito and SigV4 design.</w:t>
      </w:r>
    </w:p>
    <w:p>
      <w:pPr>
        <w:pStyle w:val="ListBullet"/>
        <w:spacing w:after="40"/>
      </w:pPr>
      <w:r>
        <w:rPr>
          <w:b/>
        </w:rPr>
        <w:t>3</w:t>
      </w:r>
      <w:r>
        <w:t xml:space="preserve"> manual routines are repeated by hand: hourly credential export, builder-host SSM sessions, and the frontend build and sync.</w:t>
      </w:r>
    </w:p>
    <w:p>
      <w:pPr>
        <w:pStyle w:val="ListBullet"/>
        <w:spacing w:after="40"/>
      </w:pPr>
      <w:r>
        <w:t xml:space="preserve">Moving the same application to an unrestricted commercial account is estimated at </w:t>
      </w:r>
      <w:r>
        <w:rPr>
          <w:b/>
        </w:rPr>
        <w:t>3 to 5 engineering days</w:t>
      </w:r>
      <w:r>
        <w:t xml:space="preserve"> of one-time work, mostly writing a single deploy script (see the separate migration analysis). After that it deploys from one command.</w:t>
      </w:r>
    </w:p>
    <w:p>
      <w:pPr>
        <w:spacing w:after="40"/>
      </w:pPr>
    </w:p>
    <w:p>
      <w:pPr>
        <w:pStyle w:val="Heading1"/>
      </w:pPr>
      <w:r>
        <w:t>2. Application and deployed footprint</w:t>
      </w:r>
    </w:p>
    <w:p>
      <w:pPr>
        <w:spacing w:after="120"/>
      </w:pPr>
      <w:r>
        <w:t>The application is a chat and dashboard assistant for three personas (Product Manager, Developer, Executive). An agent built with the Strands Agents SDK runs on Amazon Bedrock AgentCore Runtime and reaches four mock enterprise systems (Jira, Confluence, GitHub/Gitea, ServiceNow) as 27 MCP tools through AgentCore Gateway. Only synthetic data is used.</w:t>
      </w:r>
    </w:p>
    <w:p>
      <w:pPr>
        <w:pStyle w:val="Heading3"/>
      </w:pPr>
      <w:r>
        <w:t>Request flow</w:t>
      </w:r>
    </w:p>
    <w:p>
      <w:pPr>
        <w:pStyle w:val="ListBullet"/>
        <w:spacing w:after="40"/>
      </w:pPr>
      <w:r>
        <w:t>Browser → CloudFront → private S3 bucket (static Next.js site, HTTPS).</w:t>
      </w:r>
    </w:p>
    <w:p>
      <w:pPr>
        <w:pStyle w:val="ListBullet"/>
        <w:spacing w:after="40"/>
      </w:pPr>
      <w:r>
        <w:t xml:space="preserve">Browser → thin API (Lambda Function URL, HTTPS) → </w:t>
      </w:r>
      <w:r>
        <w:rPr>
          <w:rFonts w:ascii="Consolas" w:hAnsi="Consolas" w:eastAsia="Consolas"/>
        </w:rPr>
        <w:t>InvokeAgentRuntime</w:t>
      </w:r>
      <w:r>
        <w:t xml:space="preserve"> (SigV4) → AgentCore Runtime (container, linux/arm64).</w:t>
      </w:r>
    </w:p>
    <w:p>
      <w:pPr>
        <w:pStyle w:val="ListBullet"/>
        <w:spacing w:after="40"/>
      </w:pPr>
      <w:r>
        <w:t xml:space="preserve">Runtime → Bedrock (Claude Sonnet 4.5 via the </w:t>
      </w:r>
      <w:r>
        <w:rPr>
          <w:rFonts w:ascii="Consolas" w:hAnsi="Consolas" w:eastAsia="Consolas"/>
        </w:rPr>
        <w:t>us.</w:t>
      </w:r>
      <w:r>
        <w:t xml:space="preserve"> cross-region inference profile), AgentCore Memory, and AgentCore Gateway (MCP over HTTPS, SigV4 service name </w:t>
      </w:r>
      <w:r>
        <w:rPr>
          <w:rFonts w:ascii="Consolas" w:hAnsi="Consolas" w:eastAsia="Consolas"/>
        </w:rPr>
        <w:t>bedrock-agentcore</w:t>
      </w:r>
      <w:r>
        <w:t>).</w:t>
      </w:r>
    </w:p>
    <w:p>
      <w:pPr>
        <w:pStyle w:val="ListBullet"/>
        <w:spacing w:after="40"/>
      </w:pPr>
      <w:r>
        <w:t>Gateway → four Lambda targets → DynamoDB. The GitHub target can instead call a self-hosted Gitea on EC2 (real branch, commit and pull-request backend).</w:t>
      </w:r>
    </w:p>
    <w:p>
      <w:pPr>
        <w:pStyle w:val="ListBullet"/>
        <w:spacing w:after="40"/>
      </w:pPr>
      <w:r>
        <w:t>Write actions (create story, branch, commit, pull request, incident) pass a human-in-the-loop approval gate before they execute.</w:t>
      </w:r>
    </w:p>
    <w:p>
      <w:pPr>
        <w:spacing w:after="40"/>
      </w:pPr>
    </w:p>
    <w:p>
      <w:pPr>
        <w:pStyle w:val="Heading3"/>
      </w:pPr>
      <w:r>
        <w:t>Deployed CloudFormation stacks (12)</w:t>
      </w:r>
    </w:p>
    <w:tbl>
      <w:tblPr>
        <w:tblStyle w:val="TableGrid"/>
        <w:tblW w:type="auto" w:w="0"/>
        <w:jc w:val="center"/>
        <w:tblLayout w:type="fixed"/>
        <w:tblLayout w:type="fixed"/>
        <w:tblLook w:firstColumn="1" w:firstRow="1" w:lastColumn="0" w:lastRow="0" w:noHBand="0" w:noVBand="1" w:val="04A0"/>
      </w:tblPr>
      <w:tblGrid>
        <w:gridCol w:w="3312"/>
        <w:gridCol w:w="3312"/>
        <w:gridCol w:w="3312"/>
      </w:tblGrid>
      <w:tr>
        <w:trPr>
          <w:tblHeader w:val="true"/>
        </w:trPr>
        <w:tc>
          <w:tcPr>
            <w:tcW w:type="dxa" w:w="2448"/>
            <w:shd w:val="clear" w:color="auto" w:fill="1F3864"/>
          </w:tcPr>
          <w:p>
            <w:pPr>
              <w:spacing w:after="40" w:before="0"/>
            </w:pPr>
            <w:r/>
            <w:r>
              <w:rPr>
                <w:b/>
                <w:color w:val="FFFFFF"/>
                <w:sz w:val="17"/>
              </w:rPr>
              <w:t>Stack</w:t>
            </w:r>
          </w:p>
        </w:tc>
        <w:tc>
          <w:tcPr>
            <w:tcW w:type="dxa" w:w="2304"/>
            <w:shd w:val="clear" w:color="auto" w:fill="1F3864"/>
          </w:tcPr>
          <w:p>
            <w:pPr>
              <w:spacing w:after="40" w:before="0"/>
            </w:pPr>
            <w:r/>
            <w:r>
              <w:rPr>
                <w:b/>
                <w:color w:val="FFFFFF"/>
                <w:sz w:val="17"/>
              </w:rPr>
              <w:t>Purpose</w:t>
            </w:r>
          </w:p>
        </w:tc>
        <w:tc>
          <w:tcPr>
            <w:tcW w:type="dxa" w:w="5184"/>
            <w:shd w:val="clear" w:color="auto" w:fill="1F3864"/>
          </w:tcPr>
          <w:p>
            <w:pPr>
              <w:spacing w:after="40" w:before="0"/>
            </w:pPr>
            <w:r/>
            <w:r>
              <w:rPr>
                <w:b/>
                <w:color w:val="FFFFFF"/>
                <w:sz w:val="17"/>
              </w:rPr>
              <w:t>Key AWS resources</w:t>
            </w:r>
          </w:p>
        </w:tc>
      </w:tr>
      <w:tr>
        <w:trPr>
          <w:cantSplit w:val="true"/>
        </w:trPr>
        <w:tc>
          <w:tcPr>
            <w:tcW w:type="dxa" w:w="2448"/>
            <w:shd w:val="clear" w:color="auto" w:fill="EEF2F8"/>
          </w:tcPr>
          <w:p>
            <w:pPr>
              <w:spacing w:after="40" w:before="0"/>
            </w:pPr>
            <w:r/>
            <w:r>
              <w:rPr>
                <w:b/>
                <w:sz w:val="17"/>
              </w:rPr>
              <w:t>MahaloMockJiraStack</w:t>
            </w:r>
          </w:p>
        </w:tc>
        <w:tc>
          <w:tcPr>
            <w:tcW w:type="dxa" w:w="2304"/>
          </w:tcPr>
          <w:p>
            <w:pPr>
              <w:spacing w:after="40" w:before="0"/>
            </w:pPr>
            <w:r/>
            <w:r>
              <w:rPr>
                <w:sz w:val="17"/>
              </w:rPr>
              <w:t>Mock Jira API</w:t>
            </w:r>
          </w:p>
        </w:tc>
        <w:tc>
          <w:tcPr>
            <w:tcW w:type="dxa" w:w="5184"/>
          </w:tcPr>
          <w:p>
            <w:pPr>
              <w:spacing w:after="40" w:before="0"/>
            </w:pPr>
            <w:r/>
            <w:r>
              <w:rPr>
                <w:sz w:val="17"/>
              </w:rPr>
              <w:t xml:space="preserve">Lambda (python3.13, 256 MB, 30 s), DynamoDB on-demand table, Function URL (AuthType NONE; the function enforces a static </w:t>
            </w:r>
            <w:r>
              <w:rPr>
                <w:rFonts w:ascii="Consolas" w:hAnsi="Consolas" w:eastAsia="Consolas"/>
                <w:sz w:val="17"/>
              </w:rPr>
              <w:t>X-API-Token</w:t>
            </w:r>
            <w:r>
              <w:rPr>
                <w:sz w:val="17"/>
              </w:rPr>
              <w:t>)</w:t>
            </w:r>
          </w:p>
        </w:tc>
      </w:tr>
      <w:tr>
        <w:trPr>
          <w:cantSplit w:val="true"/>
        </w:trPr>
        <w:tc>
          <w:tcPr>
            <w:tcW w:type="dxa" w:w="2448"/>
            <w:shd w:val="clear" w:color="auto" w:fill="EEF2F8"/>
          </w:tcPr>
          <w:p>
            <w:pPr>
              <w:spacing w:after="40" w:before="0"/>
            </w:pPr>
            <w:r/>
            <w:r>
              <w:rPr>
                <w:b/>
                <w:sz w:val="17"/>
              </w:rPr>
              <w:t>MahaloMockConfluenceStack</w:t>
            </w:r>
          </w:p>
        </w:tc>
        <w:tc>
          <w:tcPr>
            <w:tcW w:type="dxa" w:w="2304"/>
          </w:tcPr>
          <w:p>
            <w:pPr>
              <w:spacing w:after="40" w:before="0"/>
            </w:pPr>
            <w:r/>
            <w:r>
              <w:rPr>
                <w:sz w:val="17"/>
              </w:rPr>
              <w:t>Mock Confluence API</w:t>
            </w:r>
          </w:p>
        </w:tc>
        <w:tc>
          <w:tcPr>
            <w:tcW w:type="dxa" w:w="5184"/>
          </w:tcPr>
          <w:p>
            <w:pPr>
              <w:spacing w:after="40" w:before="0"/>
            </w:pPr>
            <w:r/>
            <w:r>
              <w:rPr>
                <w:sz w:val="17"/>
              </w:rPr>
              <w:t>Same pattern as Jira</w:t>
            </w:r>
          </w:p>
        </w:tc>
      </w:tr>
      <w:tr>
        <w:trPr>
          <w:cantSplit w:val="true"/>
        </w:trPr>
        <w:tc>
          <w:tcPr>
            <w:tcW w:type="dxa" w:w="2448"/>
            <w:shd w:val="clear" w:color="auto" w:fill="EEF2F8"/>
          </w:tcPr>
          <w:p>
            <w:pPr>
              <w:spacing w:after="40" w:before="0"/>
            </w:pPr>
            <w:r/>
            <w:r>
              <w:rPr>
                <w:b/>
                <w:sz w:val="17"/>
              </w:rPr>
              <w:t>MahaloMockGithubStack</w:t>
            </w:r>
          </w:p>
        </w:tc>
        <w:tc>
          <w:tcPr>
            <w:tcW w:type="dxa" w:w="2304"/>
          </w:tcPr>
          <w:p>
            <w:pPr>
              <w:spacing w:after="40" w:before="0"/>
            </w:pPr>
            <w:r/>
            <w:r>
              <w:rPr>
                <w:sz w:val="17"/>
              </w:rPr>
              <w:t>Mock GitHub API, optional real-Gitea backend</w:t>
            </w:r>
          </w:p>
        </w:tc>
        <w:tc>
          <w:tcPr>
            <w:tcW w:type="dxa" w:w="5184"/>
          </w:tcPr>
          <w:p>
            <w:pPr>
              <w:spacing w:after="40" w:before="0"/>
            </w:pPr>
            <w:r/>
            <w:r>
              <w:rPr>
                <w:sz w:val="17"/>
              </w:rPr>
              <w:t>Same pattern, plus Gitea URL settings and an SSM parameter read for the Gitea token</w:t>
            </w:r>
          </w:p>
        </w:tc>
      </w:tr>
      <w:tr>
        <w:trPr>
          <w:cantSplit w:val="true"/>
        </w:trPr>
        <w:tc>
          <w:tcPr>
            <w:tcW w:type="dxa" w:w="2448"/>
            <w:shd w:val="clear" w:color="auto" w:fill="EEF2F8"/>
          </w:tcPr>
          <w:p>
            <w:pPr>
              <w:spacing w:after="40" w:before="0"/>
            </w:pPr>
            <w:r/>
            <w:r>
              <w:rPr>
                <w:b/>
                <w:sz w:val="17"/>
              </w:rPr>
              <w:t>MahaloMockServicenowStack</w:t>
            </w:r>
          </w:p>
        </w:tc>
        <w:tc>
          <w:tcPr>
            <w:tcW w:type="dxa" w:w="2304"/>
          </w:tcPr>
          <w:p>
            <w:pPr>
              <w:spacing w:after="40" w:before="0"/>
            </w:pPr>
            <w:r/>
            <w:r>
              <w:rPr>
                <w:sz w:val="17"/>
              </w:rPr>
              <w:t>Mock ServiceNow API</w:t>
            </w:r>
          </w:p>
        </w:tc>
        <w:tc>
          <w:tcPr>
            <w:tcW w:type="dxa" w:w="5184"/>
          </w:tcPr>
          <w:p>
            <w:pPr>
              <w:spacing w:after="40" w:before="0"/>
            </w:pPr>
            <w:r/>
            <w:r>
              <w:rPr>
                <w:sz w:val="17"/>
              </w:rPr>
              <w:t>Same pattern as Jira</w:t>
            </w:r>
          </w:p>
        </w:tc>
      </w:tr>
      <w:tr>
        <w:trPr>
          <w:cantSplit w:val="true"/>
        </w:trPr>
        <w:tc>
          <w:tcPr>
            <w:tcW w:type="dxa" w:w="2448"/>
            <w:shd w:val="clear" w:color="auto" w:fill="EEF2F8"/>
          </w:tcPr>
          <w:p>
            <w:pPr>
              <w:spacing w:after="40" w:before="0"/>
            </w:pPr>
            <w:r/>
            <w:r>
              <w:rPr>
                <w:b/>
                <w:sz w:val="17"/>
              </w:rPr>
              <w:t>MahaloGatewayStack</w:t>
            </w:r>
          </w:p>
        </w:tc>
        <w:tc>
          <w:tcPr>
            <w:tcW w:type="dxa" w:w="2304"/>
          </w:tcPr>
          <w:p>
            <w:pPr>
              <w:spacing w:after="40" w:before="0"/>
            </w:pPr>
            <w:r/>
            <w:r>
              <w:rPr>
                <w:sz w:val="17"/>
              </w:rPr>
              <w:t>Exposes the four Lambdas as 27 MCP tools</w:t>
            </w:r>
          </w:p>
        </w:tc>
        <w:tc>
          <w:tcPr>
            <w:tcW w:type="dxa" w:w="5184"/>
          </w:tcPr>
          <w:p>
            <w:pPr>
              <w:spacing w:after="40" w:before="0"/>
            </w:pPr>
            <w:r/>
            <w:r>
              <w:rPr>
                <w:sz w:val="17"/>
              </w:rPr>
              <w:t>AgentCore Gateway (MCP, AWS_IAM inbound auth), four Lambda targets with inline tool schemas, Gateway IAM role, per-Lambda invoke permissions</w:t>
            </w:r>
          </w:p>
        </w:tc>
      </w:tr>
      <w:tr>
        <w:trPr>
          <w:cantSplit w:val="true"/>
        </w:trPr>
        <w:tc>
          <w:tcPr>
            <w:tcW w:type="dxa" w:w="2448"/>
            <w:shd w:val="clear" w:color="auto" w:fill="EEF2F8"/>
          </w:tcPr>
          <w:p>
            <w:pPr>
              <w:spacing w:after="40" w:before="0"/>
            </w:pPr>
            <w:r/>
            <w:r>
              <w:rPr>
                <w:b/>
                <w:sz w:val="17"/>
              </w:rPr>
              <w:t>MahaloMemoryIdentityStack</w:t>
            </w:r>
          </w:p>
        </w:tc>
        <w:tc>
          <w:tcPr>
            <w:tcW w:type="dxa" w:w="2304"/>
          </w:tcPr>
          <w:p>
            <w:pPr>
              <w:spacing w:after="40" w:before="0"/>
            </w:pPr>
            <w:r/>
            <w:r>
              <w:rPr>
                <w:sz w:val="17"/>
              </w:rPr>
              <w:t>Conversation memory</w:t>
            </w:r>
          </w:p>
        </w:tc>
        <w:tc>
          <w:tcPr>
            <w:tcW w:type="dxa" w:w="5184"/>
          </w:tcPr>
          <w:p>
            <w:pPr>
              <w:spacing w:after="40" w:before="0"/>
            </w:pPr>
            <w:r/>
            <w:r>
              <w:rPr>
                <w:sz w:val="17"/>
              </w:rPr>
              <w:t>AgentCore Memory (short-term). AgentCore Identity is deployed but disabled in the Runtime.</w:t>
            </w:r>
          </w:p>
        </w:tc>
      </w:tr>
      <w:tr>
        <w:trPr>
          <w:cantSplit w:val="true"/>
        </w:trPr>
        <w:tc>
          <w:tcPr>
            <w:tcW w:type="dxa" w:w="2448"/>
            <w:shd w:val="clear" w:color="auto" w:fill="EEF2F8"/>
          </w:tcPr>
          <w:p>
            <w:pPr>
              <w:spacing w:after="40" w:before="0"/>
            </w:pPr>
            <w:r/>
            <w:r>
              <w:rPr>
                <w:b/>
                <w:sz w:val="17"/>
              </w:rPr>
              <w:t>MahaloRuntimeStack</w:t>
            </w:r>
          </w:p>
        </w:tc>
        <w:tc>
          <w:tcPr>
            <w:tcW w:type="dxa" w:w="2304"/>
          </w:tcPr>
          <w:p>
            <w:pPr>
              <w:spacing w:after="40" w:before="0"/>
            </w:pPr>
            <w:r/>
            <w:r>
              <w:rPr>
                <w:sz w:val="17"/>
              </w:rPr>
              <w:t>Hosts the Strands agent</w:t>
            </w:r>
          </w:p>
        </w:tc>
        <w:tc>
          <w:tcPr>
            <w:tcW w:type="dxa" w:w="5184"/>
          </w:tcPr>
          <w:p>
            <w:pPr>
              <w:spacing w:after="40" w:before="0"/>
            </w:pPr>
            <w:r/>
            <w:r>
              <w:rPr>
                <w:sz w:val="17"/>
              </w:rPr>
              <w:t>AgentCore Runtime (container image in ECR, linux/arm64), execution role, idle session timeout 15 min, max lifetime 8 h, tracing off</w:t>
            </w:r>
          </w:p>
        </w:tc>
      </w:tr>
      <w:tr>
        <w:trPr>
          <w:cantSplit w:val="true"/>
        </w:trPr>
        <w:tc>
          <w:tcPr>
            <w:tcW w:type="dxa" w:w="2448"/>
            <w:shd w:val="clear" w:color="auto" w:fill="EEF2F8"/>
          </w:tcPr>
          <w:p>
            <w:pPr>
              <w:spacing w:after="40" w:before="0"/>
            </w:pPr>
            <w:r/>
            <w:r>
              <w:rPr>
                <w:b/>
                <w:sz w:val="17"/>
              </w:rPr>
              <w:t>MahaloApiStack</w:t>
            </w:r>
          </w:p>
        </w:tc>
        <w:tc>
          <w:tcPr>
            <w:tcW w:type="dxa" w:w="2304"/>
          </w:tcPr>
          <w:p>
            <w:pPr>
              <w:spacing w:after="40" w:before="0"/>
            </w:pPr>
            <w:r/>
            <w:r>
              <w:rPr>
                <w:sz w:val="17"/>
              </w:rPr>
              <w:t>Thin API between browser and Runtime</w:t>
            </w:r>
          </w:p>
        </w:tc>
        <w:tc>
          <w:tcPr>
            <w:tcW w:type="dxa" w:w="5184"/>
          </w:tcPr>
          <w:p>
            <w:pPr>
              <w:spacing w:after="40" w:before="0"/>
            </w:pPr>
            <w:r/>
            <w:r>
              <w:rPr>
                <w:sz w:val="17"/>
              </w:rPr>
              <w:t>Lambda (python3.13, arm64, 512 MB, 300 s), Function URL (AuthType NONE, CORS *), permission to invoke the Runtime</w:t>
            </w:r>
          </w:p>
        </w:tc>
      </w:tr>
      <w:tr>
        <w:trPr>
          <w:cantSplit w:val="true"/>
        </w:trPr>
        <w:tc>
          <w:tcPr>
            <w:tcW w:type="dxa" w:w="2448"/>
            <w:shd w:val="clear" w:color="auto" w:fill="EEF2F8"/>
          </w:tcPr>
          <w:p>
            <w:pPr>
              <w:spacing w:after="40" w:before="0"/>
            </w:pPr>
            <w:r/>
            <w:r>
              <w:rPr>
                <w:b/>
                <w:sz w:val="17"/>
              </w:rPr>
              <w:t>MahaloDashboardStack</w:t>
            </w:r>
          </w:p>
        </w:tc>
        <w:tc>
          <w:tcPr>
            <w:tcW w:type="dxa" w:w="2304"/>
          </w:tcPr>
          <w:p>
            <w:pPr>
              <w:spacing w:after="40" w:before="0"/>
            </w:pPr>
            <w:r/>
            <w:r>
              <w:rPr>
                <w:sz w:val="17"/>
              </w:rPr>
              <w:t>Saved dashboard widgets per persona</w:t>
            </w:r>
          </w:p>
        </w:tc>
        <w:tc>
          <w:tcPr>
            <w:tcW w:type="dxa" w:w="5184"/>
          </w:tcPr>
          <w:p>
            <w:pPr>
              <w:spacing w:after="40" w:before="0"/>
            </w:pPr>
            <w:r/>
            <w:r>
              <w:rPr>
                <w:sz w:val="17"/>
              </w:rPr>
              <w:t>DynamoDB on-demand table, read and written through the thin API</w:t>
            </w:r>
          </w:p>
        </w:tc>
      </w:tr>
      <w:tr>
        <w:trPr>
          <w:cantSplit w:val="true"/>
        </w:trPr>
        <w:tc>
          <w:tcPr>
            <w:tcW w:type="dxa" w:w="2448"/>
            <w:shd w:val="clear" w:color="auto" w:fill="EEF2F8"/>
          </w:tcPr>
          <w:p>
            <w:pPr>
              <w:spacing w:after="40" w:before="0"/>
            </w:pPr>
            <w:r/>
            <w:r>
              <w:rPr>
                <w:b/>
                <w:sz w:val="17"/>
              </w:rPr>
              <w:t>MahaloFrontendStack</w:t>
            </w:r>
          </w:p>
        </w:tc>
        <w:tc>
          <w:tcPr>
            <w:tcW w:type="dxa" w:w="2304"/>
          </w:tcPr>
          <w:p>
            <w:pPr>
              <w:spacing w:after="40" w:before="0"/>
            </w:pPr>
            <w:r/>
            <w:r>
              <w:rPr>
                <w:sz w:val="17"/>
              </w:rPr>
              <w:t>Static web app</w:t>
            </w:r>
          </w:p>
        </w:tc>
        <w:tc>
          <w:tcPr>
            <w:tcW w:type="dxa" w:w="5184"/>
          </w:tcPr>
          <w:p>
            <w:pPr>
              <w:spacing w:after="40" w:before="0"/>
            </w:pPr>
            <w:r/>
            <w:r>
              <w:rPr>
                <w:sz w:val="17"/>
              </w:rPr>
              <w:t>S3 bucket (Block Public Access ALL, TLS-only), CloudFront with Origin Access Control, HTTP to HTTPS redirect</w:t>
            </w:r>
          </w:p>
        </w:tc>
      </w:tr>
      <w:tr>
        <w:trPr>
          <w:cantSplit w:val="true"/>
        </w:trPr>
        <w:tc>
          <w:tcPr>
            <w:tcW w:type="dxa" w:w="2448"/>
            <w:shd w:val="clear" w:color="auto" w:fill="EEF2F8"/>
          </w:tcPr>
          <w:p>
            <w:pPr>
              <w:spacing w:after="40" w:before="0"/>
            </w:pPr>
            <w:r/>
            <w:r>
              <w:rPr>
                <w:b/>
                <w:sz w:val="17"/>
              </w:rPr>
              <w:t>MahaloGiteaStack</w:t>
            </w:r>
          </w:p>
        </w:tc>
        <w:tc>
          <w:tcPr>
            <w:tcW w:type="dxa" w:w="2304"/>
          </w:tcPr>
          <w:p>
            <w:pPr>
              <w:spacing w:after="40" w:before="0"/>
            </w:pPr>
            <w:r/>
            <w:r>
              <w:rPr>
                <w:sz w:val="17"/>
              </w:rPr>
              <w:t>Real git backend</w:t>
            </w:r>
          </w:p>
        </w:tc>
        <w:tc>
          <w:tcPr>
            <w:tcW w:type="dxa" w:w="5184"/>
          </w:tcPr>
          <w:p>
            <w:pPr>
              <w:spacing w:after="40" w:before="0"/>
            </w:pPr>
            <w:r/>
            <w:r>
              <w:rPr>
                <w:sz w:val="17"/>
              </w:rPr>
              <w:t>Dedicated VPC (one public subnet, no NAT), EC2 t3.small Amazon Linux 2023, 20 GiB gp3, security group, CloudFront HTTPS front door, SSM SecureString parameters for the API token and admin password</w:t>
            </w:r>
          </w:p>
        </w:tc>
      </w:tr>
      <w:tr>
        <w:trPr>
          <w:cantSplit w:val="true"/>
        </w:trPr>
        <w:tc>
          <w:tcPr>
            <w:tcW w:type="dxa" w:w="2448"/>
            <w:shd w:val="clear" w:color="auto" w:fill="EEF2F8"/>
          </w:tcPr>
          <w:p>
            <w:pPr>
              <w:spacing w:after="40" w:before="0"/>
            </w:pPr>
            <w:r/>
            <w:r>
              <w:rPr>
                <w:b/>
                <w:sz w:val="17"/>
              </w:rPr>
              <w:t>MahaloBuilderStack</w:t>
            </w:r>
          </w:p>
        </w:tc>
        <w:tc>
          <w:tcPr>
            <w:tcW w:type="dxa" w:w="2304"/>
          </w:tcPr>
          <w:p>
            <w:pPr>
              <w:spacing w:after="40" w:before="0"/>
            </w:pPr>
            <w:r/>
            <w:r>
              <w:rPr>
                <w:sz w:val="17"/>
              </w:rPr>
              <w:t>Docker build host (a workaround)</w:t>
            </w:r>
          </w:p>
        </w:tc>
        <w:tc>
          <w:tcPr>
            <w:tcW w:type="dxa" w:w="5184"/>
          </w:tcPr>
          <w:p>
            <w:pPr>
              <w:spacing w:after="40" w:before="0"/>
            </w:pPr>
            <w:r/>
            <w:r>
              <w:rPr>
                <w:sz w:val="17"/>
              </w:rPr>
              <w:t>Dedicated VPC (one public subnet, no NAT), EC2 t4g.large arm64, 40 GiB gp3, security group with no ingress, role with AmazonSSMManagedInstanceCore and AdministratorAccess</w:t>
            </w:r>
          </w:p>
        </w:tc>
      </w:tr>
    </w:tbl>
    <w:p>
      <w:pPr>
        <w:spacing w:after="80"/>
      </w:pPr>
    </w:p>
    <w:p>
      <w:pPr>
        <w:pStyle w:val="Heading1"/>
      </w:pPr>
      <w:r>
        <w:t>3. Feature-by-feature comparison: corporate vs. commercial AWS</w:t>
      </w:r>
    </w:p>
    <w:p>
      <w:pPr>
        <w:spacing w:after="120"/>
      </w:pPr>
      <w:r>
        <w:t>The last column rates how much friction the corporate environment adds for that feature. Rows rated None or Low show that the corporate account is not hostile to the platform itself.</w:t>
      </w:r>
    </w:p>
    <w:tbl>
      <w:tblPr>
        <w:tblStyle w:val="TableGrid"/>
        <w:tblW w:type="auto" w:w="0"/>
        <w:jc w:val="center"/>
        <w:tblLayout w:type="fixed"/>
        <w:tblLayout w:type="fixed"/>
        <w:tblLook w:firstColumn="1" w:firstRow="1" w:lastColumn="0" w:lastRow="0" w:noHBand="0" w:noVBand="1" w:val="04A0"/>
      </w:tblPr>
      <w:tblGrid>
        <w:gridCol w:w="2484"/>
        <w:gridCol w:w="2484"/>
        <w:gridCol w:w="2484"/>
        <w:gridCol w:w="2484"/>
      </w:tblGrid>
      <w:tr>
        <w:trPr>
          <w:tblHeader w:val="true"/>
        </w:trPr>
        <w:tc>
          <w:tcPr>
            <w:tcW w:type="dxa" w:w="1728"/>
            <w:shd w:val="clear" w:color="auto" w:fill="1F3864"/>
          </w:tcPr>
          <w:p>
            <w:pPr>
              <w:spacing w:after="40" w:before="0"/>
            </w:pPr>
            <w:r/>
            <w:r>
              <w:rPr>
                <w:b/>
                <w:color w:val="FFFFFF"/>
                <w:sz w:val="17"/>
              </w:rPr>
              <w:t>Deployment feature</w:t>
            </w:r>
          </w:p>
        </w:tc>
        <w:tc>
          <w:tcPr>
            <w:tcW w:type="dxa" w:w="3672"/>
            <w:shd w:val="clear" w:color="auto" w:fill="1F3864"/>
          </w:tcPr>
          <w:p>
            <w:pPr>
              <w:spacing w:after="40" w:before="0"/>
            </w:pPr>
            <w:r/>
            <w:r>
              <w:rPr>
                <w:b/>
                <w:color w:val="FFFFFF"/>
                <w:sz w:val="17"/>
              </w:rPr>
              <w:t>In the corporate AWS / WorkSpaces environment</w:t>
            </w:r>
          </w:p>
        </w:tc>
        <w:tc>
          <w:tcPr>
            <w:tcW w:type="dxa" w:w="3600"/>
            <w:shd w:val="clear" w:color="auto" w:fill="1F3864"/>
          </w:tcPr>
          <w:p>
            <w:pPr>
              <w:spacing w:after="40" w:before="0"/>
            </w:pPr>
            <w:r/>
            <w:r>
              <w:rPr>
                <w:b/>
                <w:color w:val="FFFFFF"/>
                <w:sz w:val="17"/>
              </w:rPr>
              <w:t>In a commercial AWS account (personal or sandbox)</w:t>
            </w:r>
          </w:p>
        </w:tc>
        <w:tc>
          <w:tcPr>
            <w:tcW w:type="dxa" w:w="936"/>
            <w:shd w:val="clear" w:color="auto" w:fill="1F3864"/>
          </w:tcPr>
          <w:p>
            <w:pPr>
              <w:spacing w:after="40" w:before="0"/>
            </w:pPr>
            <w:r/>
            <w:r>
              <w:rPr>
                <w:b/>
                <w:color w:val="FFFFFF"/>
                <w:sz w:val="17"/>
              </w:rPr>
              <w:t>Friction</w:t>
            </w:r>
          </w:p>
        </w:tc>
      </w:tr>
      <w:tr>
        <w:trPr>
          <w:cantSplit w:val="true"/>
        </w:trPr>
        <w:tc>
          <w:tcPr>
            <w:tcW w:type="dxa" w:w="1728"/>
            <w:shd w:val="clear" w:color="auto" w:fill="EEF2F8"/>
          </w:tcPr>
          <w:p>
            <w:pPr>
              <w:spacing w:after="40" w:before="0"/>
            </w:pPr>
            <w:r/>
            <w:r>
              <w:rPr>
                <w:b/>
                <w:sz w:val="17"/>
              </w:rPr>
              <w:t>Web frontend</w:t>
            </w:r>
          </w:p>
          <w:p>
            <w:pPr>
              <w:spacing w:after="40" w:before="0"/>
            </w:pPr>
            <w:r>
              <w:rPr>
                <w:b/>
                <w:sz w:val="17"/>
              </w:rPr>
              <w:t>(Next.js static export)</w:t>
            </w:r>
          </w:p>
        </w:tc>
        <w:tc>
          <w:tcPr>
            <w:tcW w:type="dxa" w:w="3672"/>
          </w:tcPr>
          <w:p>
            <w:pPr>
              <w:spacing w:after="40" w:before="0"/>
            </w:pPr>
            <w:r/>
            <w:r>
              <w:rPr>
                <w:sz w:val="17"/>
              </w:rPr>
              <w:t>S3 (private, Block Public Access, TLS-only) plus CloudFront with Origin Access Control. Works.</w:t>
            </w:r>
          </w:p>
          <w:p>
            <w:pPr>
              <w:spacing w:after="40" w:before="0"/>
            </w:pPr>
            <w:r>
              <w:rPr>
                <w:sz w:val="17"/>
              </w:rPr>
              <w:t>The API URL is baked in at build time, so the site is built and synced by hand on the EC2 builder after the backend deploys (two-phase).</w:t>
            </w:r>
          </w:p>
        </w:tc>
        <w:tc>
          <w:tcPr>
            <w:tcW w:type="dxa" w:w="3600"/>
          </w:tcPr>
          <w:p>
            <w:pPr>
              <w:spacing w:after="40" w:before="0"/>
            </w:pPr>
            <w:r/>
            <w:r>
              <w:rPr>
                <w:sz w:val="17"/>
              </w:rPr>
              <w:t xml:space="preserve">Same S3 plus CloudFront, deployed from the developer machine in one scripted run (a planned </w:t>
            </w:r>
            <w:r>
              <w:rPr>
                <w:rFonts w:ascii="Consolas" w:hAnsi="Consolas" w:eastAsia="Consolas"/>
                <w:sz w:val="17"/>
              </w:rPr>
              <w:t>deploy.sh</w:t>
            </w:r>
            <w:r>
              <w:rPr>
                <w:sz w:val="17"/>
              </w:rPr>
              <w:t>).</w:t>
            </w:r>
          </w:p>
          <w:p>
            <w:pPr>
              <w:spacing w:after="40" w:before="0"/>
            </w:pPr>
            <w:r>
              <w:rPr>
                <w:sz w:val="17"/>
              </w:rPr>
              <w:t>Alternatives: AWS Amplify Hosting, or one EC2 running nginx in Docker.</w:t>
            </w:r>
          </w:p>
        </w:tc>
        <w:tc>
          <w:tcPr>
            <w:tcW w:type="dxa" w:w="936"/>
            <w:shd w:val="clear" w:color="auto" w:fill="E2F0D9"/>
          </w:tcPr>
          <w:p>
            <w:pPr>
              <w:spacing w:after="40" w:before="0"/>
            </w:pPr>
            <w:r/>
            <w:r>
              <w:rPr>
                <w:sz w:val="17"/>
              </w:rPr>
              <w:t>Low</w:t>
            </w:r>
          </w:p>
        </w:tc>
      </w:tr>
      <w:tr>
        <w:trPr>
          <w:cantSplit w:val="true"/>
        </w:trPr>
        <w:tc>
          <w:tcPr>
            <w:tcW w:type="dxa" w:w="1728"/>
            <w:shd w:val="clear" w:color="auto" w:fill="EEF2F8"/>
          </w:tcPr>
          <w:p>
            <w:pPr>
              <w:spacing w:after="40" w:before="0"/>
            </w:pPr>
            <w:r/>
            <w:r>
              <w:rPr>
                <w:b/>
                <w:sz w:val="17"/>
              </w:rPr>
              <w:t>Backend API</w:t>
            </w:r>
          </w:p>
          <w:p>
            <w:pPr>
              <w:spacing w:after="40" w:before="0"/>
            </w:pPr>
            <w:r>
              <w:rPr>
                <w:b/>
                <w:sz w:val="17"/>
              </w:rPr>
              <w:t>(thin API to the agent)</w:t>
            </w:r>
          </w:p>
        </w:tc>
        <w:tc>
          <w:tcPr>
            <w:tcW w:type="dxa" w:w="3672"/>
          </w:tcPr>
          <w:p>
            <w:pPr>
              <w:spacing w:after="40" w:before="0"/>
            </w:pPr>
            <w:r/>
            <w:r>
              <w:rPr>
                <w:sz w:val="17"/>
              </w:rPr>
              <w:t xml:space="preserve">Lambda (python3.13, arm64) behind a Function URL with </w:t>
            </w:r>
            <w:r>
              <w:rPr>
                <w:rFonts w:ascii="Consolas" w:hAnsi="Consolas" w:eastAsia="Consolas"/>
                <w:sz w:val="17"/>
              </w:rPr>
              <w:t>AuthType=NONE</w:t>
            </w:r>
            <w:r>
              <w:rPr>
                <w:sz w:val="17"/>
              </w:rPr>
              <w:t>, because Cognito identity pools are denied by SCP. The persona is asserted by a client-sent header.</w:t>
            </w:r>
          </w:p>
        </w:tc>
        <w:tc>
          <w:tcPr>
            <w:tcW w:type="dxa" w:w="3600"/>
          </w:tcPr>
          <w:p>
            <w:pPr>
              <w:spacing w:after="40" w:before="0"/>
            </w:pPr>
            <w:r/>
            <w:r>
              <w:rPr>
                <w:sz w:val="17"/>
              </w:rPr>
              <w:t>Same Lambda, with proper auth restored: Cognito user and identity pool with an IAM-authenticated Function URL, or API Gateway with a JWT authorizer.</w:t>
            </w:r>
          </w:p>
        </w:tc>
        <w:tc>
          <w:tcPr>
            <w:tcW w:type="dxa" w:w="936"/>
            <w:shd w:val="clear" w:color="auto" w:fill="F8D7DA"/>
          </w:tcPr>
          <w:p>
            <w:pPr>
              <w:spacing w:after="40" w:before="0"/>
            </w:pPr>
            <w:r/>
            <w:r>
              <w:rPr>
                <w:sz w:val="17"/>
              </w:rPr>
              <w:t>High</w:t>
            </w:r>
          </w:p>
          <w:p>
            <w:pPr>
              <w:spacing w:after="40" w:before="0"/>
            </w:pPr>
            <w:r>
              <w:rPr>
                <w:sz w:val="17"/>
              </w:rPr>
              <w:t>(security impact)</w:t>
            </w:r>
          </w:p>
        </w:tc>
      </w:tr>
      <w:tr>
        <w:trPr>
          <w:cantSplit w:val="true"/>
        </w:trPr>
        <w:tc>
          <w:tcPr>
            <w:tcW w:type="dxa" w:w="1728"/>
            <w:shd w:val="clear" w:color="auto" w:fill="EEF2F8"/>
          </w:tcPr>
          <w:p>
            <w:pPr>
              <w:spacing w:after="40" w:before="0"/>
            </w:pPr>
            <w:r/>
            <w:r>
              <w:rPr>
                <w:b/>
                <w:sz w:val="17"/>
              </w:rPr>
              <w:t>Mock services</w:t>
            </w:r>
          </w:p>
          <w:p>
            <w:pPr>
              <w:spacing w:after="40" w:before="0"/>
            </w:pPr>
            <w:r>
              <w:rPr>
                <w:b/>
                <w:sz w:val="17"/>
              </w:rPr>
              <w:t>(Jira, Confluence, GitHub, ServiceNow)</w:t>
            </w:r>
          </w:p>
        </w:tc>
        <w:tc>
          <w:tcPr>
            <w:tcW w:type="dxa" w:w="3672"/>
          </w:tcPr>
          <w:p>
            <w:pPr>
              <w:spacing w:after="40" w:before="0"/>
            </w:pPr>
            <w:r/>
            <w:r>
              <w:rPr>
                <w:sz w:val="17"/>
              </w:rPr>
              <w:t>Four Lambdas plus DynamoDB, each with a Function URL. Works. Data self-seeds on first call.</w:t>
            </w:r>
          </w:p>
        </w:tc>
        <w:tc>
          <w:tcPr>
            <w:tcW w:type="dxa" w:w="3600"/>
          </w:tcPr>
          <w:p>
            <w:pPr>
              <w:spacing w:after="40" w:before="0"/>
            </w:pPr>
            <w:r/>
            <w:r>
              <w:rPr>
                <w:sz w:val="17"/>
              </w:rPr>
              <w:t>Same.</w:t>
            </w:r>
          </w:p>
        </w:tc>
        <w:tc>
          <w:tcPr>
            <w:tcW w:type="dxa" w:w="936"/>
            <w:shd w:val="clear" w:color="auto" w:fill="E2F0D9"/>
          </w:tcPr>
          <w:p>
            <w:pPr>
              <w:spacing w:after="40" w:before="0"/>
            </w:pPr>
            <w:r/>
            <w:r>
              <w:rPr>
                <w:sz w:val="17"/>
              </w:rPr>
              <w:t>None</w:t>
            </w:r>
          </w:p>
        </w:tc>
      </w:tr>
      <w:tr>
        <w:trPr>
          <w:cantSplit w:val="true"/>
        </w:trPr>
        <w:tc>
          <w:tcPr>
            <w:tcW w:type="dxa" w:w="1728"/>
            <w:shd w:val="clear" w:color="auto" w:fill="EEF2F8"/>
          </w:tcPr>
          <w:p>
            <w:pPr>
              <w:spacing w:after="40" w:before="0"/>
            </w:pPr>
            <w:r/>
            <w:r>
              <w:rPr>
                <w:b/>
                <w:sz w:val="17"/>
              </w:rPr>
              <w:t>AI model and agent platform</w:t>
            </w:r>
          </w:p>
        </w:tc>
        <w:tc>
          <w:tcPr>
            <w:tcW w:type="dxa" w:w="3672"/>
          </w:tcPr>
          <w:p>
            <w:pPr>
              <w:spacing w:after="40" w:before="0"/>
            </w:pPr>
            <w:r/>
            <w:r>
              <w:rPr>
                <w:sz w:val="17"/>
              </w:rPr>
              <w:t xml:space="preserve">Bedrock Claude Sonnet 4.5 through the </w:t>
            </w:r>
            <w:r>
              <w:rPr>
                <w:rFonts w:ascii="Consolas" w:hAnsi="Consolas" w:eastAsia="Consolas"/>
                <w:sz w:val="17"/>
              </w:rPr>
              <w:t>us.</w:t>
            </w:r>
            <w:r>
              <w:rPr>
                <w:sz w:val="17"/>
              </w:rPr>
              <w:t xml:space="preserve"> inference profile, AgentCore Runtime, Gateway and Memory. All available in us-east-1 and working.</w:t>
            </w:r>
          </w:p>
        </w:tc>
        <w:tc>
          <w:tcPr>
            <w:tcW w:type="dxa" w:w="3600"/>
          </w:tcPr>
          <w:p>
            <w:pPr>
              <w:spacing w:after="40" w:before="0"/>
            </w:pPr>
            <w:r/>
            <w:r>
              <w:rPr>
                <w:sz w:val="17"/>
              </w:rPr>
              <w:t>Same services. Model access must be enabled and AgentCore must be available in the chosen region.</w:t>
            </w:r>
          </w:p>
        </w:tc>
        <w:tc>
          <w:tcPr>
            <w:tcW w:type="dxa" w:w="936"/>
            <w:shd w:val="clear" w:color="auto" w:fill="E2F0D9"/>
          </w:tcPr>
          <w:p>
            <w:pPr>
              <w:spacing w:after="40" w:before="0"/>
            </w:pPr>
            <w:r/>
            <w:r>
              <w:rPr>
                <w:sz w:val="17"/>
              </w:rPr>
              <w:t>None</w:t>
            </w:r>
          </w:p>
        </w:tc>
      </w:tr>
      <w:tr>
        <w:trPr>
          <w:cantSplit w:val="true"/>
        </w:trPr>
        <w:tc>
          <w:tcPr>
            <w:tcW w:type="dxa" w:w="1728"/>
            <w:shd w:val="clear" w:color="auto" w:fill="EEF2F8"/>
          </w:tcPr>
          <w:p>
            <w:pPr>
              <w:spacing w:after="40" w:before="0"/>
            </w:pPr>
            <w:r/>
            <w:r>
              <w:rPr>
                <w:b/>
                <w:sz w:val="17"/>
              </w:rPr>
              <w:t>Container image builds</w:t>
            </w:r>
          </w:p>
          <w:p>
            <w:pPr>
              <w:spacing w:after="40" w:before="0"/>
            </w:pPr>
            <w:r>
              <w:rPr>
                <w:b/>
                <w:sz w:val="17"/>
              </w:rPr>
              <w:t>(agent image linux/arm64; Lambda bundling aarch64)</w:t>
            </w:r>
          </w:p>
        </w:tc>
        <w:tc>
          <w:tcPr>
            <w:tcW w:type="dxa" w:w="3672"/>
          </w:tcPr>
          <w:p>
            <w:pPr>
              <w:spacing w:after="40" w:before="0"/>
            </w:pPr>
            <w:r/>
            <w:r>
              <w:rPr>
                <w:sz w:val="17"/>
              </w:rPr>
              <w:t>No Docker on the VDI (no nested virtualization). Needs a dedicated Graviton EC2 builder (t4g.large, 40 GiB) reached only through SSM, with an AdministratorAccess instance role. This is 1 of the 12 stacks.</w:t>
            </w:r>
          </w:p>
        </w:tc>
        <w:tc>
          <w:tcPr>
            <w:tcW w:type="dxa" w:w="3600"/>
          </w:tcPr>
          <w:p>
            <w:pPr>
              <w:spacing w:after="40" w:before="0"/>
            </w:pPr>
            <w:r/>
            <w:r>
              <w:rPr>
                <w:sz w:val="17"/>
              </w:rPr>
              <w:t xml:space="preserve">Docker on the developer machine, then </w:t>
            </w:r>
            <w:r>
              <w:rPr>
                <w:rFonts w:ascii="Consolas" w:hAnsi="Consolas" w:eastAsia="Consolas"/>
                <w:sz w:val="17"/>
              </w:rPr>
              <w:t>cdk deploy</w:t>
            </w:r>
            <w:r>
              <w:rPr>
                <w:sz w:val="17"/>
              </w:rPr>
              <w:t xml:space="preserve"> directly. On x86 hardware use Docker buildx (QEMU) for arm64; Apple Silicon is native. Alternative: CodeBuild. No builder stack.</w:t>
            </w:r>
          </w:p>
        </w:tc>
        <w:tc>
          <w:tcPr>
            <w:tcW w:type="dxa" w:w="936"/>
            <w:shd w:val="clear" w:color="auto" w:fill="F8D7DA"/>
          </w:tcPr>
          <w:p>
            <w:pPr>
              <w:spacing w:after="40" w:before="0"/>
            </w:pPr>
            <w:r/>
            <w:r>
              <w:rPr>
                <w:sz w:val="17"/>
              </w:rPr>
              <w:t>High</w:t>
            </w:r>
          </w:p>
        </w:tc>
      </w:tr>
      <w:tr>
        <w:trPr>
          <w:cantSplit w:val="true"/>
        </w:trPr>
        <w:tc>
          <w:tcPr>
            <w:tcW w:type="dxa" w:w="1728"/>
            <w:shd w:val="clear" w:color="auto" w:fill="EEF2F8"/>
          </w:tcPr>
          <w:p>
            <w:pPr>
              <w:spacing w:after="40" w:before="0"/>
            </w:pPr>
            <w:r/>
            <w:r>
              <w:rPr>
                <w:b/>
                <w:sz w:val="17"/>
              </w:rPr>
              <w:t>Self-hosted Git server</w:t>
            </w:r>
          </w:p>
          <w:p>
            <w:pPr>
              <w:spacing w:after="40" w:before="0"/>
            </w:pPr>
            <w:r>
              <w:rPr>
                <w:b/>
                <w:sz w:val="17"/>
              </w:rPr>
              <w:t>(Gitea)</w:t>
            </w:r>
          </w:p>
        </w:tc>
        <w:tc>
          <w:tcPr>
            <w:tcW w:type="dxa" w:w="3672"/>
          </w:tcPr>
          <w:p>
            <w:pPr>
              <w:spacing w:after="40" w:before="0"/>
            </w:pPr>
            <w:r/>
            <w:r>
              <w:rPr>
                <w:sz w:val="17"/>
              </w:rPr>
              <w:t>EC2 t3.small in Docker. An inbound rule of 0.0.0.0/0 on TCP 3000 is removed automatically within seconds, and the office network reaches only 443. Gitea therefore sits behind a CloudFront distribution (HTTPS 443 to origin HTTP 3000) with the origin port limited to the CloudFront prefix list. The distribution was created out-of-band.</w:t>
            </w:r>
          </w:p>
        </w:tc>
        <w:tc>
          <w:tcPr>
            <w:tcW w:type="dxa" w:w="3600"/>
          </w:tcPr>
          <w:p>
            <w:pPr>
              <w:spacing w:after="40" w:before="0"/>
            </w:pPr>
            <w:r/>
            <w:r>
              <w:rPr>
                <w:sz w:val="17"/>
              </w:rPr>
              <w:t>EC2 t3.small in Docker with port 3000 opened directly (optionally narrowed to your IP), or behind an ALB. No CloudFront needed, and everything is in CDK.</w:t>
            </w:r>
          </w:p>
        </w:tc>
        <w:tc>
          <w:tcPr>
            <w:tcW w:type="dxa" w:w="936"/>
            <w:shd w:val="clear" w:color="auto" w:fill="F8D7DA"/>
          </w:tcPr>
          <w:p>
            <w:pPr>
              <w:spacing w:after="40" w:before="0"/>
            </w:pPr>
            <w:r/>
            <w:r>
              <w:rPr>
                <w:sz w:val="17"/>
              </w:rPr>
              <w:t>High</w:t>
            </w:r>
          </w:p>
        </w:tc>
      </w:tr>
      <w:tr>
        <w:trPr>
          <w:cantSplit w:val="true"/>
        </w:trPr>
        <w:tc>
          <w:tcPr>
            <w:tcW w:type="dxa" w:w="1728"/>
            <w:shd w:val="clear" w:color="auto" w:fill="EEF2F8"/>
          </w:tcPr>
          <w:p>
            <w:pPr>
              <w:spacing w:after="40" w:before="0"/>
            </w:pPr>
            <w:r/>
            <w:r>
              <w:rPr>
                <w:b/>
                <w:sz w:val="17"/>
              </w:rPr>
              <w:t>Host administration</w:t>
            </w:r>
          </w:p>
        </w:tc>
        <w:tc>
          <w:tcPr>
            <w:tcW w:type="dxa" w:w="3672"/>
          </w:tcPr>
          <w:p>
            <w:pPr>
              <w:spacing w:after="40" w:before="0"/>
            </w:pPr>
            <w:r/>
            <w:r>
              <w:rPr>
                <w:sz w:val="17"/>
              </w:rPr>
              <w:t>No SSH or inbound access. SSM Session Manager and Run Command only, so every instance needs an SSM-capable instance role.</w:t>
            </w:r>
          </w:p>
        </w:tc>
        <w:tc>
          <w:tcPr>
            <w:tcW w:type="dxa" w:w="3600"/>
          </w:tcPr>
          <w:p>
            <w:pPr>
              <w:spacing w:after="40" w:before="0"/>
            </w:pPr>
            <w:r/>
            <w:r>
              <w:rPr>
                <w:sz w:val="17"/>
              </w:rPr>
              <w:t>SSH or SSM, developer's choice.</w:t>
            </w:r>
          </w:p>
        </w:tc>
        <w:tc>
          <w:tcPr>
            <w:tcW w:type="dxa" w:w="936"/>
            <w:shd w:val="clear" w:color="auto" w:fill="FFF3CD"/>
          </w:tcPr>
          <w:p>
            <w:pPr>
              <w:spacing w:after="40" w:before="0"/>
            </w:pPr>
            <w:r/>
            <w:r>
              <w:rPr>
                <w:sz w:val="17"/>
              </w:rPr>
              <w:t>Medium</w:t>
            </w:r>
          </w:p>
        </w:tc>
      </w:tr>
      <w:tr>
        <w:trPr>
          <w:cantSplit w:val="true"/>
        </w:trPr>
        <w:tc>
          <w:tcPr>
            <w:tcW w:type="dxa" w:w="1728"/>
            <w:shd w:val="clear" w:color="auto" w:fill="EEF2F8"/>
          </w:tcPr>
          <w:p>
            <w:pPr>
              <w:spacing w:after="40" w:before="0"/>
            </w:pPr>
            <w:r/>
            <w:r>
              <w:rPr>
                <w:b/>
                <w:sz w:val="17"/>
              </w:rPr>
              <w:t>Deploy credentials</w:t>
            </w:r>
          </w:p>
        </w:tc>
        <w:tc>
          <w:tcPr>
            <w:tcW w:type="dxa" w:w="3672"/>
          </w:tcPr>
          <w:p>
            <w:pPr>
              <w:spacing w:after="40" w:before="0"/>
            </w:pPr>
            <w:r/>
            <w:r>
              <w:rPr>
                <w:sz w:val="17"/>
              </w:rPr>
              <w:t xml:space="preserve">SSO credentials expire about hourly. CDK and the Node SDK cannot read the CLI's SSO token cache on the VDI, so credentials are exported into environment variables with </w:t>
            </w:r>
            <w:r>
              <w:rPr>
                <w:rFonts w:ascii="Consolas" w:hAnsi="Consolas" w:eastAsia="Consolas"/>
                <w:sz w:val="17"/>
              </w:rPr>
              <w:t>aws configure export-credentials</w:t>
            </w:r>
            <w:r>
              <w:rPr>
                <w:sz w:val="17"/>
              </w:rPr>
              <w:t xml:space="preserve"> before each CDK run.</w:t>
            </w:r>
          </w:p>
        </w:tc>
        <w:tc>
          <w:tcPr>
            <w:tcW w:type="dxa" w:w="3600"/>
          </w:tcPr>
          <w:p>
            <w:pPr>
              <w:spacing w:after="40" w:before="0"/>
            </w:pPr>
            <w:r/>
            <w:r>
              <w:rPr>
                <w:sz w:val="17"/>
              </w:rPr>
              <w:t>Configure credentials once (Identity Center or access keys). No re-export.</w:t>
            </w:r>
          </w:p>
        </w:tc>
        <w:tc>
          <w:tcPr>
            <w:tcW w:type="dxa" w:w="936"/>
            <w:shd w:val="clear" w:color="auto" w:fill="FFF3CD"/>
          </w:tcPr>
          <w:p>
            <w:pPr>
              <w:spacing w:after="40" w:before="0"/>
            </w:pPr>
            <w:r/>
            <w:r>
              <w:rPr>
                <w:sz w:val="17"/>
              </w:rPr>
              <w:t>Medium</w:t>
            </w:r>
          </w:p>
        </w:tc>
      </w:tr>
      <w:tr>
        <w:trPr>
          <w:cantSplit w:val="true"/>
        </w:trPr>
        <w:tc>
          <w:tcPr>
            <w:tcW w:type="dxa" w:w="1728"/>
            <w:shd w:val="clear" w:color="auto" w:fill="EEF2F8"/>
          </w:tcPr>
          <w:p>
            <w:pPr>
              <w:spacing w:after="40" w:before="0"/>
            </w:pPr>
            <w:r/>
            <w:r>
              <w:rPr>
                <w:b/>
                <w:sz w:val="17"/>
              </w:rPr>
              <w:t>Observability</w:t>
            </w:r>
          </w:p>
          <w:p>
            <w:pPr>
              <w:spacing w:after="40" w:before="0"/>
            </w:pPr>
            <w:r>
              <w:rPr>
                <w:b/>
                <w:sz w:val="17"/>
              </w:rPr>
              <w:t>(tracing)</w:t>
            </w:r>
          </w:p>
        </w:tc>
        <w:tc>
          <w:tcPr>
            <w:tcW w:type="dxa" w:w="3672"/>
          </w:tcPr>
          <w:p>
            <w:pPr>
              <w:spacing w:after="40" w:before="0"/>
            </w:pPr>
            <w:r/>
            <w:r>
              <w:rPr>
                <w:sz w:val="17"/>
              </w:rPr>
              <w:t>AgentCore Runtime tracing needs a one-time account-level X-Ray setting. Not enabled, so there are no span-level traces and latency analysis had to infer model time from totals.</w:t>
            </w:r>
          </w:p>
        </w:tc>
        <w:tc>
          <w:tcPr>
            <w:tcW w:type="dxa" w:w="3600"/>
          </w:tcPr>
          <w:p>
            <w:pPr>
              <w:spacing w:after="40" w:before="0"/>
            </w:pPr>
            <w:r/>
            <w:r>
              <w:rPr>
                <w:sz w:val="17"/>
              </w:rPr>
              <w:t>Enable the setting once in your own account.</w:t>
            </w:r>
          </w:p>
        </w:tc>
        <w:tc>
          <w:tcPr>
            <w:tcW w:type="dxa" w:w="936"/>
            <w:shd w:val="clear" w:color="auto" w:fill="E2F0D9"/>
          </w:tcPr>
          <w:p>
            <w:pPr>
              <w:spacing w:after="40" w:before="0"/>
            </w:pPr>
            <w:r/>
            <w:r>
              <w:rPr>
                <w:sz w:val="17"/>
              </w:rPr>
              <w:t>Low</w:t>
            </w:r>
          </w:p>
        </w:tc>
      </w:tr>
      <w:tr>
        <w:trPr>
          <w:cantSplit w:val="true"/>
        </w:trPr>
        <w:tc>
          <w:tcPr>
            <w:tcW w:type="dxa" w:w="1728"/>
            <w:shd w:val="clear" w:color="auto" w:fill="EEF2F8"/>
          </w:tcPr>
          <w:p>
            <w:pPr>
              <w:spacing w:after="40" w:before="0"/>
            </w:pPr>
            <w:r/>
            <w:r>
              <w:rPr>
                <w:b/>
                <w:sz w:val="17"/>
              </w:rPr>
              <w:t>Repeatability</w:t>
            </w:r>
          </w:p>
          <w:p>
            <w:pPr>
              <w:spacing w:after="40" w:before="0"/>
            </w:pPr>
            <w:r>
              <w:rPr>
                <w:b/>
                <w:sz w:val="17"/>
              </w:rPr>
              <w:t>(clone and run)</w:t>
            </w:r>
          </w:p>
        </w:tc>
        <w:tc>
          <w:tcPr>
            <w:tcW w:type="dxa" w:w="3672"/>
          </w:tcPr>
          <w:p>
            <w:pPr>
              <w:spacing w:after="40" w:before="0"/>
            </w:pPr>
            <w:r/>
            <w:r>
              <w:rPr>
                <w:sz w:val="17"/>
              </w:rPr>
              <w:t>Needs SSO login, the builder host, SSM sessions and manual runbook steps. A new person cannot run it unaided.</w:t>
            </w:r>
          </w:p>
        </w:tc>
        <w:tc>
          <w:tcPr>
            <w:tcW w:type="dxa" w:w="3600"/>
          </w:tcPr>
          <w:p>
            <w:pPr>
              <w:spacing w:after="40" w:before="0"/>
            </w:pPr>
            <w:r/>
            <w:r>
              <w:rPr>
                <w:rFonts w:ascii="Consolas" w:hAnsi="Consolas" w:eastAsia="Consolas"/>
                <w:sz w:val="17"/>
              </w:rPr>
              <w:t>git clone</w:t>
            </w:r>
            <w:r>
              <w:rPr>
                <w:sz w:val="17"/>
              </w:rPr>
              <w:t xml:space="preserve">, then one deploy script, then a working URL. </w:t>
            </w:r>
            <w:r>
              <w:rPr>
                <w:rFonts w:ascii="Consolas" w:hAnsi="Consolas" w:eastAsia="Consolas"/>
                <w:sz w:val="17"/>
              </w:rPr>
              <w:t>cdk destroy</w:t>
            </w:r>
            <w:r>
              <w:rPr>
                <w:sz w:val="17"/>
              </w:rPr>
              <w:t xml:space="preserve"> tears it down. (The script is planned; see the migration analysis.)</w:t>
            </w:r>
          </w:p>
        </w:tc>
        <w:tc>
          <w:tcPr>
            <w:tcW w:type="dxa" w:w="936"/>
            <w:shd w:val="clear" w:color="auto" w:fill="F8D7DA"/>
          </w:tcPr>
          <w:p>
            <w:pPr>
              <w:spacing w:after="40" w:before="0"/>
            </w:pPr>
            <w:r/>
            <w:r>
              <w:rPr>
                <w:sz w:val="17"/>
              </w:rPr>
              <w:t>High</w:t>
            </w:r>
          </w:p>
        </w:tc>
      </w:tr>
      <w:tr>
        <w:trPr>
          <w:cantSplit w:val="true"/>
        </w:trPr>
        <w:tc>
          <w:tcPr>
            <w:tcW w:type="dxa" w:w="1728"/>
            <w:shd w:val="clear" w:color="auto" w:fill="EEF2F8"/>
          </w:tcPr>
          <w:p>
            <w:pPr>
              <w:spacing w:after="40" w:before="0"/>
            </w:pPr>
            <w:r/>
            <w:r>
              <w:rPr>
                <w:b/>
                <w:sz w:val="17"/>
              </w:rPr>
              <w:t>Account lifecycle</w:t>
            </w:r>
          </w:p>
        </w:tc>
        <w:tc>
          <w:tcPr>
            <w:tcW w:type="dxa" w:w="3672"/>
          </w:tcPr>
          <w:p>
            <w:pPr>
              <w:spacing w:after="40" w:before="0"/>
            </w:pPr>
            <w:r/>
            <w:r>
              <w:rPr>
                <w:sz w:val="17"/>
              </w:rPr>
              <w:t>As we understand it, the account is reset on a monthly cadence. Every manual or out-of-band step must be redone. (To be confirmed with IT.)</w:t>
            </w:r>
          </w:p>
        </w:tc>
        <w:tc>
          <w:tcPr>
            <w:tcW w:type="dxa" w:w="3600"/>
          </w:tcPr>
          <w:p>
            <w:pPr>
              <w:spacing w:after="40" w:before="0"/>
            </w:pPr>
            <w:r/>
            <w:r>
              <w:rPr>
                <w:sz w:val="17"/>
              </w:rPr>
              <w:t>Persistent. The same script rebuilds or destroys on demand.</w:t>
            </w:r>
          </w:p>
        </w:tc>
        <w:tc>
          <w:tcPr>
            <w:tcW w:type="dxa" w:w="936"/>
            <w:shd w:val="clear" w:color="auto" w:fill="FFF3CD"/>
          </w:tcPr>
          <w:p>
            <w:pPr>
              <w:spacing w:after="40" w:before="0"/>
            </w:pPr>
            <w:r/>
            <w:r>
              <w:rPr>
                <w:sz w:val="17"/>
              </w:rPr>
              <w:t>Medium</w:t>
            </w:r>
          </w:p>
        </w:tc>
      </w:tr>
    </w:tbl>
    <w:p>
      <w:pPr>
        <w:spacing w:after="80"/>
      </w:pPr>
    </w:p>
    <w:p>
      <w:pPr>
        <w:pStyle w:val="Heading1"/>
      </w:pPr>
      <w:r>
        <w:t>4. Detailed findings (technical)</w:t>
      </w:r>
    </w:p>
    <w:p>
      <w:pPr>
        <w:spacing w:after="120"/>
      </w:pPr>
      <w:r>
        <w:t>Each finding lists what we observed, the technical detail, the workaround we built, what that workaround costs, and what we are asking for.</w:t>
      </w:r>
    </w:p>
    <w:p>
      <w:pPr>
        <w:pStyle w:val="Heading2"/>
      </w:pPr>
      <w:r>
        <w:t>4.1  No Docker on the WorkSpaces VDI</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Docker cannot run on the AWS WorkSpaces VDI (no nested virtualization), so the Docker-dependent CDK steps cannot run locally.</w:t>
            </w:r>
          </w:p>
        </w:tc>
      </w:tr>
      <w:tr>
        <w:trPr>
          <w:cantSplit w:val="true"/>
        </w:trPr>
        <w:tc>
          <w:tcPr>
            <w:tcW w:type="dxa" w:w="2088"/>
            <w:shd w:val="clear" w:color="auto" w:fill="EEF2F8"/>
          </w:tcPr>
          <w:p>
            <w:pPr>
              <w:spacing w:after="40" w:before="0"/>
            </w:pPr>
            <w:r/>
            <w:r>
              <w:rPr>
                <w:b/>
                <w:sz w:val="18"/>
              </w:rPr>
              <w:t>Technical detail</w:t>
            </w:r>
          </w:p>
        </w:tc>
        <w:tc>
          <w:tcPr>
            <w:tcW w:type="dxa" w:w="7848"/>
          </w:tcPr>
          <w:p>
            <w:pPr>
              <w:spacing w:after="40" w:before="0"/>
            </w:pPr>
            <w:r/>
            <w:r>
              <w:rPr>
                <w:sz w:val="18"/>
              </w:rPr>
              <w:t>Two stacks need Docker at deploy time.</w:t>
            </w:r>
          </w:p>
          <w:p>
            <w:pPr>
              <w:spacing w:after="40" w:before="0"/>
              <w:ind w:left="173" w:hanging="173"/>
            </w:pPr>
            <w:r>
              <w:rPr>
                <w:sz w:val="18"/>
              </w:rPr>
              <w:t xml:space="preserve">• </w:t>
            </w:r>
            <w:r>
              <w:rPr>
                <w:rFonts w:ascii="Consolas" w:hAnsi="Consolas" w:eastAsia="Consolas"/>
                <w:sz w:val="18"/>
              </w:rPr>
              <w:t>MahaloRuntimeStack</w:t>
            </w:r>
            <w:r>
              <w:rPr>
                <w:sz w:val="18"/>
              </w:rPr>
              <w:t xml:space="preserve"> builds the agent container (</w:t>
            </w:r>
            <w:r>
              <w:rPr>
                <w:rFonts w:ascii="Consolas" w:hAnsi="Consolas" w:eastAsia="Consolas"/>
                <w:sz w:val="18"/>
              </w:rPr>
              <w:t>FROM --platform=linux/arm64 python:3.13-slim</w:t>
            </w:r>
            <w:r>
              <w:rPr>
                <w:sz w:val="18"/>
              </w:rPr>
              <w:t xml:space="preserve">) through CDK </w:t>
            </w:r>
            <w:r>
              <w:rPr>
                <w:rFonts w:ascii="Consolas" w:hAnsi="Consolas" w:eastAsia="Consolas"/>
                <w:sz w:val="18"/>
              </w:rPr>
              <w:t>from_asset</w:t>
            </w:r>
            <w:r>
              <w:rPr>
                <w:sz w:val="18"/>
              </w:rPr>
              <w:t xml:space="preserve"> and pushes it to the CDK asset ECR repository.</w:t>
            </w:r>
          </w:p>
          <w:p>
            <w:pPr>
              <w:spacing w:after="40" w:before="0"/>
              <w:ind w:left="173" w:hanging="173"/>
            </w:pPr>
            <w:r>
              <w:rPr>
                <w:sz w:val="18"/>
              </w:rPr>
              <w:t xml:space="preserve">• </w:t>
            </w:r>
            <w:r>
              <w:rPr>
                <w:rFonts w:ascii="Consolas" w:hAnsi="Consolas" w:eastAsia="Consolas"/>
                <w:sz w:val="18"/>
              </w:rPr>
              <w:t>MahaloApiStack</w:t>
            </w:r>
            <w:r>
              <w:rPr>
                <w:sz w:val="18"/>
              </w:rPr>
              <w:t xml:space="preserve"> bundles Python dependencies in a Lambda build container targeting </w:t>
            </w:r>
            <w:r>
              <w:rPr>
                <w:rFonts w:ascii="Consolas" w:hAnsi="Consolas" w:eastAsia="Consolas"/>
                <w:sz w:val="18"/>
              </w:rPr>
              <w:t>manylinux2014_aarch64</w:t>
            </w:r>
            <w:r>
              <w:rPr>
                <w:sz w:val="18"/>
              </w:rPr>
              <w:t>.</w:t>
            </w:r>
          </w:p>
          <w:p>
            <w:pPr>
              <w:spacing w:after="40" w:before="0"/>
            </w:pPr>
            <w:r>
              <w:rPr>
                <w:rFonts w:ascii="Consolas" w:hAnsi="Consolas" w:eastAsia="Consolas"/>
                <w:sz w:val="18"/>
              </w:rPr>
              <w:t>cdk synth</w:t>
            </w:r>
            <w:r>
              <w:rPr>
                <w:sz w:val="18"/>
              </w:rPr>
              <w:t xml:space="preserve"> is Docker-free because the Docker steps are gated behind a context flag, so only deploy is affected. The agent image must be linux/arm64, so the build host must be arm64 too.</w:t>
            </w:r>
          </w:p>
        </w:tc>
      </w:tr>
      <w:tr>
        <w:trPr>
          <w:cantSplit w:val="true"/>
        </w:trPr>
        <w:tc>
          <w:tcPr>
            <w:tcW w:type="dxa" w:w="2088"/>
            <w:shd w:val="clear" w:color="auto" w:fill="EEF2F8"/>
          </w:tcPr>
          <w:p>
            <w:pPr>
              <w:spacing w:after="40" w:before="0"/>
            </w:pPr>
            <w:r/>
            <w:r>
              <w:rPr>
                <w:b/>
                <w:sz w:val="18"/>
              </w:rPr>
              <w:t>Workaround built</w:t>
            </w:r>
          </w:p>
        </w:tc>
        <w:tc>
          <w:tcPr>
            <w:tcW w:type="dxa" w:w="7848"/>
          </w:tcPr>
          <w:p>
            <w:pPr>
              <w:spacing w:after="40" w:before="0"/>
            </w:pPr>
            <w:r/>
            <w:r>
              <w:rPr>
                <w:rFonts w:ascii="Consolas" w:hAnsi="Consolas" w:eastAsia="Consolas"/>
                <w:sz w:val="18"/>
              </w:rPr>
              <w:t>MahaloBuilderStack</w:t>
            </w:r>
            <w:r>
              <w:rPr>
                <w:sz w:val="18"/>
              </w:rPr>
              <w:t xml:space="preserve">: a transient t4g.large (Graviton) Amazon Linux 2023 instance, 40 GiB gp3, public subnet with no NAT, security group with </w:t>
            </w:r>
            <w:r>
              <w:rPr>
                <w:b/>
                <w:sz w:val="18"/>
              </w:rPr>
              <w:t>zero ingress</w:t>
            </w:r>
            <w:r>
              <w:rPr>
                <w:sz w:val="18"/>
              </w:rPr>
              <w:t xml:space="preserve">, reached only through SSM Session Manager. UserData installs Docker, git, Node 24, Python 3.13 and CDK CLI 2.1145.0. Deploys run as </w:t>
            </w:r>
            <w:r>
              <w:rPr>
                <w:rFonts w:ascii="Consolas" w:hAnsi="Consolas" w:eastAsia="Consolas"/>
                <w:sz w:val="18"/>
              </w:rPr>
              <w:t>scripts/builder-deploy.sh</w:t>
            </w:r>
            <w:r>
              <w:rPr>
                <w:sz w:val="18"/>
              </w:rPr>
              <w:t xml:space="preserve"> phases over SSM Run Command. The instance role is AmazonSSMManagedInstanceCore plus </w:t>
            </w:r>
            <w:r>
              <w:rPr>
                <w:b/>
                <w:sz w:val="18"/>
              </w:rPr>
              <w:t>AdministratorAccess</w:t>
            </w:r>
            <w:r>
              <w:rPr>
                <w:sz w:val="18"/>
              </w:rPr>
              <w:t xml:space="preserve">, because it runs the full </w:t>
            </w:r>
            <w:r>
              <w:rPr>
                <w:rFonts w:ascii="Consolas" w:hAnsi="Consolas" w:eastAsia="Consolas"/>
                <w:sz w:val="18"/>
              </w:rPr>
              <w:t>cdk deploy</w:t>
            </w:r>
            <w:r>
              <w:rPr>
                <w:sz w:val="18"/>
              </w:rPr>
              <w:t xml:space="preserve"> across many services.</w:t>
            </w:r>
          </w:p>
        </w:tc>
      </w:tr>
      <w:tr>
        <w:trPr>
          <w:cantSplit w:val="true"/>
        </w:trPr>
        <w:tc>
          <w:tcPr>
            <w:tcW w:type="dxa" w:w="2088"/>
            <w:shd w:val="clear" w:color="auto" w:fill="EEF2F8"/>
          </w:tcPr>
          <w:p>
            <w:pPr>
              <w:spacing w:after="40" w:before="0"/>
            </w:pPr>
            <w:r/>
            <w:r>
              <w:rPr>
                <w:b/>
                <w:sz w:val="18"/>
              </w:rPr>
              <w:t>Cost of workaround</w:t>
            </w:r>
          </w:p>
        </w:tc>
        <w:tc>
          <w:tcPr>
            <w:tcW w:type="dxa" w:w="7848"/>
          </w:tcPr>
          <w:p>
            <w:pPr>
              <w:spacing w:after="40" w:before="0"/>
            </w:pPr>
            <w:r/>
            <w:r>
              <w:rPr>
                <w:sz w:val="18"/>
              </w:rPr>
              <w:t>An extra EC2 instance and VPC in the account, a broad-privilege role, an extra deploy hop through SSM, and a runbook that only an experienced operator can follow.</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Either enable Docker on the WorkSpaces image (WSL2 or a container runtime), or approve a managed build service (for example CodeBuild with an arm64 build environment pushing to ECR). Either removes the builder stack and its AdministratorAccess role.</w:t>
            </w:r>
          </w:p>
        </w:tc>
      </w:tr>
    </w:tbl>
    <w:p>
      <w:pPr>
        <w:spacing w:after="80"/>
      </w:pPr>
    </w:p>
    <w:p>
      <w:pPr>
        <w:pStyle w:val="Heading2"/>
      </w:pPr>
      <w:r>
        <w:t>4.2  Inbound security-group rules on non-standard ports are removed automatically</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 xml:space="preserve">On 2026-10-25, a rule allowing 0.0.0.0/0 on TCP 3000 (Gitea) was removed within seconds of being created. We have not seen the policy text. </w:t>
            </w:r>
            <w:r>
              <w:rPr>
                <w:b/>
                <w:sz w:val="18"/>
              </w:rPr>
              <w:t>We do not know the mechanism</w:t>
            </w:r>
            <w:r>
              <w:rPr>
                <w:sz w:val="18"/>
              </w:rPr>
              <w:t xml:space="preserve"> (it may be automated remediation, a Config rule, or an SCP-driven control). We describe only the behavior we observed.</w:t>
            </w:r>
          </w:p>
        </w:tc>
      </w:tr>
      <w:tr>
        <w:trPr>
          <w:cantSplit w:val="true"/>
        </w:trPr>
        <w:tc>
          <w:tcPr>
            <w:tcW w:type="dxa" w:w="2088"/>
            <w:shd w:val="clear" w:color="auto" w:fill="EEF2F8"/>
          </w:tcPr>
          <w:p>
            <w:pPr>
              <w:spacing w:after="40" w:before="0"/>
            </w:pPr>
            <w:r/>
            <w:r>
              <w:rPr>
                <w:b/>
                <w:sz w:val="18"/>
              </w:rPr>
              <w:t>Technical detail</w:t>
            </w:r>
          </w:p>
        </w:tc>
        <w:tc>
          <w:tcPr>
            <w:tcW w:type="dxa" w:w="7848"/>
          </w:tcPr>
          <w:p>
            <w:pPr>
              <w:spacing w:after="40" w:before="0"/>
            </w:pPr>
            <w:r/>
            <w:r>
              <w:rPr>
                <w:sz w:val="18"/>
              </w:rPr>
              <w:t xml:space="preserve">The infrastructure code defines the Gitea ingress through a </w:t>
            </w:r>
            <w:r>
              <w:rPr>
                <w:rFonts w:ascii="Consolas" w:hAnsi="Consolas" w:eastAsia="Consolas"/>
                <w:sz w:val="18"/>
              </w:rPr>
              <w:t>GiteaIngressCidr</w:t>
            </w:r>
            <w:r>
              <w:rPr>
                <w:sz w:val="18"/>
              </w:rPr>
              <w:t xml:space="preserve"> parameter that defaults to </w:t>
            </w:r>
            <w:r>
              <w:rPr>
                <w:rFonts w:ascii="Consolas" w:hAnsi="Consolas" w:eastAsia="Consolas"/>
                <w:sz w:val="18"/>
              </w:rPr>
              <w:t>0.0.0.0/0</w:t>
            </w:r>
            <w:r>
              <w:rPr>
                <w:sz w:val="18"/>
              </w:rPr>
              <w:t>. That default is removed whenever applied. A non-VPC Lambda has no fixed egress IP, so a source-IP allow-list is not possible for the Lambda path either.</w:t>
            </w:r>
          </w:p>
        </w:tc>
      </w:tr>
      <w:tr>
        <w:trPr>
          <w:cantSplit w:val="true"/>
        </w:trPr>
        <w:tc>
          <w:tcPr>
            <w:tcW w:type="dxa" w:w="2088"/>
            <w:shd w:val="clear" w:color="auto" w:fill="EEF2F8"/>
          </w:tcPr>
          <w:p>
            <w:pPr>
              <w:spacing w:after="40" w:before="0"/>
            </w:pPr>
            <w:r/>
            <w:r>
              <w:rPr>
                <w:b/>
                <w:sz w:val="18"/>
              </w:rPr>
              <w:t>Workaround built</w:t>
            </w:r>
          </w:p>
        </w:tc>
        <w:tc>
          <w:tcPr>
            <w:tcW w:type="dxa" w:w="7848"/>
          </w:tcPr>
          <w:p>
            <w:pPr>
              <w:spacing w:after="40" w:before="0"/>
            </w:pPr>
            <w:r/>
            <w:r>
              <w:rPr>
                <w:sz w:val="18"/>
              </w:rPr>
              <w:t xml:space="preserve">Port 3000 on the origin security group is scoped to the AWS-managed CloudFront origin-facing prefix list (recorded in our notes as </w:t>
            </w:r>
            <w:r>
              <w:rPr>
                <w:rFonts w:ascii="Consolas" w:hAnsi="Consolas" w:eastAsia="Consolas"/>
                <w:sz w:val="18"/>
              </w:rPr>
              <w:t>pl-3b927c52</w:t>
            </w:r>
            <w:r>
              <w:rPr>
                <w:sz w:val="18"/>
              </w:rPr>
              <w:t xml:space="preserve"> in us-east-1), which persisted. A CloudFront distribution fronts Gitea: viewer HTTPS on 443 (HTTP redirected), origin protocol HTTP on 3000, caching disabled, all HTTP methods, origin request policy </w:t>
            </w:r>
            <w:r>
              <w:rPr>
                <w:rFonts w:ascii="Consolas" w:hAnsi="Consolas" w:eastAsia="Consolas"/>
                <w:sz w:val="18"/>
              </w:rPr>
              <w:t>AllViewerExceptHostHeader</w:t>
            </w:r>
            <w:r>
              <w:rPr>
                <w:sz w:val="18"/>
              </w:rPr>
              <w:t>. The GitHub mock Lambda reaches Gitea through the same CloudFront HTTPS URL.</w:t>
            </w:r>
          </w:p>
        </w:tc>
      </w:tr>
      <w:tr>
        <w:trPr>
          <w:cantSplit w:val="true"/>
        </w:trPr>
        <w:tc>
          <w:tcPr>
            <w:tcW w:type="dxa" w:w="2088"/>
            <w:shd w:val="clear" w:color="auto" w:fill="EEF2F8"/>
          </w:tcPr>
          <w:p>
            <w:pPr>
              <w:spacing w:after="40" w:before="0"/>
            </w:pPr>
            <w:r/>
            <w:r>
              <w:rPr>
                <w:b/>
                <w:sz w:val="18"/>
              </w:rPr>
              <w:t>Cost of workaround</w:t>
            </w:r>
          </w:p>
        </w:tc>
        <w:tc>
          <w:tcPr>
            <w:tcW w:type="dxa" w:w="7848"/>
          </w:tcPr>
          <w:p>
            <w:pPr>
              <w:spacing w:after="40" w:before="0"/>
            </w:pPr>
            <w:r/>
            <w:r>
              <w:rPr>
                <w:b/>
                <w:sz w:val="18"/>
              </w:rPr>
              <w:t>Infrastructure drift.</w:t>
            </w:r>
            <w:r>
              <w:rPr>
                <w:sz w:val="18"/>
              </w:rPr>
              <w:t xml:space="preserve"> The distribution was created with the AWS CLI because redeploying </w:t>
            </w:r>
            <w:r>
              <w:rPr>
                <w:rFonts w:ascii="Consolas" w:hAnsi="Consolas" w:eastAsia="Consolas"/>
                <w:sz w:val="18"/>
              </w:rPr>
              <w:t>MahaloGiteaStack</w:t>
            </w:r>
            <w:r>
              <w:rPr>
                <w:sz w:val="18"/>
              </w:rPr>
              <w:t xml:space="preserve"> was judged too risky: the stack owns a stateful EC2 instance and EBS volume, and the Elastic IP association was also done out-of-band. The CDK code mirrors the live distribution but has not been deployed. After an account reset, these steps must be recreated by hand.</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Document the mechanism and an approved exception path for demo workloads (for example a tag-based exemption, or a sandbox OU exempt for named ports to approved CIDRs). Alternatively publish a reusable ALB plus ACM pattern on 443 so teams stop improvising their own front doors.</w:t>
            </w:r>
          </w:p>
        </w:tc>
      </w:tr>
    </w:tbl>
    <w:p>
      <w:pPr>
        <w:spacing w:after="80"/>
      </w:pPr>
    </w:p>
    <w:p>
      <w:pPr>
        <w:pStyle w:val="Heading2"/>
      </w:pPr>
      <w:r>
        <w:t>4.3  The office network reaches only TCP 443</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 xml:space="preserve">A browser on the corporate network timed out when opening </w:t>
            </w:r>
            <w:r>
              <w:rPr>
                <w:rFonts w:ascii="Consolas" w:hAnsi="Consolas" w:eastAsia="Consolas"/>
                <w:sz w:val="18"/>
              </w:rPr>
              <w:t>http://&lt;host&gt;:3000</w:t>
            </w:r>
            <w:r>
              <w:rPr>
                <w:sz w:val="18"/>
              </w:rPr>
              <w:t>. Only 443 was reachable.</w:t>
            </w:r>
          </w:p>
        </w:tc>
      </w:tr>
      <w:tr>
        <w:trPr>
          <w:cantSplit w:val="true"/>
        </w:trPr>
        <w:tc>
          <w:tcPr>
            <w:tcW w:type="dxa" w:w="2088"/>
            <w:shd w:val="clear" w:color="auto" w:fill="EEF2F8"/>
          </w:tcPr>
          <w:p>
            <w:pPr>
              <w:spacing w:after="40" w:before="0"/>
            </w:pPr>
            <w:r/>
            <w:r>
              <w:rPr>
                <w:b/>
                <w:sz w:val="18"/>
              </w:rPr>
              <w:t>Technical detail</w:t>
            </w:r>
          </w:p>
        </w:tc>
        <w:tc>
          <w:tcPr>
            <w:tcW w:type="dxa" w:w="7848"/>
          </w:tcPr>
          <w:p>
            <w:pPr>
              <w:spacing w:after="40" w:before="0"/>
            </w:pPr>
            <w:r/>
            <w:r>
              <w:rPr>
                <w:sz w:val="18"/>
              </w:rPr>
              <w:t>Even when a security group allows a port, the network path from the office blocks it. Any service on a non-443 port is unusable from the office, so each service needs a TLS front door on 443.</w:t>
            </w:r>
          </w:p>
        </w:tc>
      </w:tr>
      <w:tr>
        <w:trPr>
          <w:cantSplit w:val="true"/>
        </w:trPr>
        <w:tc>
          <w:tcPr>
            <w:tcW w:type="dxa" w:w="2088"/>
            <w:shd w:val="clear" w:color="auto" w:fill="EEF2F8"/>
          </w:tcPr>
          <w:p>
            <w:pPr>
              <w:spacing w:after="40" w:before="0"/>
            </w:pPr>
            <w:r/>
            <w:r>
              <w:rPr>
                <w:b/>
                <w:sz w:val="18"/>
              </w:rPr>
              <w:t>Workaround built</w:t>
            </w:r>
          </w:p>
        </w:tc>
        <w:tc>
          <w:tcPr>
            <w:tcW w:type="dxa" w:w="7848"/>
          </w:tcPr>
          <w:p>
            <w:pPr>
              <w:spacing w:after="40" w:before="0"/>
            </w:pPr>
            <w:r/>
            <w:r>
              <w:rPr>
                <w:sz w:val="18"/>
              </w:rPr>
              <w:t>CloudFront on 443 (see 4.2).</w:t>
            </w:r>
          </w:p>
        </w:tc>
      </w:tr>
      <w:tr>
        <w:trPr>
          <w:cantSplit w:val="true"/>
        </w:trPr>
        <w:tc>
          <w:tcPr>
            <w:tcW w:type="dxa" w:w="2088"/>
            <w:shd w:val="clear" w:color="auto" w:fill="EEF2F8"/>
          </w:tcPr>
          <w:p>
            <w:pPr>
              <w:spacing w:after="40" w:before="0"/>
            </w:pPr>
            <w:r/>
            <w:r>
              <w:rPr>
                <w:b/>
                <w:sz w:val="18"/>
              </w:rPr>
              <w:t>Cost of workaround</w:t>
            </w:r>
          </w:p>
        </w:tc>
        <w:tc>
          <w:tcPr>
            <w:tcW w:type="dxa" w:w="7848"/>
          </w:tcPr>
          <w:p>
            <w:pPr>
              <w:spacing w:after="40" w:before="0"/>
            </w:pPr>
            <w:r/>
            <w:r>
              <w:rPr>
                <w:sz w:val="18"/>
              </w:rPr>
              <w:t>An additional distribution per service, plus the drift described above.</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Allow outbound access to an approved range of development ports for AWS address ranges, or publish and support a standard 443 front-door pattern.</w:t>
            </w:r>
          </w:p>
        </w:tc>
      </w:tr>
    </w:tbl>
    <w:p>
      <w:pPr>
        <w:spacing w:after="80"/>
      </w:pPr>
    </w:p>
    <w:p>
      <w:pPr>
        <w:pStyle w:val="Heading2"/>
      </w:pPr>
      <w:r>
        <w:t>4.4  SCP explicitly denies cognito-identity:CreateIdentityPool</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 xml:space="preserve">The original design gave the browser temporary credentials through a Cognito </w:t>
            </w:r>
            <w:r>
              <w:rPr>
                <w:b/>
                <w:sz w:val="18"/>
              </w:rPr>
              <w:t>unauthenticated identity pool</w:t>
            </w:r>
            <w:r>
              <w:rPr>
                <w:sz w:val="18"/>
              </w:rPr>
              <w:t>, then signed calls to an IAM-authenticated Lambda Function URL with SigV4. Pool creation was explicitly denied by an organization SCP (</w:t>
            </w:r>
            <w:r>
              <w:rPr>
                <w:rFonts w:ascii="Consolas" w:hAnsi="Consolas" w:eastAsia="Consolas"/>
                <w:sz w:val="18"/>
              </w:rPr>
              <w:t>cognito-identity:CreateIdentityPool</w:t>
            </w:r>
            <w:r>
              <w:rPr>
                <w:sz w:val="18"/>
              </w:rPr>
              <w:t>).</w:t>
            </w:r>
          </w:p>
        </w:tc>
      </w:tr>
      <w:tr>
        <w:trPr>
          <w:cantSplit w:val="true"/>
        </w:trPr>
        <w:tc>
          <w:tcPr>
            <w:tcW w:type="dxa" w:w="2088"/>
            <w:shd w:val="clear" w:color="auto" w:fill="EEF2F8"/>
          </w:tcPr>
          <w:p>
            <w:pPr>
              <w:spacing w:after="40" w:before="0"/>
            </w:pPr>
            <w:r/>
            <w:r>
              <w:rPr>
                <w:b/>
                <w:sz w:val="18"/>
              </w:rPr>
              <w:t>Technical detail</w:t>
            </w:r>
          </w:p>
        </w:tc>
        <w:tc>
          <w:tcPr>
            <w:tcW w:type="dxa" w:w="7848"/>
          </w:tcPr>
          <w:p>
            <w:pPr>
              <w:spacing w:after="40" w:before="0"/>
            </w:pPr>
            <w:r/>
            <w:r>
              <w:rPr>
                <w:sz w:val="18"/>
              </w:rPr>
              <w:t xml:space="preserve">To proceed, Cognito was removed from the frontend stack. The thin API Function URL changed from </w:t>
            </w:r>
            <w:r>
              <w:rPr>
                <w:rFonts w:ascii="Consolas" w:hAnsi="Consolas" w:eastAsia="Consolas"/>
                <w:sz w:val="18"/>
              </w:rPr>
              <w:t>AWS_IAM</w:t>
            </w:r>
            <w:r>
              <w:rPr>
                <w:sz w:val="18"/>
              </w:rPr>
              <w:t xml:space="preserve"> to </w:t>
            </w:r>
            <w:r>
              <w:rPr>
                <w:rFonts w:ascii="Consolas" w:hAnsi="Consolas" w:eastAsia="Consolas"/>
                <w:sz w:val="18"/>
              </w:rPr>
              <w:t>AuthType=NONE</w:t>
            </w:r>
            <w:r>
              <w:rPr>
                <w:sz w:val="18"/>
              </w:rPr>
              <w:t xml:space="preserve">. The browser now shows a client-side demo login (hard-coded persona credentials) and sends the chosen persona in an </w:t>
            </w:r>
            <w:r>
              <w:rPr>
                <w:rFonts w:ascii="Consolas" w:hAnsi="Consolas" w:eastAsia="Consolas"/>
                <w:sz w:val="18"/>
              </w:rPr>
              <w:t>X-Mahalo-Persona</w:t>
            </w:r>
            <w:r>
              <w:rPr>
                <w:sz w:val="18"/>
              </w:rPr>
              <w:t xml:space="preserve"> header. CORS allows any origin (there are no credentials to protect). The four mock-service Function URLs are also </w:t>
            </w:r>
            <w:r>
              <w:rPr>
                <w:rFonts w:ascii="Consolas" w:hAnsi="Consolas" w:eastAsia="Consolas"/>
                <w:sz w:val="18"/>
              </w:rPr>
              <w:t>AuthType=NONE</w:t>
            </w:r>
            <w:r>
              <w:rPr>
                <w:sz w:val="18"/>
              </w:rPr>
              <w:t xml:space="preserve">; each function enforces a static </w:t>
            </w:r>
            <w:r>
              <w:rPr>
                <w:rFonts w:ascii="Consolas" w:hAnsi="Consolas" w:eastAsia="Consolas"/>
                <w:sz w:val="18"/>
              </w:rPr>
              <w:t>X-API-Token</w:t>
            </w:r>
            <w:r>
              <w:rPr>
                <w:sz w:val="18"/>
              </w:rPr>
              <w:t xml:space="preserve"> itself.</w:t>
            </w:r>
          </w:p>
        </w:tc>
      </w:tr>
      <w:tr>
        <w:trPr>
          <w:cantSplit w:val="true"/>
        </w:trPr>
        <w:tc>
          <w:tcPr>
            <w:tcW w:type="dxa" w:w="2088"/>
            <w:shd w:val="clear" w:color="auto" w:fill="EEF2F8"/>
          </w:tcPr>
          <w:p>
            <w:pPr>
              <w:spacing w:after="40" w:before="0"/>
            </w:pPr>
            <w:r/>
            <w:r>
              <w:rPr>
                <w:b/>
                <w:sz w:val="18"/>
              </w:rPr>
              <w:t>Workaround built</w:t>
            </w:r>
          </w:p>
        </w:tc>
        <w:tc>
          <w:tcPr>
            <w:tcW w:type="dxa" w:w="7848"/>
          </w:tcPr>
          <w:p>
            <w:pPr>
              <w:spacing w:after="40" w:before="0"/>
            </w:pPr>
            <w:r/>
            <w:r>
              <w:rPr>
                <w:sz w:val="18"/>
              </w:rPr>
              <w:t>Client-side persona login plus public Function URLs, accepted as a demo-only risk because only synthetic data is used and no live systems are connected.</w:t>
            </w:r>
          </w:p>
        </w:tc>
      </w:tr>
      <w:tr>
        <w:trPr>
          <w:cantSplit w:val="true"/>
        </w:trPr>
        <w:tc>
          <w:tcPr>
            <w:tcW w:type="dxa" w:w="2088"/>
            <w:shd w:val="clear" w:color="auto" w:fill="EEF2F8"/>
          </w:tcPr>
          <w:p>
            <w:pPr>
              <w:spacing w:after="40" w:before="0"/>
            </w:pPr>
            <w:r/>
            <w:r>
              <w:rPr>
                <w:b/>
                <w:sz w:val="18"/>
              </w:rPr>
              <w:t>Cost of workaround</w:t>
            </w:r>
          </w:p>
        </w:tc>
        <w:tc>
          <w:tcPr>
            <w:tcW w:type="dxa" w:w="7848"/>
          </w:tcPr>
          <w:p>
            <w:pPr>
              <w:spacing w:after="40" w:before="0"/>
            </w:pPr>
            <w:r/>
            <w:r>
              <w:rPr>
                <w:b/>
                <w:sz w:val="18"/>
              </w:rPr>
              <w:t>A weaker security posture than designed.</w:t>
            </w:r>
            <w:r>
              <w:rPr>
                <w:sz w:val="18"/>
              </w:rPr>
              <w:t xml:space="preserve"> Anyone who knows a Function URL can call it. The persona is client-asserted, not verified.</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Tell us which authentication pattern is approved, and allow it in a sandbox: for example a Cognito user pool, IAM Identity Center with an ALB OIDC action, or API Gateway with a JWT or IAM authorizer. We can then restore verified authentication.</w:t>
            </w:r>
          </w:p>
        </w:tc>
      </w:tr>
    </w:tbl>
    <w:p>
      <w:pPr>
        <w:spacing w:after="80"/>
      </w:pPr>
    </w:p>
    <w:p>
      <w:pPr>
        <w:pStyle w:val="Heading2"/>
      </w:pPr>
      <w:r>
        <w:t>4.5  Credentials: hourly SSO expiry and CDK cannot read the SSO token cache</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SSO-derived credentials expire after about one hour. On the VDI, CDK and the Node SDK cannot read the AWS CLI v2 SSO token cache.</w:t>
            </w:r>
          </w:p>
        </w:tc>
      </w:tr>
      <w:tr>
        <w:trPr>
          <w:cantSplit w:val="true"/>
        </w:trPr>
        <w:tc>
          <w:tcPr>
            <w:tcW w:type="dxa" w:w="2088"/>
            <w:shd w:val="clear" w:color="auto" w:fill="EEF2F8"/>
          </w:tcPr>
          <w:p>
            <w:pPr>
              <w:spacing w:after="40" w:before="0"/>
            </w:pPr>
            <w:r/>
            <w:r>
              <w:rPr>
                <w:b/>
                <w:sz w:val="18"/>
              </w:rPr>
              <w:t>Technical detail</w:t>
            </w:r>
          </w:p>
        </w:tc>
        <w:tc>
          <w:tcPr>
            <w:tcW w:type="dxa" w:w="7848"/>
          </w:tcPr>
          <w:p>
            <w:pPr>
              <w:spacing w:after="40" w:before="0"/>
            </w:pPr>
            <w:r/>
            <w:r>
              <w:rPr>
                <w:sz w:val="18"/>
              </w:rPr>
              <w:t xml:space="preserve">Before every </w:t>
            </w:r>
            <w:r>
              <w:rPr>
                <w:rFonts w:ascii="Consolas" w:hAnsi="Consolas" w:eastAsia="Consolas"/>
                <w:sz w:val="18"/>
              </w:rPr>
              <w:t>cdk deploy</w:t>
            </w:r>
            <w:r>
              <w:rPr>
                <w:sz w:val="18"/>
              </w:rPr>
              <w:t xml:space="preserve"> or </w:t>
            </w:r>
            <w:r>
              <w:rPr>
                <w:rFonts w:ascii="Consolas" w:hAnsi="Consolas" w:eastAsia="Consolas"/>
                <w:sz w:val="18"/>
              </w:rPr>
              <w:t>cdk destroy</w:t>
            </w:r>
            <w:r>
              <w:rPr>
                <w:sz w:val="18"/>
              </w:rPr>
              <w:t xml:space="preserve">, we run </w:t>
            </w:r>
            <w:r>
              <w:rPr>
                <w:rFonts w:ascii="Consolas" w:hAnsi="Consolas" w:eastAsia="Consolas"/>
                <w:sz w:val="18"/>
              </w:rPr>
              <w:t>aws configure export-credentials --profile &lt;profile&gt; --format env-no-export</w:t>
            </w:r>
            <w:r>
              <w:rPr>
                <w:sz w:val="18"/>
              </w:rPr>
              <w:t xml:space="preserve"> and set each </w:t>
            </w:r>
            <w:r>
              <w:rPr>
                <w:rFonts w:ascii="Consolas" w:hAnsi="Consolas" w:eastAsia="Consolas"/>
                <w:sz w:val="18"/>
              </w:rPr>
              <w:t>AWS_*</w:t>
            </w:r>
            <w:r>
              <w:rPr>
                <w:sz w:val="18"/>
              </w:rPr>
              <w:t xml:space="preserve"> variable, then run CDK without </w:t>
            </w:r>
            <w:r>
              <w:rPr>
                <w:rFonts w:ascii="Consolas" w:hAnsi="Consolas" w:eastAsia="Consolas"/>
                <w:sz w:val="18"/>
              </w:rPr>
              <w:t>--profile</w:t>
            </w:r>
            <w:r>
              <w:rPr>
                <w:sz w:val="18"/>
              </w:rPr>
              <w:t xml:space="preserve">. The exported credentials last about an hour. If the SSO login itself has lapsed, a full </w:t>
            </w:r>
            <w:r>
              <w:rPr>
                <w:rFonts w:ascii="Consolas" w:hAnsi="Consolas" w:eastAsia="Consolas"/>
                <w:sz w:val="18"/>
              </w:rPr>
              <w:t>aws sso login</w:t>
            </w:r>
            <w:r>
              <w:rPr>
                <w:sz w:val="18"/>
              </w:rPr>
              <w:t xml:space="preserve"> is needed.</w:t>
            </w:r>
          </w:p>
        </w:tc>
      </w:tr>
      <w:tr>
        <w:trPr>
          <w:cantSplit w:val="true"/>
        </w:trPr>
        <w:tc>
          <w:tcPr>
            <w:tcW w:type="dxa" w:w="2088"/>
            <w:shd w:val="clear" w:color="auto" w:fill="EEF2F8"/>
          </w:tcPr>
          <w:p>
            <w:pPr>
              <w:spacing w:after="40" w:before="0"/>
            </w:pPr>
            <w:r/>
            <w:r>
              <w:rPr>
                <w:b/>
                <w:sz w:val="18"/>
              </w:rPr>
              <w:t>Workaround built</w:t>
            </w:r>
          </w:p>
        </w:tc>
        <w:tc>
          <w:tcPr>
            <w:tcW w:type="dxa" w:w="7848"/>
          </w:tcPr>
          <w:p>
            <w:pPr>
              <w:spacing w:after="40" w:before="0"/>
            </w:pPr>
            <w:r/>
            <w:r>
              <w:rPr>
                <w:sz w:val="18"/>
              </w:rPr>
              <w:t>Manual export before each CDK run, repeated as needed.</w:t>
            </w:r>
          </w:p>
        </w:tc>
      </w:tr>
      <w:tr>
        <w:trPr>
          <w:cantSplit w:val="true"/>
        </w:trPr>
        <w:tc>
          <w:tcPr>
            <w:tcW w:type="dxa" w:w="2088"/>
            <w:shd w:val="clear" w:color="auto" w:fill="EEF2F8"/>
          </w:tcPr>
          <w:p>
            <w:pPr>
              <w:spacing w:after="40" w:before="0"/>
            </w:pPr>
            <w:r/>
            <w:r>
              <w:rPr>
                <w:b/>
                <w:sz w:val="18"/>
              </w:rPr>
              <w:t>Cost of workaround</w:t>
            </w:r>
          </w:p>
        </w:tc>
        <w:tc>
          <w:tcPr>
            <w:tcW w:type="dxa" w:w="7848"/>
          </w:tcPr>
          <w:p>
            <w:pPr>
              <w:spacing w:after="40" w:before="0"/>
            </w:pPr>
            <w:r/>
            <w:r>
              <w:rPr>
                <w:sz w:val="18"/>
              </w:rPr>
              <w:t xml:space="preserve">Operator toil on every deploy. </w:t>
            </w:r>
            <w:r>
              <w:rPr>
                <w:b/>
                <w:sz w:val="18"/>
              </w:rPr>
              <w:t>Risk (not yet observed):</w:t>
            </w:r>
            <w:r>
              <w:rPr>
                <w:sz w:val="18"/>
              </w:rPr>
              <w:t xml:space="preserve"> a long deploy such as an arm64 image build plus stack update can span a credential expiry.</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 xml:space="preserve">A longer session duration for the developer permission set (for example 8 to 12 hours), and/or a supported </w:t>
            </w:r>
            <w:r>
              <w:rPr>
                <w:rFonts w:ascii="Consolas" w:hAnsi="Consolas" w:eastAsia="Consolas"/>
                <w:sz w:val="18"/>
              </w:rPr>
              <w:t>credential_process</w:t>
            </w:r>
            <w:r>
              <w:rPr>
                <w:sz w:val="18"/>
              </w:rPr>
              <w:t xml:space="preserve"> or SSO configuration that CDK can use on WorkSpaces.</w:t>
            </w:r>
          </w:p>
        </w:tc>
      </w:tr>
    </w:tbl>
    <w:p>
      <w:pPr>
        <w:spacing w:after="80"/>
      </w:pPr>
    </w:p>
    <w:p>
      <w:pPr>
        <w:pStyle w:val="Heading2"/>
      </w:pPr>
      <w:r>
        <w:t>4.6  Observability: one-time account-level X-Ray setting</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 xml:space="preserve">AgentCore Runtime tracing creates an X-Ray to CloudWatch Logs delivery pipeline. It needs a one-time account-level call to </w:t>
            </w:r>
            <w:r>
              <w:rPr>
                <w:rFonts w:ascii="Consolas" w:hAnsi="Consolas" w:eastAsia="Consolas"/>
                <w:sz w:val="18"/>
              </w:rPr>
              <w:t>UpdateTraceSegmentDestination</w:t>
            </w:r>
            <w:r>
              <w:rPr>
                <w:sz w:val="18"/>
              </w:rPr>
              <w:t xml:space="preserve">; without it the </w:t>
            </w:r>
            <w:r>
              <w:rPr>
                <w:rFonts w:ascii="Consolas" w:hAnsi="Consolas" w:eastAsia="Consolas"/>
                <w:sz w:val="18"/>
              </w:rPr>
              <w:t>AWS::Logs::Delivery</w:t>
            </w:r>
            <w:r>
              <w:rPr>
                <w:sz w:val="18"/>
              </w:rPr>
              <w:t xml:space="preserve"> resource fails and the stack rolls back.</w:t>
            </w:r>
          </w:p>
        </w:tc>
      </w:tr>
      <w:tr>
        <w:trPr>
          <w:cantSplit w:val="true"/>
        </w:trPr>
        <w:tc>
          <w:tcPr>
            <w:tcW w:type="dxa" w:w="2088"/>
            <w:shd w:val="clear" w:color="auto" w:fill="EEF2F8"/>
          </w:tcPr>
          <w:p>
            <w:pPr>
              <w:spacing w:after="40" w:before="0"/>
            </w:pPr>
            <w:r/>
            <w:r>
              <w:rPr>
                <w:b/>
                <w:sz w:val="18"/>
              </w:rPr>
              <w:t>Workaround built</w:t>
            </w:r>
          </w:p>
        </w:tc>
        <w:tc>
          <w:tcPr>
            <w:tcW w:type="dxa" w:w="7848"/>
          </w:tcPr>
          <w:p>
            <w:pPr>
              <w:spacing w:after="40" w:before="0"/>
            </w:pPr>
            <w:r/>
            <w:r>
              <w:rPr>
                <w:rFonts w:ascii="Consolas" w:hAnsi="Consolas" w:eastAsia="Consolas"/>
                <w:sz w:val="18"/>
              </w:rPr>
              <w:t>tracing_enabled=False</w:t>
            </w:r>
            <w:r>
              <w:rPr>
                <w:sz w:val="18"/>
              </w:rPr>
              <w:t xml:space="preserve"> on the Runtime.</w:t>
            </w:r>
          </w:p>
        </w:tc>
      </w:tr>
      <w:tr>
        <w:trPr>
          <w:cantSplit w:val="true"/>
        </w:trPr>
        <w:tc>
          <w:tcPr>
            <w:tcW w:type="dxa" w:w="2088"/>
            <w:shd w:val="clear" w:color="auto" w:fill="EEF2F8"/>
          </w:tcPr>
          <w:p>
            <w:pPr>
              <w:spacing w:after="40" w:before="0"/>
            </w:pPr>
            <w:r/>
            <w:r>
              <w:rPr>
                <w:b/>
                <w:sz w:val="18"/>
              </w:rPr>
              <w:t>Cost of workaround</w:t>
            </w:r>
          </w:p>
        </w:tc>
        <w:tc>
          <w:tcPr>
            <w:tcW w:type="dxa" w:w="7848"/>
          </w:tcPr>
          <w:p>
            <w:pPr>
              <w:spacing w:after="40" w:before="0"/>
            </w:pPr>
            <w:r/>
            <w:r>
              <w:rPr>
                <w:sz w:val="18"/>
              </w:rPr>
              <w:t>No span-level traces and no token counts in logs. During a latency investigation we could only infer where time went from totals and Lambda durations.</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 xml:space="preserve">Run </w:t>
            </w:r>
            <w:r>
              <w:rPr>
                <w:rFonts w:ascii="Consolas" w:hAnsi="Consolas" w:eastAsia="Consolas"/>
                <w:sz w:val="18"/>
              </w:rPr>
              <w:t>aws xray update-trace-segment-destination --destination CloudWatchLogs</w:t>
            </w:r>
            <w:r>
              <w:rPr>
                <w:sz w:val="18"/>
              </w:rPr>
              <w:t xml:space="preserve"> once at account level (or tell us how to request it). Optional.</w:t>
            </w:r>
          </w:p>
        </w:tc>
      </w:tr>
    </w:tbl>
    <w:p>
      <w:pPr>
        <w:spacing w:after="80"/>
      </w:pPr>
    </w:p>
    <w:p>
      <w:pPr>
        <w:pStyle w:val="Heading2"/>
      </w:pPr>
      <w:r>
        <w:t>4.7  Account lifecycle: periodic reset (to be confirmed)</w:t>
      </w:r>
    </w:p>
    <w:tbl>
      <w:tblPr>
        <w:tblStyle w:val="TableGrid"/>
        <w:tblW w:type="auto" w:w="0"/>
        <w:jc w:val="center"/>
        <w:tblLayout w:type="fixed"/>
        <w:tblLayout w:type="fixed"/>
        <w:tblLook w:firstColumn="1" w:firstRow="1" w:lastColumn="0" w:lastRow="0" w:noHBand="0" w:noVBand="1" w:val="04A0"/>
      </w:tblPr>
      <w:tblGrid>
        <w:gridCol w:w="4968"/>
        <w:gridCol w:w="4968"/>
      </w:tblGrid>
      <w:tr>
        <w:trPr>
          <w:tblHeader w:val="true"/>
        </w:trPr>
        <w:tc>
          <w:tcPr>
            <w:tcW w:type="dxa" w:w="2088"/>
            <w:shd w:val="clear" w:color="auto" w:fill="1F3864"/>
          </w:tcPr>
          <w:p>
            <w:pPr>
              <w:spacing w:after="40" w:before="0"/>
            </w:pPr>
            <w:r/>
            <w:r>
              <w:rPr>
                <w:b/>
                <w:color w:val="FFFFFF"/>
                <w:sz w:val="18"/>
              </w:rPr>
              <w:t>Aspect</w:t>
            </w:r>
          </w:p>
        </w:tc>
        <w:tc>
          <w:tcPr>
            <w:tcW w:type="dxa" w:w="7848"/>
            <w:shd w:val="clear" w:color="auto" w:fill="1F3864"/>
          </w:tcPr>
          <w:p>
            <w:pPr>
              <w:spacing w:after="40" w:before="0"/>
            </w:pPr>
            <w:r/>
            <w:r>
              <w:rPr>
                <w:b/>
                <w:color w:val="FFFFFF"/>
                <w:sz w:val="18"/>
              </w:rPr>
              <w:t>Detail</w:t>
            </w:r>
          </w:p>
        </w:tc>
      </w:tr>
      <w:tr>
        <w:trPr>
          <w:cantSplit w:val="true"/>
        </w:trPr>
        <w:tc>
          <w:tcPr>
            <w:tcW w:type="dxa" w:w="2088"/>
            <w:shd w:val="clear" w:color="auto" w:fill="EEF2F8"/>
          </w:tcPr>
          <w:p>
            <w:pPr>
              <w:spacing w:after="40" w:before="0"/>
            </w:pPr>
            <w:r/>
            <w:r>
              <w:rPr>
                <w:b/>
                <w:sz w:val="18"/>
              </w:rPr>
              <w:t>Observed</w:t>
            </w:r>
          </w:p>
        </w:tc>
        <w:tc>
          <w:tcPr>
            <w:tcW w:type="dxa" w:w="7848"/>
          </w:tcPr>
          <w:p>
            <w:pPr>
              <w:spacing w:after="40" w:before="0"/>
            </w:pPr>
            <w:r/>
            <w:r>
              <w:rPr>
                <w:sz w:val="18"/>
              </w:rPr>
              <w:t>Our project notes state the account is reset monthly and that the infrastructure code must survive that. We have not confirmed the exact policy with IT.</w:t>
            </w:r>
          </w:p>
        </w:tc>
      </w:tr>
      <w:tr>
        <w:trPr>
          <w:cantSplit w:val="true"/>
        </w:trPr>
        <w:tc>
          <w:tcPr>
            <w:tcW w:type="dxa" w:w="2088"/>
            <w:shd w:val="clear" w:color="auto" w:fill="EEF2F8"/>
          </w:tcPr>
          <w:p>
            <w:pPr>
              <w:spacing w:after="40" w:before="0"/>
            </w:pPr>
            <w:r/>
            <w:r>
              <w:rPr>
                <w:b/>
                <w:sz w:val="18"/>
              </w:rPr>
              <w:t>Technical detail</w:t>
            </w:r>
          </w:p>
        </w:tc>
        <w:tc>
          <w:tcPr>
            <w:tcW w:type="dxa" w:w="7848"/>
          </w:tcPr>
          <w:p>
            <w:pPr>
              <w:spacing w:after="40" w:before="0"/>
            </w:pPr>
            <w:r/>
            <w:r>
              <w:rPr>
                <w:sz w:val="18"/>
              </w:rPr>
              <w:t>Resources defined in CDK are reproducible. Out-of-band items are not: the Gitea CloudFront distribution, the Elastic IP association, the SSM SecureString parameters, the manual security-group scoping, and the credential setup.</w:t>
            </w:r>
          </w:p>
        </w:tc>
      </w:tr>
      <w:tr>
        <w:trPr>
          <w:cantSplit w:val="true"/>
        </w:trPr>
        <w:tc>
          <w:tcPr>
            <w:tcW w:type="dxa" w:w="2088"/>
            <w:shd w:val="clear" w:color="auto" w:fill="EEF2F8"/>
          </w:tcPr>
          <w:p>
            <w:pPr>
              <w:spacing w:after="40" w:before="0"/>
            </w:pPr>
            <w:r/>
            <w:r>
              <w:rPr>
                <w:b/>
                <w:sz w:val="18"/>
              </w:rPr>
              <w:t>Request</w:t>
            </w:r>
          </w:p>
        </w:tc>
        <w:tc>
          <w:tcPr>
            <w:tcW w:type="dxa" w:w="7848"/>
          </w:tcPr>
          <w:p>
            <w:pPr>
              <w:spacing w:after="40" w:before="0"/>
            </w:pPr>
            <w:r/>
            <w:r>
              <w:rPr>
                <w:sz w:val="18"/>
              </w:rPr>
              <w:t>Confirm the reset cadence and scope, and which resources (if any) are preserved.</w:t>
            </w:r>
          </w:p>
        </w:tc>
      </w:tr>
    </w:tbl>
    <w:p>
      <w:pPr>
        <w:spacing w:after="80"/>
      </w:pPr>
    </w:p>
    <w:p>
      <w:pPr>
        <w:pStyle w:val="Heading1"/>
      </w:pPr>
      <w:r>
        <w:t>5. Security considerations</w:t>
      </w:r>
    </w:p>
    <w:p>
      <w:pPr>
        <w:spacing w:after="120"/>
      </w:pPr>
      <w:r>
        <w:t>Several endpoints are intentionally public in the current demo. We list them here so IT can assess them before any wider sharing. The data is entirely synthetic and no corporate system is connected.</w:t>
      </w:r>
    </w:p>
    <w:tbl>
      <w:tblPr>
        <w:tblStyle w:val="TableGrid"/>
        <w:tblW w:type="auto" w:w="0"/>
        <w:jc w:val="center"/>
        <w:tblLayout w:type="fixed"/>
        <w:tblLayout w:type="fixed"/>
        <w:tblLook w:firstColumn="1" w:firstRow="1" w:lastColumn="0" w:lastRow="0" w:noHBand="0" w:noVBand="1" w:val="04A0"/>
      </w:tblPr>
      <w:tblGrid>
        <w:gridCol w:w="2484"/>
        <w:gridCol w:w="2484"/>
        <w:gridCol w:w="2484"/>
        <w:gridCol w:w="2484"/>
      </w:tblGrid>
      <w:tr>
        <w:trPr>
          <w:tblHeader w:val="true"/>
        </w:trPr>
        <w:tc>
          <w:tcPr>
            <w:tcW w:type="dxa" w:w="2088"/>
            <w:shd w:val="clear" w:color="auto" w:fill="1F3864"/>
          </w:tcPr>
          <w:p>
            <w:pPr>
              <w:spacing w:after="40" w:before="0"/>
            </w:pPr>
            <w:r/>
            <w:r>
              <w:rPr>
                <w:b/>
                <w:color w:val="FFFFFF"/>
                <w:sz w:val="17"/>
              </w:rPr>
              <w:t>Component</w:t>
            </w:r>
          </w:p>
        </w:tc>
        <w:tc>
          <w:tcPr>
            <w:tcW w:type="dxa" w:w="2232"/>
            <w:shd w:val="clear" w:color="auto" w:fill="1F3864"/>
          </w:tcPr>
          <w:p>
            <w:pPr>
              <w:spacing w:after="40" w:before="0"/>
            </w:pPr>
            <w:r/>
            <w:r>
              <w:rPr>
                <w:b/>
                <w:color w:val="FFFFFF"/>
                <w:sz w:val="17"/>
              </w:rPr>
              <w:t>Exposure</w:t>
            </w:r>
          </w:p>
        </w:tc>
        <w:tc>
          <w:tcPr>
            <w:tcW w:type="dxa" w:w="2736"/>
            <w:shd w:val="clear" w:color="auto" w:fill="1F3864"/>
          </w:tcPr>
          <w:p>
            <w:pPr>
              <w:spacing w:after="40" w:before="0"/>
            </w:pPr>
            <w:r/>
            <w:r>
              <w:rPr>
                <w:b/>
                <w:color w:val="FFFFFF"/>
                <w:sz w:val="17"/>
              </w:rPr>
              <w:t>Authentication</w:t>
            </w:r>
          </w:p>
        </w:tc>
        <w:tc>
          <w:tcPr>
            <w:tcW w:type="dxa" w:w="2880"/>
            <w:shd w:val="clear" w:color="auto" w:fill="1F3864"/>
          </w:tcPr>
          <w:p>
            <w:pPr>
              <w:spacing w:after="40" w:before="0"/>
            </w:pPr>
            <w:r/>
            <w:r>
              <w:rPr>
                <w:b/>
                <w:color w:val="FFFFFF"/>
                <w:sz w:val="17"/>
              </w:rPr>
              <w:t>Notes</w:t>
            </w:r>
          </w:p>
        </w:tc>
      </w:tr>
      <w:tr>
        <w:trPr>
          <w:cantSplit w:val="true"/>
        </w:trPr>
        <w:tc>
          <w:tcPr>
            <w:tcW w:type="dxa" w:w="2088"/>
            <w:shd w:val="clear" w:color="auto" w:fill="EEF2F8"/>
          </w:tcPr>
          <w:p>
            <w:pPr>
              <w:spacing w:after="40" w:before="0"/>
            </w:pPr>
            <w:r/>
            <w:r>
              <w:rPr>
                <w:b/>
                <w:sz w:val="17"/>
              </w:rPr>
              <w:t>Thin API (Lambda Function URL)</w:t>
            </w:r>
          </w:p>
        </w:tc>
        <w:tc>
          <w:tcPr>
            <w:tcW w:type="dxa" w:w="2232"/>
          </w:tcPr>
          <w:p>
            <w:pPr>
              <w:spacing w:after="40" w:before="0"/>
            </w:pPr>
            <w:r/>
            <w:r>
              <w:rPr>
                <w:sz w:val="17"/>
              </w:rPr>
              <w:t>Public internet, HTTPS</w:t>
            </w:r>
          </w:p>
        </w:tc>
        <w:tc>
          <w:tcPr>
            <w:tcW w:type="dxa" w:w="2736"/>
          </w:tcPr>
          <w:p>
            <w:pPr>
              <w:spacing w:after="40" w:before="0"/>
            </w:pPr>
            <w:r/>
            <w:r>
              <w:rPr>
                <w:sz w:val="17"/>
              </w:rPr>
              <w:t>None (</w:t>
            </w:r>
            <w:r>
              <w:rPr>
                <w:rFonts w:ascii="Consolas" w:hAnsi="Consolas" w:eastAsia="Consolas"/>
                <w:sz w:val="17"/>
              </w:rPr>
              <w:t>AuthType=NONE</w:t>
            </w:r>
            <w:r>
              <w:rPr>
                <w:sz w:val="17"/>
              </w:rPr>
              <w:t xml:space="preserve">); persona asserted by </w:t>
            </w:r>
            <w:r>
              <w:rPr>
                <w:rFonts w:ascii="Consolas" w:hAnsi="Consolas" w:eastAsia="Consolas"/>
                <w:sz w:val="17"/>
              </w:rPr>
              <w:t>X-Mahalo-Persona</w:t>
            </w:r>
            <w:r>
              <w:rPr>
                <w:sz w:val="17"/>
              </w:rPr>
              <w:t xml:space="preserve"> header</w:t>
            </w:r>
          </w:p>
        </w:tc>
        <w:tc>
          <w:tcPr>
            <w:tcW w:type="dxa" w:w="2880"/>
          </w:tcPr>
          <w:p>
            <w:pPr>
              <w:spacing w:after="40" w:before="0"/>
            </w:pPr>
            <w:r/>
            <w:r>
              <w:rPr>
                <w:sz w:val="17"/>
              </w:rPr>
              <w:t>CORS allows any origin. Persona is not verified. Accepted for a demo.</w:t>
            </w:r>
          </w:p>
        </w:tc>
      </w:tr>
      <w:tr>
        <w:trPr>
          <w:cantSplit w:val="true"/>
        </w:trPr>
        <w:tc>
          <w:tcPr>
            <w:tcW w:type="dxa" w:w="2088"/>
            <w:shd w:val="clear" w:color="auto" w:fill="EEF2F8"/>
          </w:tcPr>
          <w:p>
            <w:pPr>
              <w:spacing w:after="40" w:before="0"/>
            </w:pPr>
            <w:r/>
            <w:r>
              <w:rPr>
                <w:b/>
                <w:sz w:val="17"/>
              </w:rPr>
              <w:t>Four mock-service Lambdas (Function URLs)</w:t>
            </w:r>
          </w:p>
        </w:tc>
        <w:tc>
          <w:tcPr>
            <w:tcW w:type="dxa" w:w="2232"/>
          </w:tcPr>
          <w:p>
            <w:pPr>
              <w:spacing w:after="40" w:before="0"/>
            </w:pPr>
            <w:r/>
            <w:r>
              <w:rPr>
                <w:sz w:val="17"/>
              </w:rPr>
              <w:t>Public internet, HTTPS</w:t>
            </w:r>
          </w:p>
        </w:tc>
        <w:tc>
          <w:tcPr>
            <w:tcW w:type="dxa" w:w="2736"/>
          </w:tcPr>
          <w:p>
            <w:pPr>
              <w:spacing w:after="40" w:before="0"/>
            </w:pPr>
            <w:r/>
            <w:r>
              <w:rPr>
                <w:sz w:val="17"/>
              </w:rPr>
              <w:t xml:space="preserve">None at the URL; function checks a static </w:t>
            </w:r>
            <w:r>
              <w:rPr>
                <w:rFonts w:ascii="Consolas" w:hAnsi="Consolas" w:eastAsia="Consolas"/>
                <w:sz w:val="17"/>
              </w:rPr>
              <w:t>X-API-Token</w:t>
            </w:r>
          </w:p>
        </w:tc>
        <w:tc>
          <w:tcPr>
            <w:tcW w:type="dxa" w:w="2880"/>
          </w:tcPr>
          <w:p>
            <w:pPr>
              <w:spacing w:after="40" w:before="0"/>
            </w:pPr>
            <w:r/>
            <w:r>
              <w:rPr>
                <w:sz w:val="17"/>
              </w:rPr>
              <w:t>The agent normally reaches them through Gateway Lambda targets, not the URLs.</w:t>
            </w:r>
          </w:p>
        </w:tc>
      </w:tr>
      <w:tr>
        <w:trPr>
          <w:cantSplit w:val="true"/>
        </w:trPr>
        <w:tc>
          <w:tcPr>
            <w:tcW w:type="dxa" w:w="2088"/>
            <w:shd w:val="clear" w:color="auto" w:fill="EEF2F8"/>
          </w:tcPr>
          <w:p>
            <w:pPr>
              <w:spacing w:after="40" w:before="0"/>
            </w:pPr>
            <w:r/>
            <w:r>
              <w:rPr>
                <w:b/>
                <w:sz w:val="17"/>
              </w:rPr>
              <w:t>Frontend</w:t>
            </w:r>
          </w:p>
        </w:tc>
        <w:tc>
          <w:tcPr>
            <w:tcW w:type="dxa" w:w="2232"/>
          </w:tcPr>
          <w:p>
            <w:pPr>
              <w:spacing w:after="40" w:before="0"/>
            </w:pPr>
            <w:r/>
            <w:r>
              <w:rPr>
                <w:sz w:val="17"/>
              </w:rPr>
              <w:t>CloudFront, HTTPS</w:t>
            </w:r>
          </w:p>
        </w:tc>
        <w:tc>
          <w:tcPr>
            <w:tcW w:type="dxa" w:w="2736"/>
          </w:tcPr>
          <w:p>
            <w:pPr>
              <w:spacing w:after="40" w:before="0"/>
            </w:pPr>
            <w:r/>
            <w:r>
              <w:rPr>
                <w:sz w:val="17"/>
              </w:rPr>
              <w:t>Client-side demo login only</w:t>
            </w:r>
          </w:p>
        </w:tc>
        <w:tc>
          <w:tcPr>
            <w:tcW w:type="dxa" w:w="2880"/>
          </w:tcPr>
          <w:p>
            <w:pPr>
              <w:spacing w:after="40" w:before="0"/>
            </w:pPr>
            <w:r/>
            <w:r>
              <w:rPr>
                <w:sz w:val="17"/>
              </w:rPr>
              <w:t>Bucket is private (Block Public Access ALL, TLS-only, Origin Access Control).</w:t>
            </w:r>
          </w:p>
        </w:tc>
      </w:tr>
      <w:tr>
        <w:trPr>
          <w:cantSplit w:val="true"/>
        </w:trPr>
        <w:tc>
          <w:tcPr>
            <w:tcW w:type="dxa" w:w="2088"/>
            <w:shd w:val="clear" w:color="auto" w:fill="EEF2F8"/>
          </w:tcPr>
          <w:p>
            <w:pPr>
              <w:spacing w:after="40" w:before="0"/>
            </w:pPr>
            <w:r/>
            <w:r>
              <w:rPr>
                <w:b/>
                <w:sz w:val="17"/>
              </w:rPr>
              <w:t>Gitea</w:t>
            </w:r>
          </w:p>
        </w:tc>
        <w:tc>
          <w:tcPr>
            <w:tcW w:type="dxa" w:w="2232"/>
          </w:tcPr>
          <w:p>
            <w:pPr>
              <w:spacing w:after="40" w:before="0"/>
            </w:pPr>
            <w:r/>
            <w:r>
              <w:rPr>
                <w:sz w:val="17"/>
              </w:rPr>
              <w:t>CloudFront HTTPS 443; origin port 3000 limited to the CloudFront prefix list</w:t>
            </w:r>
          </w:p>
        </w:tc>
        <w:tc>
          <w:tcPr>
            <w:tcW w:type="dxa" w:w="2736"/>
          </w:tcPr>
          <w:p>
            <w:pPr>
              <w:spacing w:after="40" w:before="0"/>
            </w:pPr>
            <w:r/>
            <w:r>
              <w:rPr>
                <w:sz w:val="17"/>
              </w:rPr>
              <w:t>Gitea API token for writes; admin password in SSM SecureString</w:t>
            </w:r>
          </w:p>
        </w:tc>
        <w:tc>
          <w:tcPr>
            <w:tcW w:type="dxa" w:w="2880"/>
          </w:tcPr>
          <w:p>
            <w:pPr>
              <w:spacing w:after="40" w:before="0"/>
            </w:pPr>
            <w:r/>
            <w:r>
              <w:rPr>
                <w:sz w:val="17"/>
              </w:rPr>
              <w:t>Token and password are referenced by parameter name; no secret value is stored in code.</w:t>
            </w:r>
          </w:p>
        </w:tc>
      </w:tr>
      <w:tr>
        <w:trPr>
          <w:cantSplit w:val="true"/>
        </w:trPr>
        <w:tc>
          <w:tcPr>
            <w:tcW w:type="dxa" w:w="2088"/>
            <w:shd w:val="clear" w:color="auto" w:fill="EEF2F8"/>
          </w:tcPr>
          <w:p>
            <w:pPr>
              <w:spacing w:after="40" w:before="0"/>
            </w:pPr>
            <w:r/>
            <w:r>
              <w:rPr>
                <w:b/>
                <w:sz w:val="17"/>
              </w:rPr>
              <w:t>AgentCore Gateway</w:t>
            </w:r>
          </w:p>
        </w:tc>
        <w:tc>
          <w:tcPr>
            <w:tcW w:type="dxa" w:w="2232"/>
          </w:tcPr>
          <w:p>
            <w:pPr>
              <w:spacing w:after="40" w:before="0"/>
            </w:pPr>
            <w:r/>
            <w:r>
              <w:rPr>
                <w:sz w:val="17"/>
              </w:rPr>
              <w:t>HTTPS MCP endpoint</w:t>
            </w:r>
          </w:p>
        </w:tc>
        <w:tc>
          <w:tcPr>
            <w:tcW w:type="dxa" w:w="2736"/>
          </w:tcPr>
          <w:p>
            <w:pPr>
              <w:spacing w:after="40" w:before="0"/>
            </w:pPr>
            <w:r/>
            <w:r>
              <w:rPr>
                <w:sz w:val="17"/>
              </w:rPr>
              <w:t xml:space="preserve">AWS_IAM (SigV4, service name </w:t>
            </w:r>
            <w:r>
              <w:rPr>
                <w:rFonts w:ascii="Consolas" w:hAnsi="Consolas" w:eastAsia="Consolas"/>
                <w:sz w:val="17"/>
              </w:rPr>
              <w:t>bedrock-agentcore</w:t>
            </w:r>
            <w:r>
              <w:rPr>
                <w:sz w:val="17"/>
              </w:rPr>
              <w:t>)</w:t>
            </w:r>
          </w:p>
        </w:tc>
        <w:tc>
          <w:tcPr>
            <w:tcW w:type="dxa" w:w="2880"/>
          </w:tcPr>
          <w:p>
            <w:pPr>
              <w:spacing w:after="40" w:before="0"/>
            </w:pPr>
            <w:r/>
            <w:r>
              <w:rPr>
                <w:sz w:val="17"/>
              </w:rPr>
              <w:t>Unsigned requests are rejected (verified).</w:t>
            </w:r>
          </w:p>
        </w:tc>
      </w:tr>
      <w:tr>
        <w:trPr>
          <w:cantSplit w:val="true"/>
        </w:trPr>
        <w:tc>
          <w:tcPr>
            <w:tcW w:type="dxa" w:w="2088"/>
            <w:shd w:val="clear" w:color="auto" w:fill="EEF2F8"/>
          </w:tcPr>
          <w:p>
            <w:pPr>
              <w:spacing w:after="40" w:before="0"/>
            </w:pPr>
            <w:r/>
            <w:r>
              <w:rPr>
                <w:b/>
                <w:sz w:val="17"/>
              </w:rPr>
              <w:t>Builder host</w:t>
            </w:r>
          </w:p>
        </w:tc>
        <w:tc>
          <w:tcPr>
            <w:tcW w:type="dxa" w:w="2232"/>
          </w:tcPr>
          <w:p>
            <w:pPr>
              <w:spacing w:after="40" w:before="0"/>
            </w:pPr>
            <w:r/>
            <w:r>
              <w:rPr>
                <w:sz w:val="17"/>
              </w:rPr>
              <w:t>No inbound ports; SSM only</w:t>
            </w:r>
          </w:p>
        </w:tc>
        <w:tc>
          <w:tcPr>
            <w:tcW w:type="dxa" w:w="2736"/>
          </w:tcPr>
          <w:p>
            <w:pPr>
              <w:spacing w:after="40" w:before="0"/>
            </w:pPr>
            <w:r/>
            <w:r>
              <w:rPr>
                <w:sz w:val="17"/>
              </w:rPr>
              <w:t>IAM role with AdministratorAccess</w:t>
            </w:r>
          </w:p>
        </w:tc>
        <w:tc>
          <w:tcPr>
            <w:tcW w:type="dxa" w:w="2880"/>
          </w:tcPr>
          <w:p>
            <w:pPr>
              <w:spacing w:after="40" w:before="0"/>
            </w:pPr>
            <w:r/>
            <w:r>
              <w:rPr>
                <w:sz w:val="17"/>
              </w:rPr>
              <w:t>Broad by design for a transient host. Removed if Docker becomes available.</w:t>
            </w:r>
          </w:p>
        </w:tc>
      </w:tr>
    </w:tbl>
    <w:p>
      <w:pPr>
        <w:spacing w:after="80"/>
      </w:pPr>
    </w:p>
    <w:p>
      <w:pPr>
        <w:spacing w:after="40"/>
      </w:pPr>
      <w:r>
        <w:rPr>
          <w:b/>
        </w:rPr>
        <w:t>Least-privilege grants already in place</w:t>
      </w:r>
      <w:r>
        <w:t xml:space="preserve"> on the Runtime execution role:</w:t>
      </w:r>
    </w:p>
    <w:p>
      <w:pPr>
        <w:pStyle w:val="ListBullet"/>
        <w:spacing w:after="40"/>
      </w:pPr>
      <w:r>
        <w:rPr>
          <w:rFonts w:ascii="Consolas" w:hAnsi="Consolas" w:eastAsia="Consolas"/>
          <w:sz w:val="20"/>
        </w:rPr>
        <w:t>bedrock:InvokeModel</w:t>
      </w:r>
      <w:r>
        <w:rPr>
          <w:sz w:val="20"/>
        </w:rPr>
        <w:t xml:space="preserve"> and </w:t>
      </w:r>
      <w:r>
        <w:rPr>
          <w:rFonts w:ascii="Consolas" w:hAnsi="Consolas" w:eastAsia="Consolas"/>
          <w:sz w:val="20"/>
        </w:rPr>
        <w:t>InvokeModelWithResponseStream</w:t>
      </w:r>
      <w:r>
        <w:rPr>
          <w:sz w:val="20"/>
        </w:rPr>
        <w:t xml:space="preserve"> on the Claude Sonnet 4.5 inference profile and the underlying foundation-model ARNs only.</w:t>
      </w:r>
    </w:p>
    <w:p>
      <w:pPr>
        <w:pStyle w:val="ListBullet"/>
        <w:spacing w:after="40"/>
      </w:pPr>
      <w:r>
        <w:rPr>
          <w:rFonts w:ascii="Consolas" w:hAnsi="Consolas" w:eastAsia="Consolas"/>
          <w:sz w:val="20"/>
        </w:rPr>
        <w:t>bedrock-agentcore:CreateEvent</w:t>
      </w:r>
      <w:r>
        <w:rPr>
          <w:sz w:val="20"/>
        </w:rPr>
        <w:t xml:space="preserve">, </w:t>
      </w:r>
      <w:r>
        <w:rPr>
          <w:rFonts w:ascii="Consolas" w:hAnsi="Consolas" w:eastAsia="Consolas"/>
          <w:sz w:val="20"/>
        </w:rPr>
        <w:t>ListEvents</w:t>
      </w:r>
      <w:r>
        <w:rPr>
          <w:sz w:val="20"/>
        </w:rPr>
        <w:t xml:space="preserve">, </w:t>
      </w:r>
      <w:r>
        <w:rPr>
          <w:rFonts w:ascii="Consolas" w:hAnsi="Consolas" w:eastAsia="Consolas"/>
          <w:sz w:val="20"/>
        </w:rPr>
        <w:t>GetEvent</w:t>
      </w:r>
      <w:r>
        <w:rPr>
          <w:sz w:val="20"/>
        </w:rPr>
        <w:t xml:space="preserve">, </w:t>
      </w:r>
      <w:r>
        <w:rPr>
          <w:rFonts w:ascii="Consolas" w:hAnsi="Consolas" w:eastAsia="Consolas"/>
          <w:sz w:val="20"/>
        </w:rPr>
        <w:t>RetrieveMemoryRecords</w:t>
      </w:r>
      <w:r>
        <w:rPr>
          <w:sz w:val="20"/>
        </w:rPr>
        <w:t xml:space="preserve"> scoped to the one Memory ARN.</w:t>
      </w:r>
    </w:p>
    <w:p>
      <w:pPr>
        <w:pStyle w:val="ListBullet"/>
        <w:spacing w:after="40"/>
      </w:pPr>
      <w:r>
        <w:rPr>
          <w:rFonts w:ascii="Consolas" w:hAnsi="Consolas" w:eastAsia="Consolas"/>
          <w:sz w:val="20"/>
        </w:rPr>
        <w:t>bedrock-agentcore:InvokeGateway</w:t>
      </w:r>
      <w:r>
        <w:rPr>
          <w:sz w:val="20"/>
        </w:rPr>
        <w:t xml:space="preserve"> scoped to the one Gateway ARN.</w:t>
      </w:r>
    </w:p>
    <w:p>
      <w:pPr>
        <w:pStyle w:val="ListBullet"/>
        <w:spacing w:after="40"/>
      </w:pPr>
      <w:r>
        <w:rPr>
          <w:sz w:val="20"/>
        </w:rPr>
        <w:t>ECR pull permissions for the image repository. Each mock Lambda can read and write only its own DynamoDB table.</w:t>
      </w:r>
    </w:p>
    <w:p>
      <w:pPr>
        <w:spacing w:after="40"/>
      </w:pPr>
    </w:p>
    <w:p>
      <w:pPr>
        <w:spacing w:after="120"/>
      </w:pPr>
      <w:r>
        <w:rPr>
          <w:b/>
        </w:rPr>
        <w:t>Recommendation:</w:t>
      </w:r>
      <w:r>
        <w:t xml:space="preserve"> review the </w:t>
      </w:r>
      <w:r>
        <w:rPr>
          <w:rFonts w:ascii="Consolas" w:hAnsi="Consolas" w:eastAsia="Consolas"/>
        </w:rPr>
        <w:t>AuthType=NONE</w:t>
      </w:r>
      <w:r>
        <w:t xml:space="preserve"> endpoints before sharing the URLs beyond the project team, and treat restoring verified authentication (section 4.4) as part of any move to a wider audience.</w:t>
      </w:r>
    </w:p>
    <w:p>
      <w:pPr>
        <w:pStyle w:val="Heading1"/>
      </w:pPr>
      <w:r>
        <w:t>6. Issues that were ours, not the environment</w:t>
      </w:r>
    </w:p>
    <w:p>
      <w:pPr>
        <w:spacing w:after="120"/>
      </w:pPr>
      <w:r>
        <w:t>To keep this report fair, these items looked like environment problems at first but were gaps in our own work:</w:t>
      </w:r>
    </w:p>
    <w:p>
      <w:pPr>
        <w:pStyle w:val="ListBullet"/>
        <w:spacing w:after="40"/>
      </w:pPr>
      <w:r>
        <w:rPr>
          <w:b/>
        </w:rPr>
        <w:t>Gitea instance role lacked SSM permissions.</w:t>
      </w:r>
      <w:r>
        <w:t xml:space="preserve"> SSM Run Command could not reach the host. We attached AmazonSSMManagedInstanceCore plus an inline </w:t>
      </w:r>
      <w:r>
        <w:rPr>
          <w:rFonts w:ascii="Consolas" w:hAnsi="Consolas" w:eastAsia="Consolas"/>
        </w:rPr>
        <w:t>ssm:PutParameter</w:t>
      </w:r>
      <w:r>
        <w:t xml:space="preserve"> on </w:t>
      </w:r>
      <w:r>
        <w:rPr>
          <w:rFonts w:ascii="Consolas" w:hAnsi="Consolas" w:eastAsia="Consolas"/>
        </w:rPr>
        <w:t>/mahalo/gitea/*</w:t>
      </w:r>
      <w:r>
        <w:t xml:space="preserve"> by hand and rebooted the instance. The fix is not yet in the infrastructure code.</w:t>
      </w:r>
    </w:p>
    <w:p>
      <w:pPr>
        <w:pStyle w:val="ListBullet"/>
        <w:spacing w:after="40"/>
      </w:pPr>
      <w:r>
        <w:rPr>
          <w:b/>
        </w:rPr>
        <w:t>Gitea first-run install is fiddly.</w:t>
      </w:r>
      <w:r>
        <w:t xml:space="preserve"> A fresh container writes an unlocked config; the install must be completed and the config kept owned by uid 1000, or Gitea crash-loops. A working host bootstrap script exists but is run by hand.</w:t>
      </w:r>
    </w:p>
    <w:p>
      <w:pPr>
        <w:pStyle w:val="ListBullet"/>
        <w:spacing w:after="40"/>
      </w:pPr>
      <w:r>
        <w:rPr>
          <w:b/>
        </w:rPr>
        <w:t>The builder script's frontend phase is stale.</w:t>
      </w:r>
      <w:r>
        <w:t xml:space="preserve"> It still references a Cognito output that no longer exists, so the frontend is built and synced manually.</w:t>
      </w:r>
    </w:p>
    <w:p>
      <w:pPr>
        <w:pStyle w:val="ListBullet"/>
        <w:spacing w:after="40"/>
      </w:pPr>
      <w:r>
        <w:rPr>
          <w:b/>
        </w:rPr>
        <w:t>An earlier deploy failed in asset staging</w:t>
      </w:r>
      <w:r>
        <w:t xml:space="preserve"> because the Docker build context included </w:t>
      </w:r>
      <w:r>
        <w:rPr>
          <w:rFonts w:ascii="Consolas" w:hAnsi="Consolas" w:eastAsia="Consolas"/>
        </w:rPr>
        <w:t>cdk.out</w:t>
      </w:r>
      <w:r>
        <w:t>, causing recursive nesting. This was our bug and has been fixed with an exclusion list.</w:t>
      </w:r>
    </w:p>
    <w:p>
      <w:pPr>
        <w:spacing w:after="40"/>
      </w:pPr>
    </w:p>
    <w:p>
      <w:pPr>
        <w:pStyle w:val="Heading1"/>
      </w:pPr>
      <w:r>
        <w:t>7. Requested changes</w:t>
      </w:r>
    </w:p>
    <w:tbl>
      <w:tblPr>
        <w:tblStyle w:val="TableGrid"/>
        <w:tblW w:type="auto" w:w="0"/>
        <w:jc w:val="center"/>
        <w:tblLayout w:type="fixed"/>
        <w:tblLayout w:type="fixed"/>
        <w:tblLook w:firstColumn="1" w:firstRow="1" w:lastColumn="0" w:lastRow="0" w:noHBand="0" w:noVBand="1" w:val="04A0"/>
      </w:tblPr>
      <w:tblGrid>
        <w:gridCol w:w="1987"/>
        <w:gridCol w:w="1987"/>
        <w:gridCol w:w="1987"/>
        <w:gridCol w:w="1987"/>
        <w:gridCol w:w="1987"/>
      </w:tblGrid>
      <w:tr>
        <w:trPr>
          <w:tblHeader w:val="true"/>
        </w:trPr>
        <w:tc>
          <w:tcPr>
            <w:tcW w:type="dxa" w:w="576"/>
            <w:shd w:val="clear" w:color="auto" w:fill="1F3864"/>
          </w:tcPr>
          <w:p>
            <w:pPr>
              <w:spacing w:after="40" w:before="0"/>
            </w:pPr>
            <w:r/>
            <w:r>
              <w:rPr>
                <w:b/>
                <w:color w:val="FFFFFF"/>
                <w:sz w:val="17"/>
              </w:rPr>
              <w:t>#</w:t>
            </w:r>
          </w:p>
        </w:tc>
        <w:tc>
          <w:tcPr>
            <w:tcW w:type="dxa" w:w="2016"/>
            <w:shd w:val="clear" w:color="auto" w:fill="1F3864"/>
          </w:tcPr>
          <w:p>
            <w:pPr>
              <w:spacing w:after="40" w:before="0"/>
            </w:pPr>
            <w:r/>
            <w:r>
              <w:rPr>
                <w:b/>
                <w:color w:val="FFFFFF"/>
                <w:sz w:val="17"/>
              </w:rPr>
              <w:t>Request</w:t>
            </w:r>
          </w:p>
        </w:tc>
        <w:tc>
          <w:tcPr>
            <w:tcW w:type="dxa" w:w="4032"/>
            <w:shd w:val="clear" w:color="auto" w:fill="1F3864"/>
          </w:tcPr>
          <w:p>
            <w:pPr>
              <w:spacing w:after="40" w:before="0"/>
            </w:pPr>
            <w:r/>
            <w:r>
              <w:rPr>
                <w:b/>
                <w:color w:val="FFFFFF"/>
                <w:sz w:val="17"/>
              </w:rPr>
              <w:t>Technical specifics</w:t>
            </w:r>
          </w:p>
        </w:tc>
        <w:tc>
          <w:tcPr>
            <w:tcW w:type="dxa" w:w="2448"/>
            <w:shd w:val="clear" w:color="auto" w:fill="1F3864"/>
          </w:tcPr>
          <w:p>
            <w:pPr>
              <w:spacing w:after="40" w:before="0"/>
            </w:pPr>
            <w:r/>
            <w:r>
              <w:rPr>
                <w:b/>
                <w:color w:val="FFFFFF"/>
                <w:sz w:val="17"/>
              </w:rPr>
              <w:t>What it removes</w:t>
            </w:r>
          </w:p>
        </w:tc>
        <w:tc>
          <w:tcPr>
            <w:tcW w:type="dxa" w:w="864"/>
            <w:shd w:val="clear" w:color="auto" w:fill="1F3864"/>
          </w:tcPr>
          <w:p>
            <w:pPr>
              <w:spacing w:after="40" w:before="0"/>
            </w:pPr>
            <w:r/>
            <w:r>
              <w:rPr>
                <w:b/>
                <w:color w:val="FFFFFF"/>
                <w:sz w:val="17"/>
              </w:rPr>
              <w:t>Priority</w:t>
            </w:r>
          </w:p>
        </w:tc>
      </w:tr>
      <w:tr>
        <w:trPr>
          <w:cantSplit w:val="true"/>
        </w:trPr>
        <w:tc>
          <w:tcPr>
            <w:tcW w:type="dxa" w:w="576"/>
            <w:shd w:val="clear" w:color="auto" w:fill="EEF2F8"/>
          </w:tcPr>
          <w:p>
            <w:pPr>
              <w:spacing w:after="40" w:before="0"/>
            </w:pPr>
            <w:r/>
            <w:r>
              <w:rPr>
                <w:b/>
                <w:sz w:val="17"/>
              </w:rPr>
              <w:t>R1</w:t>
            </w:r>
          </w:p>
        </w:tc>
        <w:tc>
          <w:tcPr>
            <w:tcW w:type="dxa" w:w="2016"/>
          </w:tcPr>
          <w:p>
            <w:pPr>
              <w:spacing w:after="40" w:before="0"/>
            </w:pPr>
            <w:r/>
            <w:r>
              <w:rPr>
                <w:sz w:val="17"/>
              </w:rPr>
              <w:t>A Docker-capable build path</w:t>
            </w:r>
          </w:p>
        </w:tc>
        <w:tc>
          <w:tcPr>
            <w:tcW w:type="dxa" w:w="4032"/>
          </w:tcPr>
          <w:p>
            <w:pPr>
              <w:spacing w:after="40" w:before="0"/>
            </w:pPr>
            <w:r/>
            <w:r>
              <w:rPr>
                <w:sz w:val="17"/>
              </w:rPr>
              <w:t>Enable Docker (WSL2 or a container runtime) on the WorkSpaces image, or approve a managed build such as CodeBuild with an arm64 build environment pushing to ECR.</w:t>
            </w:r>
          </w:p>
        </w:tc>
        <w:tc>
          <w:tcPr>
            <w:tcW w:type="dxa" w:w="2448"/>
          </w:tcPr>
          <w:p>
            <w:pPr>
              <w:spacing w:after="40" w:before="0"/>
            </w:pPr>
            <w:r/>
            <w:r>
              <w:rPr>
                <w:sz w:val="17"/>
              </w:rPr>
              <w:t>Builder stack, its AdministratorAccess role, and the SSM deploy path</w:t>
            </w:r>
          </w:p>
        </w:tc>
        <w:tc>
          <w:tcPr>
            <w:tcW w:type="dxa" w:w="864"/>
          </w:tcPr>
          <w:p>
            <w:pPr>
              <w:spacing w:after="40" w:before="0"/>
            </w:pPr>
            <w:r/>
            <w:r>
              <w:rPr>
                <w:sz w:val="17"/>
              </w:rPr>
              <w:t>1</w:t>
            </w:r>
          </w:p>
        </w:tc>
      </w:tr>
      <w:tr>
        <w:trPr>
          <w:cantSplit w:val="true"/>
        </w:trPr>
        <w:tc>
          <w:tcPr>
            <w:tcW w:type="dxa" w:w="576"/>
            <w:shd w:val="clear" w:color="auto" w:fill="EEF2F8"/>
          </w:tcPr>
          <w:p>
            <w:pPr>
              <w:spacing w:after="40" w:before="0"/>
            </w:pPr>
            <w:r/>
            <w:r>
              <w:rPr>
                <w:b/>
                <w:sz w:val="17"/>
              </w:rPr>
              <w:t>R2</w:t>
            </w:r>
          </w:p>
        </w:tc>
        <w:tc>
          <w:tcPr>
            <w:tcW w:type="dxa" w:w="2016"/>
          </w:tcPr>
          <w:p>
            <w:pPr>
              <w:spacing w:after="40" w:before="0"/>
            </w:pPr>
            <w:r/>
            <w:r>
              <w:rPr>
                <w:sz w:val="17"/>
              </w:rPr>
              <w:t>A sandbox account (or OU) for non-production demos with synthetic data</w:t>
            </w:r>
          </w:p>
        </w:tc>
        <w:tc>
          <w:tcPr>
            <w:tcW w:type="dxa" w:w="4032"/>
          </w:tcPr>
          <w:p>
            <w:pPr>
              <w:spacing w:after="40" w:before="0"/>
            </w:pPr>
            <w:r/>
            <w:r>
              <w:rPr>
                <w:sz w:val="17"/>
              </w:rPr>
              <w:t>Exempt from automatic ingress removal for named ports to approved CIDRs or the CloudFront prefix list. Allow an approved auth pattern (for example Cognito user or identity pools). Use a budget cap with alarms as the compensating control.</w:t>
            </w:r>
          </w:p>
        </w:tc>
        <w:tc>
          <w:tcPr>
            <w:tcW w:type="dxa" w:w="2448"/>
          </w:tcPr>
          <w:p>
            <w:pPr>
              <w:spacing w:after="40" w:before="0"/>
            </w:pPr>
            <w:r/>
            <w:r>
              <w:rPr>
                <w:sz w:val="17"/>
              </w:rPr>
              <w:t xml:space="preserve">The out-of-band Gitea CloudFront workaround and the </w:t>
            </w:r>
            <w:r>
              <w:rPr>
                <w:rFonts w:ascii="Consolas" w:hAnsi="Consolas" w:eastAsia="Consolas"/>
                <w:sz w:val="17"/>
              </w:rPr>
              <w:t>AuthType=NONE</w:t>
            </w:r>
            <w:r>
              <w:rPr>
                <w:sz w:val="17"/>
              </w:rPr>
              <w:t xml:space="preserve"> posture</w:t>
            </w:r>
          </w:p>
        </w:tc>
        <w:tc>
          <w:tcPr>
            <w:tcW w:type="dxa" w:w="864"/>
          </w:tcPr>
          <w:p>
            <w:pPr>
              <w:spacing w:after="40" w:before="0"/>
            </w:pPr>
            <w:r/>
            <w:r>
              <w:rPr>
                <w:sz w:val="17"/>
              </w:rPr>
              <w:t>1</w:t>
            </w:r>
          </w:p>
        </w:tc>
      </w:tr>
      <w:tr>
        <w:trPr>
          <w:cantSplit w:val="true"/>
        </w:trPr>
        <w:tc>
          <w:tcPr>
            <w:tcW w:type="dxa" w:w="576"/>
            <w:shd w:val="clear" w:color="auto" w:fill="EEF2F8"/>
          </w:tcPr>
          <w:p>
            <w:pPr>
              <w:spacing w:after="40" w:before="0"/>
            </w:pPr>
            <w:r/>
            <w:r>
              <w:rPr>
                <w:b/>
                <w:sz w:val="17"/>
              </w:rPr>
              <w:t>R3</w:t>
            </w:r>
          </w:p>
        </w:tc>
        <w:tc>
          <w:tcPr>
            <w:tcW w:type="dxa" w:w="2016"/>
          </w:tcPr>
          <w:p>
            <w:pPr>
              <w:spacing w:after="40" w:before="0"/>
            </w:pPr>
            <w:r/>
            <w:r>
              <w:rPr>
                <w:sz w:val="17"/>
              </w:rPr>
              <w:t>A standard HTTPS-on-443 front-door pattern</w:t>
            </w:r>
          </w:p>
        </w:tc>
        <w:tc>
          <w:tcPr>
            <w:tcW w:type="dxa" w:w="4032"/>
          </w:tcPr>
          <w:p>
            <w:pPr>
              <w:spacing w:after="40" w:before="0"/>
            </w:pPr>
            <w:r/>
            <w:r>
              <w:rPr>
                <w:sz w:val="17"/>
              </w:rPr>
              <w:t>A reusable ALB plus ACM (or CloudFront) template, or outbound access to approved development ports from the office network.</w:t>
            </w:r>
          </w:p>
        </w:tc>
        <w:tc>
          <w:tcPr>
            <w:tcW w:type="dxa" w:w="2448"/>
          </w:tcPr>
          <w:p>
            <w:pPr>
              <w:spacing w:after="40" w:before="0"/>
            </w:pPr>
            <w:r/>
            <w:r>
              <w:rPr>
                <w:sz w:val="17"/>
              </w:rPr>
              <w:t>Per-team improvised front doors</w:t>
            </w:r>
          </w:p>
        </w:tc>
        <w:tc>
          <w:tcPr>
            <w:tcW w:type="dxa" w:w="864"/>
          </w:tcPr>
          <w:p>
            <w:pPr>
              <w:spacing w:after="40" w:before="0"/>
            </w:pPr>
            <w:r/>
            <w:r>
              <w:rPr>
                <w:sz w:val="17"/>
              </w:rPr>
              <w:t>2</w:t>
            </w:r>
          </w:p>
        </w:tc>
      </w:tr>
      <w:tr>
        <w:trPr>
          <w:cantSplit w:val="true"/>
        </w:trPr>
        <w:tc>
          <w:tcPr>
            <w:tcW w:type="dxa" w:w="576"/>
            <w:shd w:val="clear" w:color="auto" w:fill="EEF2F8"/>
          </w:tcPr>
          <w:p>
            <w:pPr>
              <w:spacing w:after="40" w:before="0"/>
            </w:pPr>
            <w:r/>
            <w:r>
              <w:rPr>
                <w:b/>
                <w:sz w:val="17"/>
              </w:rPr>
              <w:t>R4</w:t>
            </w:r>
          </w:p>
        </w:tc>
        <w:tc>
          <w:tcPr>
            <w:tcW w:type="dxa" w:w="2016"/>
          </w:tcPr>
          <w:p>
            <w:pPr>
              <w:spacing w:after="40" w:before="0"/>
            </w:pPr>
            <w:r/>
            <w:r>
              <w:rPr>
                <w:sz w:val="17"/>
              </w:rPr>
              <w:t>Credential ergonomics</w:t>
            </w:r>
          </w:p>
        </w:tc>
        <w:tc>
          <w:tcPr>
            <w:tcW w:type="dxa" w:w="4032"/>
          </w:tcPr>
          <w:p>
            <w:pPr>
              <w:spacing w:after="40" w:before="0"/>
            </w:pPr>
            <w:r/>
            <w:r>
              <w:rPr>
                <w:sz w:val="17"/>
              </w:rPr>
              <w:t xml:space="preserve">SSO session duration of 8 to 12 hours for the developer permission set, or a supported </w:t>
            </w:r>
            <w:r>
              <w:rPr>
                <w:rFonts w:ascii="Consolas" w:hAnsi="Consolas" w:eastAsia="Consolas"/>
                <w:sz w:val="17"/>
              </w:rPr>
              <w:t>credential_process</w:t>
            </w:r>
            <w:r>
              <w:rPr>
                <w:sz w:val="17"/>
              </w:rPr>
              <w:t xml:space="preserve"> or SSO configuration usable by CDK on WorkSpaces.</w:t>
            </w:r>
          </w:p>
        </w:tc>
        <w:tc>
          <w:tcPr>
            <w:tcW w:type="dxa" w:w="2448"/>
          </w:tcPr>
          <w:p>
            <w:pPr>
              <w:spacing w:after="40" w:before="0"/>
            </w:pPr>
            <w:r/>
            <w:r>
              <w:rPr>
                <w:sz w:val="17"/>
              </w:rPr>
              <w:t>Hourly credential export and mid-deploy expiry risk</w:t>
            </w:r>
          </w:p>
        </w:tc>
        <w:tc>
          <w:tcPr>
            <w:tcW w:type="dxa" w:w="864"/>
          </w:tcPr>
          <w:p>
            <w:pPr>
              <w:spacing w:after="40" w:before="0"/>
            </w:pPr>
            <w:r/>
            <w:r>
              <w:rPr>
                <w:sz w:val="17"/>
              </w:rPr>
              <w:t>2</w:t>
            </w:r>
          </w:p>
        </w:tc>
      </w:tr>
      <w:tr>
        <w:trPr>
          <w:cantSplit w:val="true"/>
        </w:trPr>
        <w:tc>
          <w:tcPr>
            <w:tcW w:type="dxa" w:w="576"/>
            <w:shd w:val="clear" w:color="auto" w:fill="EEF2F8"/>
          </w:tcPr>
          <w:p>
            <w:pPr>
              <w:spacing w:after="40" w:before="0"/>
            </w:pPr>
            <w:r/>
            <w:r>
              <w:rPr>
                <w:b/>
                <w:sz w:val="17"/>
              </w:rPr>
              <w:t>R5</w:t>
            </w:r>
          </w:p>
        </w:tc>
        <w:tc>
          <w:tcPr>
            <w:tcW w:type="dxa" w:w="2016"/>
          </w:tcPr>
          <w:p>
            <w:pPr>
              <w:spacing w:after="40" w:before="0"/>
            </w:pPr>
            <w:r/>
            <w:r>
              <w:rPr>
                <w:sz w:val="17"/>
              </w:rPr>
              <w:t>One-time X-Ray setting</w:t>
            </w:r>
          </w:p>
        </w:tc>
        <w:tc>
          <w:tcPr>
            <w:tcW w:type="dxa" w:w="4032"/>
          </w:tcPr>
          <w:p>
            <w:pPr>
              <w:spacing w:after="40" w:before="0"/>
            </w:pPr>
            <w:r/>
            <w:r>
              <w:rPr>
                <w:rFonts w:ascii="Consolas" w:hAnsi="Consolas" w:eastAsia="Consolas"/>
                <w:sz w:val="17"/>
              </w:rPr>
              <w:t>aws xray update-trace-segment-destination --destination CloudWatchLogs</w:t>
            </w:r>
            <w:r>
              <w:rPr>
                <w:sz w:val="17"/>
              </w:rPr>
              <w:t xml:space="preserve"> at account level.</w:t>
            </w:r>
          </w:p>
        </w:tc>
        <w:tc>
          <w:tcPr>
            <w:tcW w:type="dxa" w:w="2448"/>
          </w:tcPr>
          <w:p>
            <w:pPr>
              <w:spacing w:after="40" w:before="0"/>
            </w:pPr>
            <w:r/>
            <w:r>
              <w:rPr>
                <w:sz w:val="17"/>
              </w:rPr>
              <w:t>Blind spot in latency analysis</w:t>
            </w:r>
          </w:p>
        </w:tc>
        <w:tc>
          <w:tcPr>
            <w:tcW w:type="dxa" w:w="864"/>
          </w:tcPr>
          <w:p>
            <w:pPr>
              <w:spacing w:after="40" w:before="0"/>
            </w:pPr>
            <w:r/>
            <w:r>
              <w:rPr>
                <w:sz w:val="17"/>
              </w:rPr>
              <w:t>3</w:t>
            </w:r>
          </w:p>
        </w:tc>
      </w:tr>
      <w:tr>
        <w:trPr>
          <w:cantSplit w:val="true"/>
        </w:trPr>
        <w:tc>
          <w:tcPr>
            <w:tcW w:type="dxa" w:w="576"/>
            <w:shd w:val="clear" w:color="auto" w:fill="EEF2F8"/>
          </w:tcPr>
          <w:p>
            <w:pPr>
              <w:spacing w:after="40" w:before="0"/>
            </w:pPr>
            <w:r/>
            <w:r>
              <w:rPr>
                <w:b/>
                <w:sz w:val="17"/>
              </w:rPr>
              <w:t>R6</w:t>
            </w:r>
          </w:p>
        </w:tc>
        <w:tc>
          <w:tcPr>
            <w:tcW w:type="dxa" w:w="2016"/>
          </w:tcPr>
          <w:p>
            <w:pPr>
              <w:spacing w:after="40" w:before="0"/>
            </w:pPr>
            <w:r/>
            <w:r>
              <w:rPr>
                <w:sz w:val="17"/>
              </w:rPr>
              <w:t>Fallback: approved per-developer budget</w:t>
            </w:r>
          </w:p>
        </w:tc>
        <w:tc>
          <w:tcPr>
            <w:tcW w:type="dxa" w:w="4032"/>
          </w:tcPr>
          <w:p>
            <w:pPr>
              <w:spacing w:after="40" w:before="0"/>
            </w:pPr>
            <w:r/>
            <w:r>
              <w:rPr>
                <w:sz w:val="17"/>
              </w:rPr>
              <w:t>A personal or sandbox AWS account for demos, synthetic data only, with security and compliance sign-off.</w:t>
            </w:r>
          </w:p>
        </w:tc>
        <w:tc>
          <w:tcPr>
            <w:tcW w:type="dxa" w:w="2448"/>
          </w:tcPr>
          <w:p>
            <w:pPr>
              <w:spacing w:after="40" w:before="0"/>
            </w:pPr>
            <w:r/>
            <w:r>
              <w:rPr>
                <w:sz w:val="17"/>
              </w:rPr>
              <w:t>All of the above, for demos</w:t>
            </w:r>
          </w:p>
        </w:tc>
        <w:tc>
          <w:tcPr>
            <w:tcW w:type="dxa" w:w="864"/>
          </w:tcPr>
          <w:p>
            <w:pPr>
              <w:spacing w:after="40" w:before="0"/>
            </w:pPr>
            <w:r/>
            <w:r>
              <w:rPr>
                <w:sz w:val="17"/>
              </w:rPr>
              <w:t>3</w:t>
            </w:r>
          </w:p>
        </w:tc>
      </w:tr>
    </w:tbl>
    <w:p>
      <w:pPr>
        <w:spacing w:after="80"/>
      </w:pPr>
    </w:p>
    <w:p>
      <w:pPr>
        <w:pStyle w:val="Heading1"/>
      </w:pPr>
      <w:r>
        <w:t>8. Permissions and services a sandbox account must allow</w:t>
      </w:r>
    </w:p>
    <w:p>
      <w:pPr>
        <w:spacing w:after="120"/>
      </w:pPr>
      <w:r>
        <w:t>This is the set of services and capabilities the application uses today, so IT can size an exception or a sandbox policy. Items marked (denied today) are blocked in the corporate account.</w:t>
      </w:r>
    </w:p>
    <w:tbl>
      <w:tblPr>
        <w:tblStyle w:val="TableGrid"/>
        <w:tblW w:type="auto" w:w="0"/>
        <w:jc w:val="center"/>
        <w:tblLayout w:type="fixed"/>
        <w:tblLayout w:type="fixed"/>
        <w:tblLook w:firstColumn="1" w:firstRow="1" w:lastColumn="0" w:lastRow="0" w:noHBand="0" w:noVBand="1" w:val="04A0"/>
      </w:tblPr>
      <w:tblGrid>
        <w:gridCol w:w="3312"/>
        <w:gridCol w:w="3312"/>
        <w:gridCol w:w="3312"/>
      </w:tblGrid>
      <w:tr>
        <w:trPr>
          <w:tblHeader w:val="true"/>
        </w:trPr>
        <w:tc>
          <w:tcPr>
            <w:tcW w:type="dxa" w:w="2448"/>
            <w:shd w:val="clear" w:color="auto" w:fill="1F3864"/>
          </w:tcPr>
          <w:p>
            <w:pPr>
              <w:spacing w:after="40" w:before="0"/>
            </w:pPr>
            <w:r/>
            <w:r>
              <w:rPr>
                <w:b/>
                <w:color w:val="FFFFFF"/>
                <w:sz w:val="17"/>
              </w:rPr>
              <w:t>Service</w:t>
            </w:r>
          </w:p>
        </w:tc>
        <w:tc>
          <w:tcPr>
            <w:tcW w:type="dxa" w:w="5184"/>
            <w:shd w:val="clear" w:color="auto" w:fill="1F3864"/>
          </w:tcPr>
          <w:p>
            <w:pPr>
              <w:spacing w:after="40" w:before="0"/>
            </w:pPr>
            <w:r/>
            <w:r>
              <w:rPr>
                <w:b/>
                <w:color w:val="FFFFFF"/>
                <w:sz w:val="17"/>
              </w:rPr>
              <w:t>Capabilities needed</w:t>
            </w:r>
          </w:p>
        </w:tc>
        <w:tc>
          <w:tcPr>
            <w:tcW w:type="dxa" w:w="2304"/>
            <w:shd w:val="clear" w:color="auto" w:fill="1F3864"/>
          </w:tcPr>
          <w:p>
            <w:pPr>
              <w:spacing w:after="40" w:before="0"/>
            </w:pPr>
            <w:r/>
            <w:r>
              <w:rPr>
                <w:b/>
                <w:color w:val="FFFFFF"/>
                <w:sz w:val="17"/>
              </w:rPr>
              <w:t>Used by</w:t>
            </w:r>
          </w:p>
        </w:tc>
      </w:tr>
      <w:tr>
        <w:trPr>
          <w:cantSplit w:val="true"/>
        </w:trPr>
        <w:tc>
          <w:tcPr>
            <w:tcW w:type="dxa" w:w="2448"/>
            <w:shd w:val="clear" w:color="auto" w:fill="EEF2F8"/>
          </w:tcPr>
          <w:p>
            <w:pPr>
              <w:spacing w:after="40" w:before="0"/>
            </w:pPr>
            <w:r/>
            <w:r>
              <w:rPr>
                <w:b/>
                <w:sz w:val="17"/>
              </w:rPr>
              <w:t>CloudFormation and CDK bootstrap</w:t>
            </w:r>
          </w:p>
        </w:tc>
        <w:tc>
          <w:tcPr>
            <w:tcW w:type="dxa" w:w="5184"/>
          </w:tcPr>
          <w:p>
            <w:pPr>
              <w:spacing w:after="40" w:before="0"/>
            </w:pPr>
            <w:r/>
            <w:r>
              <w:rPr>
                <w:sz w:val="17"/>
              </w:rPr>
              <w:t>Stack create and update; the CDKToolkit stack (IAM roles, S3 asset bucket, ECR asset repository)</w:t>
            </w:r>
          </w:p>
        </w:tc>
        <w:tc>
          <w:tcPr>
            <w:tcW w:type="dxa" w:w="2304"/>
          </w:tcPr>
          <w:p>
            <w:pPr>
              <w:spacing w:after="40" w:before="0"/>
            </w:pPr>
            <w:r/>
            <w:r>
              <w:rPr>
                <w:sz w:val="17"/>
              </w:rPr>
              <w:t>All 12 stacks</w:t>
            </w:r>
          </w:p>
        </w:tc>
      </w:tr>
      <w:tr>
        <w:trPr>
          <w:cantSplit w:val="true"/>
        </w:trPr>
        <w:tc>
          <w:tcPr>
            <w:tcW w:type="dxa" w:w="2448"/>
            <w:shd w:val="clear" w:color="auto" w:fill="EEF2F8"/>
          </w:tcPr>
          <w:p>
            <w:pPr>
              <w:spacing w:after="40" w:before="0"/>
            </w:pPr>
            <w:r/>
            <w:r>
              <w:rPr>
                <w:b/>
                <w:sz w:val="17"/>
              </w:rPr>
              <w:t>IAM</w:t>
            </w:r>
          </w:p>
        </w:tc>
        <w:tc>
          <w:tcPr>
            <w:tcW w:type="dxa" w:w="5184"/>
          </w:tcPr>
          <w:p>
            <w:pPr>
              <w:spacing w:after="40" w:before="0"/>
            </w:pPr>
            <w:r/>
            <w:r>
              <w:rPr>
                <w:sz w:val="17"/>
              </w:rPr>
              <w:t>Create roles and policies for Lambda, Gateway, Runtime and the EC2 hosts</w:t>
            </w:r>
          </w:p>
        </w:tc>
        <w:tc>
          <w:tcPr>
            <w:tcW w:type="dxa" w:w="2304"/>
          </w:tcPr>
          <w:p>
            <w:pPr>
              <w:spacing w:after="40" w:before="0"/>
            </w:pPr>
            <w:r/>
            <w:r>
              <w:rPr>
                <w:sz w:val="17"/>
              </w:rPr>
              <w:t>All stacks</w:t>
            </w:r>
          </w:p>
        </w:tc>
      </w:tr>
      <w:tr>
        <w:trPr>
          <w:cantSplit w:val="true"/>
        </w:trPr>
        <w:tc>
          <w:tcPr>
            <w:tcW w:type="dxa" w:w="2448"/>
            <w:shd w:val="clear" w:color="auto" w:fill="EEF2F8"/>
          </w:tcPr>
          <w:p>
            <w:pPr>
              <w:spacing w:after="40" w:before="0"/>
            </w:pPr>
            <w:r/>
            <w:r>
              <w:rPr>
                <w:b/>
                <w:sz w:val="17"/>
              </w:rPr>
              <w:t>Lambda</w:t>
            </w:r>
          </w:p>
        </w:tc>
        <w:tc>
          <w:tcPr>
            <w:tcW w:type="dxa" w:w="5184"/>
          </w:tcPr>
          <w:p>
            <w:pPr>
              <w:spacing w:after="40" w:before="0"/>
            </w:pPr>
            <w:r/>
            <w:r>
              <w:rPr>
                <w:sz w:val="17"/>
              </w:rPr>
              <w:t xml:space="preserve">Python 3.13 functions on x86 and arm64; Function URLs (currently </w:t>
            </w:r>
            <w:r>
              <w:rPr>
                <w:rFonts w:ascii="Consolas" w:hAnsi="Consolas" w:eastAsia="Consolas"/>
                <w:sz w:val="17"/>
              </w:rPr>
              <w:t>AuthType=NONE</w:t>
            </w:r>
            <w:r>
              <w:rPr>
                <w:sz w:val="17"/>
              </w:rPr>
              <w:t>)</w:t>
            </w:r>
          </w:p>
        </w:tc>
        <w:tc>
          <w:tcPr>
            <w:tcW w:type="dxa" w:w="2304"/>
          </w:tcPr>
          <w:p>
            <w:pPr>
              <w:spacing w:after="40" w:before="0"/>
            </w:pPr>
            <w:r/>
            <w:r>
              <w:rPr>
                <w:sz w:val="17"/>
              </w:rPr>
              <w:t>Mock services, thin API</w:t>
            </w:r>
          </w:p>
        </w:tc>
      </w:tr>
      <w:tr>
        <w:trPr>
          <w:cantSplit w:val="true"/>
        </w:trPr>
        <w:tc>
          <w:tcPr>
            <w:tcW w:type="dxa" w:w="2448"/>
            <w:shd w:val="clear" w:color="auto" w:fill="EEF2F8"/>
          </w:tcPr>
          <w:p>
            <w:pPr>
              <w:spacing w:after="40" w:before="0"/>
            </w:pPr>
            <w:r/>
            <w:r>
              <w:rPr>
                <w:b/>
                <w:sz w:val="17"/>
              </w:rPr>
              <w:t>DynamoDB</w:t>
            </w:r>
          </w:p>
        </w:tc>
        <w:tc>
          <w:tcPr>
            <w:tcW w:type="dxa" w:w="5184"/>
          </w:tcPr>
          <w:p>
            <w:pPr>
              <w:spacing w:after="40" w:before="0"/>
            </w:pPr>
            <w:r/>
            <w:r>
              <w:rPr>
                <w:sz w:val="17"/>
              </w:rPr>
              <w:t>On-demand tables</w:t>
            </w:r>
          </w:p>
        </w:tc>
        <w:tc>
          <w:tcPr>
            <w:tcW w:type="dxa" w:w="2304"/>
          </w:tcPr>
          <w:p>
            <w:pPr>
              <w:spacing w:after="40" w:before="0"/>
            </w:pPr>
            <w:r/>
            <w:r>
              <w:rPr>
                <w:sz w:val="17"/>
              </w:rPr>
              <w:t>Mock services, dashboard</w:t>
            </w:r>
          </w:p>
        </w:tc>
      </w:tr>
      <w:tr>
        <w:trPr>
          <w:cantSplit w:val="true"/>
        </w:trPr>
        <w:tc>
          <w:tcPr>
            <w:tcW w:type="dxa" w:w="2448"/>
            <w:shd w:val="clear" w:color="auto" w:fill="EEF2F8"/>
          </w:tcPr>
          <w:p>
            <w:pPr>
              <w:spacing w:after="40" w:before="0"/>
            </w:pPr>
            <w:r/>
            <w:r>
              <w:rPr>
                <w:b/>
                <w:sz w:val="17"/>
              </w:rPr>
              <w:t>S3 and CloudFront</w:t>
            </w:r>
          </w:p>
        </w:tc>
        <w:tc>
          <w:tcPr>
            <w:tcW w:type="dxa" w:w="5184"/>
          </w:tcPr>
          <w:p>
            <w:pPr>
              <w:spacing w:after="40" w:before="0"/>
            </w:pPr>
            <w:r/>
            <w:r>
              <w:rPr>
                <w:sz w:val="17"/>
              </w:rPr>
              <w:t>Private bucket with Origin Access Control; distributions for the frontend and the Gitea front door</w:t>
            </w:r>
          </w:p>
        </w:tc>
        <w:tc>
          <w:tcPr>
            <w:tcW w:type="dxa" w:w="2304"/>
          </w:tcPr>
          <w:p>
            <w:pPr>
              <w:spacing w:after="40" w:before="0"/>
            </w:pPr>
            <w:r/>
            <w:r>
              <w:rPr>
                <w:sz w:val="17"/>
              </w:rPr>
              <w:t>Frontend, Gitea</w:t>
            </w:r>
          </w:p>
        </w:tc>
      </w:tr>
      <w:tr>
        <w:trPr>
          <w:cantSplit w:val="true"/>
        </w:trPr>
        <w:tc>
          <w:tcPr>
            <w:tcW w:type="dxa" w:w="2448"/>
            <w:shd w:val="clear" w:color="auto" w:fill="EEF2F8"/>
          </w:tcPr>
          <w:p>
            <w:pPr>
              <w:spacing w:after="40" w:before="0"/>
            </w:pPr>
            <w:r/>
            <w:r>
              <w:rPr>
                <w:b/>
                <w:sz w:val="17"/>
              </w:rPr>
              <w:t>EC2 and VPC</w:t>
            </w:r>
          </w:p>
        </w:tc>
        <w:tc>
          <w:tcPr>
            <w:tcW w:type="dxa" w:w="5184"/>
          </w:tcPr>
          <w:p>
            <w:pPr>
              <w:spacing w:after="40" w:before="0"/>
            </w:pPr>
            <w:r/>
            <w:r>
              <w:rPr>
                <w:sz w:val="17"/>
              </w:rPr>
              <w:t>VPC, public subnet, internet gateway, security groups, t3.small and t4g.large instances, gp3 EBS, Elastic IP</w:t>
            </w:r>
          </w:p>
        </w:tc>
        <w:tc>
          <w:tcPr>
            <w:tcW w:type="dxa" w:w="2304"/>
          </w:tcPr>
          <w:p>
            <w:pPr>
              <w:spacing w:after="40" w:before="0"/>
            </w:pPr>
            <w:r/>
            <w:r>
              <w:rPr>
                <w:sz w:val="17"/>
              </w:rPr>
              <w:t>Gitea, builder</w:t>
            </w:r>
          </w:p>
        </w:tc>
      </w:tr>
      <w:tr>
        <w:trPr>
          <w:cantSplit w:val="true"/>
        </w:trPr>
        <w:tc>
          <w:tcPr>
            <w:tcW w:type="dxa" w:w="2448"/>
            <w:shd w:val="clear" w:color="auto" w:fill="EEF2F8"/>
          </w:tcPr>
          <w:p>
            <w:pPr>
              <w:spacing w:after="40" w:before="0"/>
            </w:pPr>
            <w:r/>
            <w:r>
              <w:rPr>
                <w:b/>
                <w:sz w:val="17"/>
              </w:rPr>
              <w:t>Systems Manager</w:t>
            </w:r>
          </w:p>
        </w:tc>
        <w:tc>
          <w:tcPr>
            <w:tcW w:type="dxa" w:w="5184"/>
          </w:tcPr>
          <w:p>
            <w:pPr>
              <w:spacing w:after="40" w:before="0"/>
            </w:pPr>
            <w:r/>
            <w:r>
              <w:rPr>
                <w:sz w:val="17"/>
              </w:rPr>
              <w:t>Session Manager, Run Command, Parameter Store SecureString</w:t>
            </w:r>
          </w:p>
        </w:tc>
        <w:tc>
          <w:tcPr>
            <w:tcW w:type="dxa" w:w="2304"/>
          </w:tcPr>
          <w:p>
            <w:pPr>
              <w:spacing w:after="40" w:before="0"/>
            </w:pPr>
            <w:r/>
            <w:r>
              <w:rPr>
                <w:sz w:val="17"/>
              </w:rPr>
              <w:t>Gitea, builder, deploy scripts</w:t>
            </w:r>
          </w:p>
        </w:tc>
      </w:tr>
      <w:tr>
        <w:trPr>
          <w:cantSplit w:val="true"/>
        </w:trPr>
        <w:tc>
          <w:tcPr>
            <w:tcW w:type="dxa" w:w="2448"/>
            <w:shd w:val="clear" w:color="auto" w:fill="EEF2F8"/>
          </w:tcPr>
          <w:p>
            <w:pPr>
              <w:spacing w:after="40" w:before="0"/>
            </w:pPr>
            <w:r/>
            <w:r>
              <w:rPr>
                <w:b/>
                <w:sz w:val="17"/>
              </w:rPr>
              <w:t>ECR</w:t>
            </w:r>
          </w:p>
        </w:tc>
        <w:tc>
          <w:tcPr>
            <w:tcW w:type="dxa" w:w="5184"/>
          </w:tcPr>
          <w:p>
            <w:pPr>
              <w:spacing w:after="40" w:before="0"/>
            </w:pPr>
            <w:r/>
            <w:r>
              <w:rPr>
                <w:sz w:val="17"/>
              </w:rPr>
              <w:t>Image repositories through CDK assets (linux/arm64)</w:t>
            </w:r>
          </w:p>
        </w:tc>
        <w:tc>
          <w:tcPr>
            <w:tcW w:type="dxa" w:w="2304"/>
          </w:tcPr>
          <w:p>
            <w:pPr>
              <w:spacing w:after="40" w:before="0"/>
            </w:pPr>
            <w:r/>
            <w:r>
              <w:rPr>
                <w:sz w:val="17"/>
              </w:rPr>
              <w:t>Runtime</w:t>
            </w:r>
          </w:p>
        </w:tc>
      </w:tr>
      <w:tr>
        <w:trPr>
          <w:cantSplit w:val="true"/>
        </w:trPr>
        <w:tc>
          <w:tcPr>
            <w:tcW w:type="dxa" w:w="2448"/>
            <w:shd w:val="clear" w:color="auto" w:fill="EEF2F8"/>
          </w:tcPr>
          <w:p>
            <w:pPr>
              <w:spacing w:after="40" w:before="0"/>
            </w:pPr>
            <w:r/>
            <w:r>
              <w:rPr>
                <w:b/>
                <w:sz w:val="17"/>
              </w:rPr>
              <w:t>Amazon Bedrock</w:t>
            </w:r>
          </w:p>
        </w:tc>
        <w:tc>
          <w:tcPr>
            <w:tcW w:type="dxa" w:w="5184"/>
          </w:tcPr>
          <w:p>
            <w:pPr>
              <w:spacing w:after="40" w:before="0"/>
            </w:pPr>
            <w:r/>
            <w:r>
              <w:rPr>
                <w:rFonts w:ascii="Consolas" w:hAnsi="Consolas" w:eastAsia="Consolas"/>
                <w:sz w:val="17"/>
              </w:rPr>
              <w:t>InvokeModel</w:t>
            </w:r>
            <w:r>
              <w:rPr>
                <w:sz w:val="17"/>
              </w:rPr>
              <w:t xml:space="preserve"> and </w:t>
            </w:r>
            <w:r>
              <w:rPr>
                <w:rFonts w:ascii="Consolas" w:hAnsi="Consolas" w:eastAsia="Consolas"/>
                <w:sz w:val="17"/>
              </w:rPr>
              <w:t>InvokeModelWithResponseStream</w:t>
            </w:r>
            <w:r>
              <w:rPr>
                <w:sz w:val="17"/>
              </w:rPr>
              <w:t xml:space="preserve"> on the Claude Sonnet 4.5 </w:t>
            </w:r>
            <w:r>
              <w:rPr>
                <w:rFonts w:ascii="Consolas" w:hAnsi="Consolas" w:eastAsia="Consolas"/>
                <w:sz w:val="17"/>
              </w:rPr>
              <w:t>us.</w:t>
            </w:r>
            <w:r>
              <w:rPr>
                <w:sz w:val="17"/>
              </w:rPr>
              <w:t xml:space="preserve"> inference profile and the foundation models it routes to; model access enabled</w:t>
            </w:r>
          </w:p>
        </w:tc>
        <w:tc>
          <w:tcPr>
            <w:tcW w:type="dxa" w:w="2304"/>
          </w:tcPr>
          <w:p>
            <w:pPr>
              <w:spacing w:after="40" w:before="0"/>
            </w:pPr>
            <w:r/>
            <w:r>
              <w:rPr>
                <w:sz w:val="17"/>
              </w:rPr>
              <w:t>Runtime</w:t>
            </w:r>
          </w:p>
        </w:tc>
      </w:tr>
      <w:tr>
        <w:trPr>
          <w:cantSplit w:val="true"/>
        </w:trPr>
        <w:tc>
          <w:tcPr>
            <w:tcW w:type="dxa" w:w="2448"/>
            <w:shd w:val="clear" w:color="auto" w:fill="EEF2F8"/>
          </w:tcPr>
          <w:p>
            <w:pPr>
              <w:spacing w:after="40" w:before="0"/>
            </w:pPr>
            <w:r/>
            <w:r>
              <w:rPr>
                <w:b/>
                <w:sz w:val="17"/>
              </w:rPr>
              <w:t>Bedrock AgentCore</w:t>
            </w:r>
          </w:p>
        </w:tc>
        <w:tc>
          <w:tcPr>
            <w:tcW w:type="dxa" w:w="5184"/>
          </w:tcPr>
          <w:p>
            <w:pPr>
              <w:spacing w:after="40" w:before="0"/>
            </w:pPr>
            <w:r/>
            <w:r>
              <w:rPr>
                <w:sz w:val="17"/>
              </w:rPr>
              <w:t xml:space="preserve">Runtime, Gateway (MCP targets), Memory; </w:t>
            </w:r>
            <w:r>
              <w:rPr>
                <w:rFonts w:ascii="Consolas" w:hAnsi="Consolas" w:eastAsia="Consolas"/>
                <w:sz w:val="17"/>
              </w:rPr>
              <w:t>InvokeAgentRuntime</w:t>
            </w:r>
            <w:r>
              <w:rPr>
                <w:sz w:val="17"/>
              </w:rPr>
              <w:t xml:space="preserve">, </w:t>
            </w:r>
            <w:r>
              <w:rPr>
                <w:rFonts w:ascii="Consolas" w:hAnsi="Consolas" w:eastAsia="Consolas"/>
                <w:sz w:val="17"/>
              </w:rPr>
              <w:t>InvokeGateway</w:t>
            </w:r>
            <w:r>
              <w:rPr>
                <w:sz w:val="17"/>
              </w:rPr>
              <w:t>, memory event APIs</w:t>
            </w:r>
          </w:p>
        </w:tc>
        <w:tc>
          <w:tcPr>
            <w:tcW w:type="dxa" w:w="2304"/>
          </w:tcPr>
          <w:p>
            <w:pPr>
              <w:spacing w:after="40" w:before="0"/>
            </w:pPr>
            <w:r/>
            <w:r>
              <w:rPr>
                <w:sz w:val="17"/>
              </w:rPr>
              <w:t>Runtime, Gateway, Memory, thin API</w:t>
            </w:r>
          </w:p>
        </w:tc>
      </w:tr>
      <w:tr>
        <w:trPr>
          <w:cantSplit w:val="true"/>
        </w:trPr>
        <w:tc>
          <w:tcPr>
            <w:tcW w:type="dxa" w:w="2448"/>
            <w:shd w:val="clear" w:color="auto" w:fill="EEF2F8"/>
          </w:tcPr>
          <w:p>
            <w:pPr>
              <w:spacing w:after="40" w:before="0"/>
            </w:pPr>
            <w:r/>
            <w:r>
              <w:rPr>
                <w:b/>
                <w:sz w:val="17"/>
              </w:rPr>
              <w:t>CloudWatch Logs</w:t>
            </w:r>
          </w:p>
        </w:tc>
        <w:tc>
          <w:tcPr>
            <w:tcW w:type="dxa" w:w="5184"/>
          </w:tcPr>
          <w:p>
            <w:pPr>
              <w:spacing w:after="40" w:before="0"/>
            </w:pPr>
            <w:r/>
            <w:r>
              <w:rPr>
                <w:sz w:val="17"/>
              </w:rPr>
              <w:t>Log groups for Lambda and Runtime</w:t>
            </w:r>
          </w:p>
        </w:tc>
        <w:tc>
          <w:tcPr>
            <w:tcW w:type="dxa" w:w="2304"/>
          </w:tcPr>
          <w:p>
            <w:pPr>
              <w:spacing w:after="40" w:before="0"/>
            </w:pPr>
            <w:r/>
            <w:r>
              <w:rPr>
                <w:sz w:val="17"/>
              </w:rPr>
              <w:t>All</w:t>
            </w:r>
          </w:p>
        </w:tc>
      </w:tr>
      <w:tr>
        <w:trPr>
          <w:cantSplit w:val="true"/>
        </w:trPr>
        <w:tc>
          <w:tcPr>
            <w:tcW w:type="dxa" w:w="2448"/>
            <w:shd w:val="clear" w:color="auto" w:fill="EEF2F8"/>
          </w:tcPr>
          <w:p>
            <w:pPr>
              <w:spacing w:after="40" w:before="0"/>
            </w:pPr>
            <w:r/>
            <w:r>
              <w:rPr>
                <w:b/>
                <w:sz w:val="17"/>
              </w:rPr>
              <w:t>Cognito (denied today)</w:t>
            </w:r>
          </w:p>
        </w:tc>
        <w:tc>
          <w:tcPr>
            <w:tcW w:type="dxa" w:w="5184"/>
          </w:tcPr>
          <w:p>
            <w:pPr>
              <w:spacing w:after="40" w:before="0"/>
            </w:pPr>
            <w:r/>
            <w:r>
              <w:rPr>
                <w:sz w:val="17"/>
              </w:rPr>
              <w:t>Only if verified browser authentication is restored through Cognito</w:t>
            </w:r>
          </w:p>
        </w:tc>
        <w:tc>
          <w:tcPr>
            <w:tcW w:type="dxa" w:w="2304"/>
          </w:tcPr>
          <w:p>
            <w:pPr>
              <w:spacing w:after="40" w:before="0"/>
            </w:pPr>
            <w:r/>
            <w:r>
              <w:rPr>
                <w:sz w:val="17"/>
              </w:rPr>
              <w:t>Frontend, thin API</w:t>
            </w:r>
          </w:p>
        </w:tc>
      </w:tr>
      <w:tr>
        <w:trPr>
          <w:cantSplit w:val="true"/>
        </w:trPr>
        <w:tc>
          <w:tcPr>
            <w:tcW w:type="dxa" w:w="2448"/>
            <w:shd w:val="clear" w:color="auto" w:fill="EEF2F8"/>
          </w:tcPr>
          <w:p>
            <w:pPr>
              <w:spacing w:after="40" w:before="0"/>
            </w:pPr>
            <w:r/>
            <w:r>
              <w:rPr>
                <w:b/>
                <w:sz w:val="17"/>
              </w:rPr>
              <w:t>EventBridge (planned)</w:t>
            </w:r>
          </w:p>
        </w:tc>
        <w:tc>
          <w:tcPr>
            <w:tcW w:type="dxa" w:w="5184"/>
          </w:tcPr>
          <w:p>
            <w:pPr>
              <w:spacing w:after="40" w:before="0"/>
            </w:pPr>
            <w:r/>
            <w:r>
              <w:rPr>
                <w:sz w:val="17"/>
              </w:rPr>
              <w:t>A scheduled rule and Lambda target for a Runtime keep-warm ping</w:t>
            </w:r>
          </w:p>
        </w:tc>
        <w:tc>
          <w:tcPr>
            <w:tcW w:type="dxa" w:w="2304"/>
          </w:tcPr>
          <w:p>
            <w:pPr>
              <w:spacing w:after="40" w:before="0"/>
            </w:pPr>
            <w:r/>
            <w:r>
              <w:rPr>
                <w:sz w:val="17"/>
              </w:rPr>
              <w:t>Planned latency improvement</w:t>
            </w:r>
          </w:p>
        </w:tc>
      </w:tr>
    </w:tbl>
    <w:p>
      <w:pPr>
        <w:spacing w:after="80"/>
      </w:pPr>
    </w:p>
    <w:p>
      <w:pPr>
        <w:spacing w:after="120"/>
      </w:pPr>
      <w:r>
        <w:rPr>
          <w:b/>
        </w:rPr>
        <w:t>Region note:</w:t>
      </w:r>
      <w:r>
        <w:t xml:space="preserve"> the Runtime role uses a wildcard-region foundation-model ARN because the </w:t>
      </w:r>
      <w:r>
        <w:rPr>
          <w:rFonts w:ascii="Consolas" w:hAnsi="Consolas" w:eastAsia="Consolas"/>
        </w:rPr>
        <w:t>us.</w:t>
      </w:r>
      <w:r>
        <w:t xml:space="preserve"> inference profile routes across US regions. The current account allows this. Any OU with a region-restriction SCP may break cross-region inference, so confirm before moving the workload.</w:t>
      </w:r>
    </w:p>
    <w:p>
      <w:pPr>
        <w:pStyle w:val="Heading1"/>
      </w:pPr>
      <w:r>
        <w:t>9. Cost and budget</w:t>
      </w:r>
    </w:p>
    <w:p>
      <w:pPr>
        <w:spacing w:after="120"/>
      </w:pPr>
      <w:r>
        <w:t xml:space="preserve">These are </w:t>
      </w:r>
      <w:r>
        <w:rPr>
          <w:b/>
        </w:rPr>
        <w:t>estimates from published rates (late 2026), not a bill.</w:t>
      </w:r>
      <w:r>
        <w:t xml:space="preserve"> AgentCore Runtime consumption for this specific agent is the largest uncertainty. Bedrock token spend dominates. Infrastructure is small.</w:t>
      </w:r>
    </w:p>
    <w:tbl>
      <w:tblPr>
        <w:tblStyle w:val="TableGrid"/>
        <w:tblW w:type="auto" w:w="0"/>
        <w:jc w:val="center"/>
        <w:tblLayout w:type="fixed"/>
        <w:tblLayout w:type="fixed"/>
        <w:tblLook w:firstColumn="1" w:firstRow="1" w:lastColumn="0" w:lastRow="0" w:noHBand="0" w:noVBand="1" w:val="04A0"/>
      </w:tblPr>
      <w:tblGrid>
        <w:gridCol w:w="2484"/>
        <w:gridCol w:w="2484"/>
        <w:gridCol w:w="2484"/>
        <w:gridCol w:w="2484"/>
      </w:tblGrid>
      <w:tr>
        <w:trPr>
          <w:tblHeader w:val="true"/>
        </w:trPr>
        <w:tc>
          <w:tcPr>
            <w:tcW w:type="dxa" w:w="3600"/>
            <w:shd w:val="clear" w:color="auto" w:fill="1F3864"/>
          </w:tcPr>
          <w:p>
            <w:pPr>
              <w:spacing w:after="40" w:before="0"/>
            </w:pPr>
            <w:r/>
            <w:r>
              <w:rPr>
                <w:b/>
                <w:color w:val="FFFFFF"/>
                <w:sz w:val="18"/>
              </w:rPr>
              <w:t>Scenario</w:t>
            </w:r>
          </w:p>
        </w:tc>
        <w:tc>
          <w:tcPr>
            <w:tcW w:type="dxa" w:w="1440"/>
            <w:shd w:val="clear" w:color="auto" w:fill="1F3864"/>
          </w:tcPr>
          <w:p>
            <w:pPr>
              <w:spacing w:after="40" w:before="0"/>
            </w:pPr>
            <w:r/>
            <w:r>
              <w:rPr>
                <w:b/>
                <w:color w:val="FFFFFF"/>
                <w:sz w:val="18"/>
              </w:rPr>
              <w:t>Daily (8 h)</w:t>
            </w:r>
          </w:p>
        </w:tc>
        <w:tc>
          <w:tcPr>
            <w:tcW w:type="dxa" w:w="2448"/>
            <w:shd w:val="clear" w:color="auto" w:fill="1F3864"/>
          </w:tcPr>
          <w:p>
            <w:pPr>
              <w:spacing w:after="40" w:before="0"/>
            </w:pPr>
            <w:r/>
            <w:r>
              <w:rPr>
                <w:b/>
                <w:color w:val="FFFFFF"/>
                <w:sz w:val="18"/>
              </w:rPr>
              <w:t>Monthly (20 working days)</w:t>
            </w:r>
          </w:p>
        </w:tc>
        <w:tc>
          <w:tcPr>
            <w:tcW w:type="dxa" w:w="2448"/>
            <w:shd w:val="clear" w:color="auto" w:fill="1F3864"/>
          </w:tcPr>
          <w:p>
            <w:pPr>
              <w:spacing w:after="40" w:before="0"/>
            </w:pPr>
            <w:r/>
            <w:r>
              <w:rPr>
                <w:b/>
                <w:color w:val="FFFFFF"/>
                <w:sz w:val="18"/>
              </w:rPr>
              <w:t>Main driver</w:t>
            </w:r>
          </w:p>
        </w:tc>
      </w:tr>
      <w:tr>
        <w:trPr>
          <w:cantSplit w:val="true"/>
        </w:trPr>
        <w:tc>
          <w:tcPr>
            <w:tcW w:type="dxa" w:w="3600"/>
            <w:shd w:val="clear" w:color="auto" w:fill="EEF2F8"/>
          </w:tcPr>
          <w:p>
            <w:pPr>
              <w:spacing w:after="40" w:before="0"/>
            </w:pPr>
            <w:r/>
            <w:r>
              <w:rPr>
                <w:b/>
                <w:sz w:val="18"/>
              </w:rPr>
              <w:t>Light demo (about 30 to 50 queries a day)</w:t>
            </w:r>
          </w:p>
        </w:tc>
        <w:tc>
          <w:tcPr>
            <w:tcW w:type="dxa" w:w="1440"/>
          </w:tcPr>
          <w:p>
            <w:pPr>
              <w:spacing w:after="40" w:before="0"/>
            </w:pPr>
            <w:r/>
            <w:r>
              <w:rPr>
                <w:sz w:val="18"/>
              </w:rPr>
              <w:t>$3 to $8</w:t>
            </w:r>
          </w:p>
        </w:tc>
        <w:tc>
          <w:tcPr>
            <w:tcW w:type="dxa" w:w="2448"/>
          </w:tcPr>
          <w:p>
            <w:pPr>
              <w:spacing w:after="40" w:before="0"/>
            </w:pPr>
            <w:r/>
            <w:r>
              <w:rPr>
                <w:sz w:val="18"/>
              </w:rPr>
              <w:t>$60 to $160</w:t>
            </w:r>
          </w:p>
        </w:tc>
        <w:tc>
          <w:tcPr>
            <w:tcW w:type="dxa" w:w="2448"/>
          </w:tcPr>
          <w:p>
            <w:pPr>
              <w:spacing w:after="40" w:before="0"/>
            </w:pPr>
            <w:r/>
            <w:r>
              <w:rPr>
                <w:sz w:val="18"/>
              </w:rPr>
              <w:t>Bedrock tokens (about $2 to $6 a day)</w:t>
            </w:r>
          </w:p>
        </w:tc>
      </w:tr>
      <w:tr>
        <w:trPr>
          <w:cantSplit w:val="true"/>
        </w:trPr>
        <w:tc>
          <w:tcPr>
            <w:tcW w:type="dxa" w:w="3600"/>
            <w:shd w:val="clear" w:color="auto" w:fill="EEF2F8"/>
          </w:tcPr>
          <w:p>
            <w:pPr>
              <w:spacing w:after="40" w:before="0"/>
            </w:pPr>
            <w:r/>
            <w:r>
              <w:rPr>
                <w:b/>
                <w:sz w:val="18"/>
              </w:rPr>
              <w:t>Heavy testing (about 150 to 250 queries a day)</w:t>
            </w:r>
          </w:p>
        </w:tc>
        <w:tc>
          <w:tcPr>
            <w:tcW w:type="dxa" w:w="1440"/>
          </w:tcPr>
          <w:p>
            <w:pPr>
              <w:spacing w:after="40" w:before="0"/>
            </w:pPr>
            <w:r/>
            <w:r>
              <w:rPr>
                <w:sz w:val="18"/>
              </w:rPr>
              <w:t>$12 to $30</w:t>
            </w:r>
          </w:p>
        </w:tc>
        <w:tc>
          <w:tcPr>
            <w:tcW w:type="dxa" w:w="2448"/>
          </w:tcPr>
          <w:p>
            <w:pPr>
              <w:spacing w:after="40" w:before="0"/>
            </w:pPr>
            <w:r/>
            <w:r>
              <w:rPr>
                <w:sz w:val="18"/>
              </w:rPr>
              <w:t>$240 to $600</w:t>
            </w:r>
          </w:p>
        </w:tc>
        <w:tc>
          <w:tcPr>
            <w:tcW w:type="dxa" w:w="2448"/>
          </w:tcPr>
          <w:p>
            <w:pPr>
              <w:spacing w:after="40" w:before="0"/>
            </w:pPr>
            <w:r/>
            <w:r>
              <w:rPr>
                <w:sz w:val="18"/>
              </w:rPr>
              <w:t>Bedrock tokens (about $10 to $25 a day)</w:t>
            </w:r>
          </w:p>
        </w:tc>
      </w:tr>
    </w:tbl>
    <w:p>
      <w:pPr>
        <w:spacing w:after="80"/>
      </w:pPr>
    </w:p>
    <w:p>
      <w:pPr>
        <w:spacing w:after="40"/>
      </w:pPr>
      <w:r>
        <w:rPr>
          <w:b/>
        </w:rPr>
        <w:t>Rates used:</w:t>
      </w:r>
    </w:p>
    <w:p>
      <w:pPr>
        <w:pStyle w:val="ListBullet"/>
        <w:spacing w:after="40"/>
      </w:pPr>
      <w:r>
        <w:rPr>
          <w:sz w:val="20"/>
        </w:rPr>
        <w:t>AgentCore Runtime: about $0.0895 per vCPU-hour and $0.00945 per GB-hour, billed per second.</w:t>
      </w:r>
    </w:p>
    <w:p>
      <w:pPr>
        <w:pStyle w:val="ListBullet"/>
        <w:spacing w:after="40"/>
      </w:pPr>
      <w:r>
        <w:rPr>
          <w:sz w:val="20"/>
        </w:rPr>
        <w:t>Claude Sonnet 4.5 on Bedrock: $3.00 per million input tokens and $15.00 per million output tokens.</w:t>
      </w:r>
    </w:p>
    <w:p>
      <w:pPr>
        <w:pStyle w:val="ListBullet"/>
        <w:spacing w:after="40"/>
      </w:pPr>
      <w:r>
        <w:rPr>
          <w:sz w:val="20"/>
        </w:rPr>
        <w:t>EC2 t3.small about $0.0208 per hour (Gitea only; skip it in mock-Git mode). DynamoDB on-demand, Lambda, S3 and CloudFront cost cents at demo volume. There is no NAT gateway in either VPC.</w:t>
      </w:r>
    </w:p>
    <w:p>
      <w:pPr>
        <w:spacing w:after="40"/>
      </w:pPr>
    </w:p>
    <w:p>
      <w:pPr>
        <w:spacing w:after="120"/>
      </w:pPr>
      <w:r>
        <w:rPr>
          <w:b/>
        </w:rPr>
        <w:t>Suggested sandbox budget (our suggestion, for discussion):</w:t>
      </w:r>
      <w:r>
        <w:t xml:space="preserve"> a cap of about $200 per month with alerts at 50%, 80% and 100%, raised only for planned heavy-testing periods. Read AWS Cost Explorer after the first real demo day to replace these estimates with measured figures.</w:t>
      </w:r>
    </w:p>
    <w:p>
      <w:pPr>
        <w:pStyle w:val="Heading1"/>
      </w:pPr>
      <w:r>
        <w:t>10. Open questions for IT</w:t>
      </w:r>
    </w:p>
    <w:p>
      <w:pPr>
        <w:pStyle w:val="ListBullet"/>
        <w:spacing w:after="40"/>
      </w:pPr>
      <w:r>
        <w:t>What mechanism removes inbound security-group rules on non-standard ports, and is there an exception or tag-based exemption path?</w:t>
      </w:r>
    </w:p>
    <w:p>
      <w:pPr>
        <w:pStyle w:val="ListBullet"/>
        <w:spacing w:after="40"/>
      </w:pPr>
      <w:r>
        <w:t>Is Docker permitted on the WorkSpaces image (WSL2 or containers)? If not, which managed build service is approved?</w:t>
      </w:r>
    </w:p>
    <w:p>
      <w:pPr>
        <w:pStyle w:val="ListBullet"/>
        <w:spacing w:after="40"/>
      </w:pPr>
      <w:r>
        <w:t>Which browser-authentication pattern is approved given the Cognito identity pool SCP?</w:t>
      </w:r>
    </w:p>
    <w:p>
      <w:pPr>
        <w:pStyle w:val="ListBullet"/>
        <w:spacing w:after="40"/>
      </w:pPr>
      <w:r>
        <w:t xml:space="preserve">What is the maximum SSO session duration for the developer permission set, and is </w:t>
      </w:r>
      <w:r>
        <w:rPr>
          <w:rFonts w:ascii="Consolas" w:hAnsi="Consolas" w:eastAsia="Consolas"/>
        </w:rPr>
        <w:t>credential_process</w:t>
      </w:r>
      <w:r>
        <w:t xml:space="preserve"> supported on WorkSpaces?</w:t>
      </w:r>
    </w:p>
    <w:p>
      <w:pPr>
        <w:pStyle w:val="ListBullet"/>
        <w:spacing w:after="40"/>
      </w:pPr>
      <w:r>
        <w:t>Is the TCP 443-only office egress a deliberate network policy, and is there an approved proxy or port range for development?</w:t>
      </w:r>
    </w:p>
    <w:p>
      <w:pPr>
        <w:pStyle w:val="ListBullet"/>
        <w:spacing w:after="40"/>
      </w:pPr>
      <w:r>
        <w:t>Do any region-restriction SCPs affect Bedrock cross-region inference profiles?</w:t>
      </w:r>
    </w:p>
    <w:p>
      <w:pPr>
        <w:pStyle w:val="ListBullet"/>
        <w:spacing w:after="40"/>
      </w:pPr>
      <w:r>
        <w:t xml:space="preserve">Are public Lambda Function URLs with </w:t>
      </w:r>
      <w:r>
        <w:rPr>
          <w:rFonts w:ascii="Consolas" w:hAnsi="Consolas" w:eastAsia="Consolas"/>
        </w:rPr>
        <w:t>AuthType=NONE</w:t>
      </w:r>
      <w:r>
        <w:t xml:space="preserve"> acceptable for a short-lived synthetic-data demo, or must they be restricted?</w:t>
      </w:r>
    </w:p>
    <w:p>
      <w:pPr>
        <w:pStyle w:val="ListBullet"/>
        <w:spacing w:after="40"/>
      </w:pPr>
      <w:r>
        <w:t>What is the account reset cadence, and which resources are preserved?</w:t>
      </w:r>
    </w:p>
    <w:p>
      <w:pPr>
        <w:pStyle w:val="ListBullet"/>
        <w:spacing w:after="40"/>
      </w:pPr>
      <w:r>
        <w:t>Can a sandbox account or OU be provisioned for non-production demos, and what budget would be approved?</w:t>
      </w:r>
    </w:p>
    <w:p>
      <w:pPr>
        <w:spacing w:after="40"/>
      </w:pPr>
    </w:p>
    <w:p>
      <w:pPr>
        <w:pStyle w:val="Heading1"/>
      </w:pPr>
      <w:r>
        <w:t>Appendix A: Network and port map</w:t>
      </w:r>
    </w:p>
    <w:tbl>
      <w:tblPr>
        <w:tblStyle w:val="TableGrid"/>
        <w:tblW w:type="auto" w:w="0"/>
        <w:jc w:val="center"/>
        <w:tblLayout w:type="fixed"/>
        <w:tblLayout w:type="fixed"/>
        <w:tblLook w:firstColumn="1" w:firstRow="1" w:lastColumn="0" w:lastRow="0" w:noHBand="0" w:noVBand="1" w:val="04A0"/>
      </w:tblPr>
      <w:tblGrid>
        <w:gridCol w:w="2484"/>
        <w:gridCol w:w="2484"/>
        <w:gridCol w:w="2484"/>
        <w:gridCol w:w="2484"/>
      </w:tblGrid>
      <w:tr>
        <w:trPr>
          <w:tblHeader w:val="true"/>
        </w:trPr>
        <w:tc>
          <w:tcPr>
            <w:tcW w:type="dxa" w:w="2016"/>
            <w:shd w:val="clear" w:color="auto" w:fill="1F3864"/>
          </w:tcPr>
          <w:p>
            <w:pPr>
              <w:spacing w:after="40" w:before="0"/>
            </w:pPr>
            <w:r/>
            <w:r>
              <w:rPr>
                <w:b/>
                <w:color w:val="FFFFFF"/>
                <w:sz w:val="17"/>
              </w:rPr>
              <w:t>Flow</w:t>
            </w:r>
          </w:p>
        </w:tc>
        <w:tc>
          <w:tcPr>
            <w:tcW w:type="dxa" w:w="2736"/>
            <w:shd w:val="clear" w:color="auto" w:fill="1F3864"/>
          </w:tcPr>
          <w:p>
            <w:pPr>
              <w:spacing w:after="40" w:before="0"/>
            </w:pPr>
            <w:r/>
            <w:r>
              <w:rPr>
                <w:b/>
                <w:color w:val="FFFFFF"/>
                <w:sz w:val="17"/>
              </w:rPr>
              <w:t>From to</w:t>
            </w:r>
          </w:p>
        </w:tc>
        <w:tc>
          <w:tcPr>
            <w:tcW w:type="dxa" w:w="2448"/>
            <w:shd w:val="clear" w:color="auto" w:fill="1F3864"/>
          </w:tcPr>
          <w:p>
            <w:pPr>
              <w:spacing w:after="40" w:before="0"/>
            </w:pPr>
            <w:r/>
            <w:r>
              <w:rPr>
                <w:b/>
                <w:color w:val="FFFFFF"/>
                <w:sz w:val="17"/>
              </w:rPr>
              <w:t>Protocol and port</w:t>
            </w:r>
          </w:p>
        </w:tc>
        <w:tc>
          <w:tcPr>
            <w:tcW w:type="dxa" w:w="2736"/>
            <w:shd w:val="clear" w:color="auto" w:fill="1F3864"/>
          </w:tcPr>
          <w:p>
            <w:pPr>
              <w:spacing w:after="40" w:before="0"/>
            </w:pPr>
            <w:r/>
            <w:r>
              <w:rPr>
                <w:b/>
                <w:color w:val="FFFFFF"/>
                <w:sz w:val="17"/>
              </w:rPr>
              <w:t>Notes</w:t>
            </w:r>
          </w:p>
        </w:tc>
      </w:tr>
      <w:tr>
        <w:trPr>
          <w:cantSplit w:val="true"/>
        </w:trPr>
        <w:tc>
          <w:tcPr>
            <w:tcW w:type="dxa" w:w="2016"/>
            <w:shd w:val="clear" w:color="auto" w:fill="EEF2F8"/>
          </w:tcPr>
          <w:p>
            <w:pPr>
              <w:spacing w:after="40" w:before="0"/>
            </w:pPr>
            <w:r/>
            <w:r>
              <w:rPr>
                <w:b/>
                <w:sz w:val="17"/>
              </w:rPr>
              <w:t>Web app delivery</w:t>
            </w:r>
          </w:p>
        </w:tc>
        <w:tc>
          <w:tcPr>
            <w:tcW w:type="dxa" w:w="2736"/>
          </w:tcPr>
          <w:p>
            <w:pPr>
              <w:spacing w:after="40" w:before="0"/>
            </w:pPr>
            <w:r/>
            <w:r>
              <w:rPr>
                <w:sz w:val="17"/>
              </w:rPr>
              <w:t>Browser to CloudFront to S3</w:t>
            </w:r>
          </w:p>
        </w:tc>
        <w:tc>
          <w:tcPr>
            <w:tcW w:type="dxa" w:w="2448"/>
          </w:tcPr>
          <w:p>
            <w:pPr>
              <w:spacing w:after="40" w:before="0"/>
            </w:pPr>
            <w:r/>
            <w:r>
              <w:rPr>
                <w:sz w:val="17"/>
              </w:rPr>
              <w:t>HTTPS 443</w:t>
            </w:r>
          </w:p>
        </w:tc>
        <w:tc>
          <w:tcPr>
            <w:tcW w:type="dxa" w:w="2736"/>
          </w:tcPr>
          <w:p>
            <w:pPr>
              <w:spacing w:after="40" w:before="0"/>
            </w:pPr>
            <w:r/>
            <w:r>
              <w:rPr>
                <w:sz w:val="17"/>
              </w:rPr>
              <w:t>Origin Access Control; bucket is private</w:t>
            </w:r>
          </w:p>
        </w:tc>
      </w:tr>
      <w:tr>
        <w:trPr>
          <w:cantSplit w:val="true"/>
        </w:trPr>
        <w:tc>
          <w:tcPr>
            <w:tcW w:type="dxa" w:w="2016"/>
            <w:shd w:val="clear" w:color="auto" w:fill="EEF2F8"/>
          </w:tcPr>
          <w:p>
            <w:pPr>
              <w:spacing w:after="40" w:before="0"/>
            </w:pPr>
            <w:r/>
            <w:r>
              <w:rPr>
                <w:b/>
                <w:sz w:val="17"/>
              </w:rPr>
              <w:t>Chat and dashboard API</w:t>
            </w:r>
          </w:p>
        </w:tc>
        <w:tc>
          <w:tcPr>
            <w:tcW w:type="dxa" w:w="2736"/>
          </w:tcPr>
          <w:p>
            <w:pPr>
              <w:spacing w:after="40" w:before="0"/>
            </w:pPr>
            <w:r/>
            <w:r>
              <w:rPr>
                <w:sz w:val="17"/>
              </w:rPr>
              <w:t>Browser to thin API Function URL</w:t>
            </w:r>
          </w:p>
        </w:tc>
        <w:tc>
          <w:tcPr>
            <w:tcW w:type="dxa" w:w="2448"/>
          </w:tcPr>
          <w:p>
            <w:pPr>
              <w:spacing w:after="40" w:before="0"/>
            </w:pPr>
            <w:r/>
            <w:r>
              <w:rPr>
                <w:sz w:val="17"/>
              </w:rPr>
              <w:t>HTTPS 443</w:t>
            </w:r>
          </w:p>
        </w:tc>
        <w:tc>
          <w:tcPr>
            <w:tcW w:type="dxa" w:w="2736"/>
          </w:tcPr>
          <w:p>
            <w:pPr>
              <w:spacing w:after="40" w:before="0"/>
            </w:pPr>
            <w:r/>
            <w:r>
              <w:rPr>
                <w:sz w:val="17"/>
              </w:rPr>
              <w:t xml:space="preserve">Public, AuthType NONE, </w:t>
            </w:r>
            <w:r>
              <w:rPr>
                <w:rFonts w:ascii="Consolas" w:hAnsi="Consolas" w:eastAsia="Consolas"/>
                <w:sz w:val="17"/>
              </w:rPr>
              <w:t>X-Mahalo-Persona</w:t>
            </w:r>
            <w:r>
              <w:rPr>
                <w:sz w:val="17"/>
              </w:rPr>
              <w:t xml:space="preserve"> header</w:t>
            </w:r>
          </w:p>
        </w:tc>
      </w:tr>
      <w:tr>
        <w:trPr>
          <w:cantSplit w:val="true"/>
        </w:trPr>
        <w:tc>
          <w:tcPr>
            <w:tcW w:type="dxa" w:w="2016"/>
            <w:shd w:val="clear" w:color="auto" w:fill="EEF2F8"/>
          </w:tcPr>
          <w:p>
            <w:pPr>
              <w:spacing w:after="40" w:before="0"/>
            </w:pPr>
            <w:r/>
            <w:r>
              <w:rPr>
                <w:b/>
                <w:sz w:val="17"/>
              </w:rPr>
              <w:t>Agent invocation</w:t>
            </w:r>
          </w:p>
        </w:tc>
        <w:tc>
          <w:tcPr>
            <w:tcW w:type="dxa" w:w="2736"/>
          </w:tcPr>
          <w:p>
            <w:pPr>
              <w:spacing w:after="40" w:before="0"/>
            </w:pPr>
            <w:r/>
            <w:r>
              <w:rPr>
                <w:sz w:val="17"/>
              </w:rPr>
              <w:t>Thin API Lambda to AgentCore Runtime</w:t>
            </w:r>
          </w:p>
        </w:tc>
        <w:tc>
          <w:tcPr>
            <w:tcW w:type="dxa" w:w="2448"/>
          </w:tcPr>
          <w:p>
            <w:pPr>
              <w:spacing w:after="40" w:before="0"/>
            </w:pPr>
            <w:r/>
            <w:r>
              <w:rPr>
                <w:sz w:val="17"/>
              </w:rPr>
              <w:t>HTTPS 443 (AWS API, SigV4)</w:t>
            </w:r>
          </w:p>
        </w:tc>
        <w:tc>
          <w:tcPr>
            <w:tcW w:type="dxa" w:w="2736"/>
          </w:tcPr>
          <w:p>
            <w:pPr>
              <w:spacing w:after="40" w:before="0"/>
            </w:pPr>
            <w:r/>
            <w:r>
              <w:rPr>
                <w:sz w:val="17"/>
              </w:rPr>
              <w:t>Single attempt, 300 s read timeout</w:t>
            </w:r>
          </w:p>
        </w:tc>
      </w:tr>
      <w:tr>
        <w:trPr>
          <w:cantSplit w:val="true"/>
        </w:trPr>
        <w:tc>
          <w:tcPr>
            <w:tcW w:type="dxa" w:w="2016"/>
            <w:shd w:val="clear" w:color="auto" w:fill="EEF2F8"/>
          </w:tcPr>
          <w:p>
            <w:pPr>
              <w:spacing w:after="40" w:before="0"/>
            </w:pPr>
            <w:r/>
            <w:r>
              <w:rPr>
                <w:b/>
                <w:sz w:val="17"/>
              </w:rPr>
              <w:t>Model calls</w:t>
            </w:r>
          </w:p>
        </w:tc>
        <w:tc>
          <w:tcPr>
            <w:tcW w:type="dxa" w:w="2736"/>
          </w:tcPr>
          <w:p>
            <w:pPr>
              <w:spacing w:after="40" w:before="0"/>
            </w:pPr>
            <w:r/>
            <w:r>
              <w:rPr>
                <w:sz w:val="17"/>
              </w:rPr>
              <w:t>Runtime to Bedrock</w:t>
            </w:r>
          </w:p>
        </w:tc>
        <w:tc>
          <w:tcPr>
            <w:tcW w:type="dxa" w:w="2448"/>
          </w:tcPr>
          <w:p>
            <w:pPr>
              <w:spacing w:after="40" w:before="0"/>
            </w:pPr>
            <w:r/>
            <w:r>
              <w:rPr>
                <w:sz w:val="17"/>
              </w:rPr>
              <w:t>HTTPS 443</w:t>
            </w:r>
          </w:p>
        </w:tc>
        <w:tc>
          <w:tcPr>
            <w:tcW w:type="dxa" w:w="2736"/>
          </w:tcPr>
          <w:p>
            <w:pPr>
              <w:spacing w:after="40" w:before="0"/>
            </w:pPr>
            <w:r/>
            <w:r>
              <w:rPr>
                <w:sz w:val="17"/>
              </w:rPr>
              <w:t xml:space="preserve">Claude Sonnet 4.5 through the </w:t>
            </w:r>
            <w:r>
              <w:rPr>
                <w:rFonts w:ascii="Consolas" w:hAnsi="Consolas" w:eastAsia="Consolas"/>
                <w:sz w:val="17"/>
              </w:rPr>
              <w:t>us.</w:t>
            </w:r>
            <w:r>
              <w:rPr>
                <w:sz w:val="17"/>
              </w:rPr>
              <w:t xml:space="preserve"> profile</w:t>
            </w:r>
          </w:p>
        </w:tc>
      </w:tr>
      <w:tr>
        <w:trPr>
          <w:cantSplit w:val="true"/>
        </w:trPr>
        <w:tc>
          <w:tcPr>
            <w:tcW w:type="dxa" w:w="2016"/>
            <w:shd w:val="clear" w:color="auto" w:fill="EEF2F8"/>
          </w:tcPr>
          <w:p>
            <w:pPr>
              <w:spacing w:after="40" w:before="0"/>
            </w:pPr>
            <w:r/>
            <w:r>
              <w:rPr>
                <w:b/>
                <w:sz w:val="17"/>
              </w:rPr>
              <w:t>Memory</w:t>
            </w:r>
          </w:p>
        </w:tc>
        <w:tc>
          <w:tcPr>
            <w:tcW w:type="dxa" w:w="2736"/>
          </w:tcPr>
          <w:p>
            <w:pPr>
              <w:spacing w:after="40" w:before="0"/>
            </w:pPr>
            <w:r/>
            <w:r>
              <w:rPr>
                <w:sz w:val="17"/>
              </w:rPr>
              <w:t>Runtime to AgentCore Memory</w:t>
            </w:r>
          </w:p>
        </w:tc>
        <w:tc>
          <w:tcPr>
            <w:tcW w:type="dxa" w:w="2448"/>
          </w:tcPr>
          <w:p>
            <w:pPr>
              <w:spacing w:after="40" w:before="0"/>
            </w:pPr>
            <w:r/>
            <w:r>
              <w:rPr>
                <w:sz w:val="17"/>
              </w:rPr>
              <w:t>HTTPS 443</w:t>
            </w:r>
          </w:p>
        </w:tc>
        <w:tc>
          <w:tcPr>
            <w:tcW w:type="dxa" w:w="2736"/>
          </w:tcPr>
          <w:p>
            <w:pPr>
              <w:spacing w:after="40" w:before="0"/>
            </w:pPr>
            <w:r/>
            <w:r>
              <w:rPr>
                <w:sz w:val="17"/>
              </w:rPr>
              <w:t>Short-term session memory</w:t>
            </w:r>
          </w:p>
        </w:tc>
      </w:tr>
      <w:tr>
        <w:trPr>
          <w:cantSplit w:val="true"/>
        </w:trPr>
        <w:tc>
          <w:tcPr>
            <w:tcW w:type="dxa" w:w="2016"/>
            <w:shd w:val="clear" w:color="auto" w:fill="EEF2F8"/>
          </w:tcPr>
          <w:p>
            <w:pPr>
              <w:spacing w:after="40" w:before="0"/>
            </w:pPr>
            <w:r/>
            <w:r>
              <w:rPr>
                <w:b/>
                <w:sz w:val="17"/>
              </w:rPr>
              <w:t>Tool calls</w:t>
            </w:r>
          </w:p>
        </w:tc>
        <w:tc>
          <w:tcPr>
            <w:tcW w:type="dxa" w:w="2736"/>
          </w:tcPr>
          <w:p>
            <w:pPr>
              <w:spacing w:after="40" w:before="0"/>
            </w:pPr>
            <w:r/>
            <w:r>
              <w:rPr>
                <w:sz w:val="17"/>
              </w:rPr>
              <w:t>Runtime to AgentCore Gateway (MCP)</w:t>
            </w:r>
          </w:p>
        </w:tc>
        <w:tc>
          <w:tcPr>
            <w:tcW w:type="dxa" w:w="2448"/>
          </w:tcPr>
          <w:p>
            <w:pPr>
              <w:spacing w:after="40" w:before="0"/>
            </w:pPr>
            <w:r/>
            <w:r>
              <w:rPr>
                <w:sz w:val="17"/>
              </w:rPr>
              <w:t>HTTPS 443, SigV4</w:t>
            </w:r>
          </w:p>
        </w:tc>
        <w:tc>
          <w:tcPr>
            <w:tcW w:type="dxa" w:w="2736"/>
          </w:tcPr>
          <w:p>
            <w:pPr>
              <w:spacing w:after="40" w:before="0"/>
            </w:pPr>
            <w:r/>
            <w:r>
              <w:rPr>
                <w:sz w:val="17"/>
              </w:rPr>
              <w:t xml:space="preserve">Service name </w:t>
            </w:r>
            <w:r>
              <w:rPr>
                <w:rFonts w:ascii="Consolas" w:hAnsi="Consolas" w:eastAsia="Consolas"/>
                <w:sz w:val="17"/>
              </w:rPr>
              <w:t>bedrock-agentcore</w:t>
            </w:r>
          </w:p>
        </w:tc>
      </w:tr>
      <w:tr>
        <w:trPr>
          <w:cantSplit w:val="true"/>
        </w:trPr>
        <w:tc>
          <w:tcPr>
            <w:tcW w:type="dxa" w:w="2016"/>
            <w:shd w:val="clear" w:color="auto" w:fill="EEF2F8"/>
          </w:tcPr>
          <w:p>
            <w:pPr>
              <w:spacing w:after="40" w:before="0"/>
            </w:pPr>
            <w:r/>
            <w:r>
              <w:rPr>
                <w:b/>
                <w:sz w:val="17"/>
              </w:rPr>
              <w:t>Tool backends</w:t>
            </w:r>
          </w:p>
        </w:tc>
        <w:tc>
          <w:tcPr>
            <w:tcW w:type="dxa" w:w="2736"/>
          </w:tcPr>
          <w:p>
            <w:pPr>
              <w:spacing w:after="40" w:before="0"/>
            </w:pPr>
            <w:r/>
            <w:r>
              <w:rPr>
                <w:sz w:val="17"/>
              </w:rPr>
              <w:t>Gateway to four mock Lambdas</w:t>
            </w:r>
          </w:p>
        </w:tc>
        <w:tc>
          <w:tcPr>
            <w:tcW w:type="dxa" w:w="2448"/>
          </w:tcPr>
          <w:p>
            <w:pPr>
              <w:spacing w:after="40" w:before="0"/>
            </w:pPr>
            <w:r/>
            <w:r>
              <w:rPr>
                <w:sz w:val="17"/>
              </w:rPr>
              <w:t>Lambda invoke</w:t>
            </w:r>
          </w:p>
        </w:tc>
        <w:tc>
          <w:tcPr>
            <w:tcW w:type="dxa" w:w="2736"/>
          </w:tcPr>
          <w:p>
            <w:pPr>
              <w:spacing w:after="40" w:before="0"/>
            </w:pPr>
            <w:r/>
            <w:r>
              <w:rPr>
                <w:sz w:val="17"/>
              </w:rPr>
              <w:t>Per-Lambda invoke permission</w:t>
            </w:r>
          </w:p>
        </w:tc>
      </w:tr>
      <w:tr>
        <w:trPr>
          <w:cantSplit w:val="true"/>
        </w:trPr>
        <w:tc>
          <w:tcPr>
            <w:tcW w:type="dxa" w:w="2016"/>
            <w:shd w:val="clear" w:color="auto" w:fill="EEF2F8"/>
          </w:tcPr>
          <w:p>
            <w:pPr>
              <w:spacing w:after="40" w:before="0"/>
            </w:pPr>
            <w:r/>
            <w:r>
              <w:rPr>
                <w:b/>
                <w:sz w:val="17"/>
              </w:rPr>
              <w:t>Git UI and API</w:t>
            </w:r>
          </w:p>
        </w:tc>
        <w:tc>
          <w:tcPr>
            <w:tcW w:type="dxa" w:w="2736"/>
          </w:tcPr>
          <w:p>
            <w:pPr>
              <w:spacing w:after="40" w:before="0"/>
            </w:pPr>
            <w:r/>
            <w:r>
              <w:rPr>
                <w:sz w:val="17"/>
              </w:rPr>
              <w:t>Browser to CloudFront to Gitea EC2</w:t>
            </w:r>
          </w:p>
        </w:tc>
        <w:tc>
          <w:tcPr>
            <w:tcW w:type="dxa" w:w="2448"/>
          </w:tcPr>
          <w:p>
            <w:pPr>
              <w:spacing w:after="40" w:before="0"/>
            </w:pPr>
            <w:r/>
            <w:r>
              <w:rPr>
                <w:sz w:val="17"/>
              </w:rPr>
              <w:t>HTTPS 443, then HTTP 3000 to origin</w:t>
            </w:r>
          </w:p>
        </w:tc>
        <w:tc>
          <w:tcPr>
            <w:tcW w:type="dxa" w:w="2736"/>
          </w:tcPr>
          <w:p>
            <w:pPr>
              <w:spacing w:after="40" w:before="0"/>
            </w:pPr>
            <w:r/>
            <w:r>
              <w:rPr>
                <w:sz w:val="17"/>
              </w:rPr>
              <w:t>Origin SG limited to the CloudFront prefix list</w:t>
            </w:r>
          </w:p>
        </w:tc>
      </w:tr>
      <w:tr>
        <w:trPr>
          <w:cantSplit w:val="true"/>
        </w:trPr>
        <w:tc>
          <w:tcPr>
            <w:tcW w:type="dxa" w:w="2016"/>
            <w:shd w:val="clear" w:color="auto" w:fill="EEF2F8"/>
          </w:tcPr>
          <w:p>
            <w:pPr>
              <w:spacing w:after="40" w:before="0"/>
            </w:pPr>
            <w:r/>
            <w:r>
              <w:rPr>
                <w:b/>
                <w:sz w:val="17"/>
              </w:rPr>
              <w:t>Git writes from the agent</w:t>
            </w:r>
          </w:p>
        </w:tc>
        <w:tc>
          <w:tcPr>
            <w:tcW w:type="dxa" w:w="2736"/>
          </w:tcPr>
          <w:p>
            <w:pPr>
              <w:spacing w:after="40" w:before="0"/>
            </w:pPr>
            <w:r/>
            <w:r>
              <w:rPr>
                <w:sz w:val="17"/>
              </w:rPr>
              <w:t>GitHub mock Lambda to Gitea</w:t>
            </w:r>
          </w:p>
        </w:tc>
        <w:tc>
          <w:tcPr>
            <w:tcW w:type="dxa" w:w="2448"/>
          </w:tcPr>
          <w:p>
            <w:pPr>
              <w:spacing w:after="40" w:before="0"/>
            </w:pPr>
            <w:r/>
            <w:r>
              <w:rPr>
                <w:sz w:val="17"/>
              </w:rPr>
              <w:t>HTTPS 443 via the CloudFront URL</w:t>
            </w:r>
          </w:p>
        </w:tc>
        <w:tc>
          <w:tcPr>
            <w:tcW w:type="dxa" w:w="2736"/>
          </w:tcPr>
          <w:p>
            <w:pPr>
              <w:spacing w:after="40" w:before="0"/>
            </w:pPr>
            <w:r/>
            <w:r>
              <w:rPr>
                <w:sz w:val="17"/>
              </w:rPr>
              <w:t>Non-VPC Lambda has no fixed egress IP</w:t>
            </w:r>
          </w:p>
        </w:tc>
      </w:tr>
      <w:tr>
        <w:trPr>
          <w:cantSplit w:val="true"/>
        </w:trPr>
        <w:tc>
          <w:tcPr>
            <w:tcW w:type="dxa" w:w="2016"/>
            <w:shd w:val="clear" w:color="auto" w:fill="EEF2F8"/>
          </w:tcPr>
          <w:p>
            <w:pPr>
              <w:spacing w:after="40" w:before="0"/>
            </w:pPr>
            <w:r/>
            <w:r>
              <w:rPr>
                <w:b/>
                <w:sz w:val="17"/>
              </w:rPr>
              <w:t>Administration</w:t>
            </w:r>
          </w:p>
        </w:tc>
        <w:tc>
          <w:tcPr>
            <w:tcW w:type="dxa" w:w="2736"/>
          </w:tcPr>
          <w:p>
            <w:pPr>
              <w:spacing w:after="40" w:before="0"/>
            </w:pPr>
            <w:r/>
            <w:r>
              <w:rPr>
                <w:sz w:val="17"/>
              </w:rPr>
              <w:t>Operator to hosts</w:t>
            </w:r>
          </w:p>
        </w:tc>
        <w:tc>
          <w:tcPr>
            <w:tcW w:type="dxa" w:w="2448"/>
          </w:tcPr>
          <w:p>
            <w:pPr>
              <w:spacing w:after="40" w:before="0"/>
            </w:pPr>
            <w:r/>
            <w:r>
              <w:rPr>
                <w:sz w:val="17"/>
              </w:rPr>
              <w:t>SSM Session Manager (outbound from instance)</w:t>
            </w:r>
          </w:p>
        </w:tc>
        <w:tc>
          <w:tcPr>
            <w:tcW w:type="dxa" w:w="2736"/>
          </w:tcPr>
          <w:p>
            <w:pPr>
              <w:spacing w:after="40" w:before="0"/>
            </w:pPr>
            <w:r/>
            <w:r>
              <w:rPr>
                <w:sz w:val="17"/>
              </w:rPr>
              <w:t>No inbound ports on the builder. The Gitea host also allows SSH (22) from an operator-supplied admin CIDR.</w:t>
            </w:r>
          </w:p>
        </w:tc>
      </w:tr>
      <w:tr>
        <w:trPr>
          <w:cantSplit w:val="true"/>
        </w:trPr>
        <w:tc>
          <w:tcPr>
            <w:tcW w:type="dxa" w:w="2016"/>
            <w:shd w:val="clear" w:color="auto" w:fill="EEF2F8"/>
          </w:tcPr>
          <w:p>
            <w:pPr>
              <w:spacing w:after="40" w:before="0"/>
            </w:pPr>
            <w:r/>
            <w:r>
              <w:rPr>
                <w:b/>
                <w:sz w:val="17"/>
              </w:rPr>
              <w:t>Builder egress</w:t>
            </w:r>
          </w:p>
        </w:tc>
        <w:tc>
          <w:tcPr>
            <w:tcW w:type="dxa" w:w="2736"/>
          </w:tcPr>
          <w:p>
            <w:pPr>
              <w:spacing w:after="40" w:before="0"/>
            </w:pPr>
            <w:r/>
            <w:r>
              <w:rPr>
                <w:sz w:val="17"/>
              </w:rPr>
              <w:t>Builder to internet</w:t>
            </w:r>
          </w:p>
        </w:tc>
        <w:tc>
          <w:tcPr>
            <w:tcW w:type="dxa" w:w="2448"/>
          </w:tcPr>
          <w:p>
            <w:pPr>
              <w:spacing w:after="40" w:before="0"/>
            </w:pPr>
            <w:r/>
            <w:r>
              <w:rPr>
                <w:sz w:val="17"/>
              </w:rPr>
              <w:t>HTTPS 443 and others</w:t>
            </w:r>
          </w:p>
        </w:tc>
        <w:tc>
          <w:tcPr>
            <w:tcW w:type="dxa" w:w="2736"/>
          </w:tcPr>
          <w:p>
            <w:pPr>
              <w:spacing w:after="40" w:before="0"/>
            </w:pPr>
            <w:r/>
            <w:r>
              <w:rPr>
                <w:sz w:val="17"/>
              </w:rPr>
              <w:t>dnf, npm, pip, git, ECR pulls, AWS APIs</w:t>
            </w:r>
          </w:p>
        </w:tc>
      </w:tr>
    </w:tbl>
    <w:p>
      <w:pPr>
        <w:spacing w:after="80"/>
      </w:pPr>
    </w:p>
    <w:p>
      <w:pPr>
        <w:pStyle w:val="Heading1"/>
      </w:pPr>
      <w:r>
        <w:t>Appendix B: Workaround inventory</w:t>
      </w:r>
    </w:p>
    <w:tbl>
      <w:tblPr>
        <w:tblStyle w:val="TableGrid"/>
        <w:tblW w:type="auto" w:w="0"/>
        <w:jc w:val="center"/>
        <w:tblLayout w:type="fixed"/>
        <w:tblLayout w:type="fixed"/>
        <w:tblLook w:firstColumn="1" w:firstRow="1" w:lastColumn="0" w:lastRow="0" w:noHBand="0" w:noVBand="1" w:val="04A0"/>
      </w:tblPr>
      <w:tblGrid>
        <w:gridCol w:w="2484"/>
        <w:gridCol w:w="2484"/>
        <w:gridCol w:w="2484"/>
        <w:gridCol w:w="2484"/>
      </w:tblGrid>
      <w:tr>
        <w:trPr>
          <w:tblHeader w:val="true"/>
        </w:trPr>
        <w:tc>
          <w:tcPr>
            <w:tcW w:type="dxa" w:w="2736"/>
            <w:shd w:val="clear" w:color="auto" w:fill="1F3864"/>
          </w:tcPr>
          <w:p>
            <w:pPr>
              <w:spacing w:after="40" w:before="0"/>
            </w:pPr>
            <w:r/>
            <w:r>
              <w:rPr>
                <w:b/>
                <w:color w:val="FFFFFF"/>
                <w:sz w:val="17"/>
              </w:rPr>
              <w:t>Workaround</w:t>
            </w:r>
          </w:p>
        </w:tc>
        <w:tc>
          <w:tcPr>
            <w:tcW w:type="dxa" w:w="2304"/>
            <w:shd w:val="clear" w:color="auto" w:fill="1F3864"/>
          </w:tcPr>
          <w:p>
            <w:pPr>
              <w:spacing w:after="40" w:before="0"/>
            </w:pPr>
            <w:r/>
            <w:r>
              <w:rPr>
                <w:b/>
                <w:color w:val="FFFFFF"/>
                <w:sz w:val="17"/>
              </w:rPr>
              <w:t>Caused by</w:t>
            </w:r>
          </w:p>
        </w:tc>
        <w:tc>
          <w:tcPr>
            <w:tcW w:type="dxa" w:w="2592"/>
            <w:shd w:val="clear" w:color="auto" w:fill="1F3864"/>
          </w:tcPr>
          <w:p>
            <w:pPr>
              <w:spacing w:after="40" w:before="0"/>
            </w:pPr>
            <w:r/>
            <w:r>
              <w:rPr>
                <w:b/>
                <w:color w:val="FFFFFF"/>
                <w:sz w:val="17"/>
              </w:rPr>
              <w:t>Cost or risk</w:t>
            </w:r>
          </w:p>
        </w:tc>
        <w:tc>
          <w:tcPr>
            <w:tcW w:type="dxa" w:w="2304"/>
            <w:shd w:val="clear" w:color="auto" w:fill="1F3864"/>
          </w:tcPr>
          <w:p>
            <w:pPr>
              <w:spacing w:after="40" w:before="0"/>
            </w:pPr>
            <w:r/>
            <w:r>
              <w:rPr>
                <w:b/>
                <w:color w:val="FFFFFF"/>
                <w:sz w:val="17"/>
              </w:rPr>
              <w:t>Removal condition</w:t>
            </w:r>
          </w:p>
        </w:tc>
      </w:tr>
      <w:tr>
        <w:trPr>
          <w:cantSplit w:val="true"/>
        </w:trPr>
        <w:tc>
          <w:tcPr>
            <w:tcW w:type="dxa" w:w="2736"/>
            <w:shd w:val="clear" w:color="auto" w:fill="EEF2F8"/>
          </w:tcPr>
          <w:p>
            <w:pPr>
              <w:spacing w:after="40" w:before="0"/>
            </w:pPr>
            <w:r/>
            <w:r>
              <w:rPr>
                <w:b/>
                <w:sz w:val="17"/>
              </w:rPr>
              <w:t>EC2 builder stack and SSM deploy path</w:t>
            </w:r>
          </w:p>
        </w:tc>
        <w:tc>
          <w:tcPr>
            <w:tcW w:type="dxa" w:w="2304"/>
          </w:tcPr>
          <w:p>
            <w:pPr>
              <w:spacing w:after="40" w:before="0"/>
            </w:pPr>
            <w:r/>
            <w:r>
              <w:rPr>
                <w:sz w:val="17"/>
              </w:rPr>
              <w:t>No Docker on VDI</w:t>
            </w:r>
          </w:p>
        </w:tc>
        <w:tc>
          <w:tcPr>
            <w:tcW w:type="dxa" w:w="2592"/>
          </w:tcPr>
          <w:p>
            <w:pPr>
              <w:spacing w:after="40" w:before="0"/>
            </w:pPr>
            <w:r/>
            <w:r>
              <w:rPr>
                <w:sz w:val="17"/>
              </w:rPr>
              <w:t>Extra EC2 and VPC; AdministratorAccess role; extra deploy hop</w:t>
            </w:r>
          </w:p>
        </w:tc>
        <w:tc>
          <w:tcPr>
            <w:tcW w:type="dxa" w:w="2304"/>
          </w:tcPr>
          <w:p>
            <w:pPr>
              <w:spacing w:after="40" w:before="0"/>
            </w:pPr>
            <w:r/>
            <w:r>
              <w:rPr>
                <w:sz w:val="17"/>
              </w:rPr>
              <w:t>Docker locally or an approved managed build service</w:t>
            </w:r>
          </w:p>
        </w:tc>
      </w:tr>
      <w:tr>
        <w:trPr>
          <w:cantSplit w:val="true"/>
        </w:trPr>
        <w:tc>
          <w:tcPr>
            <w:tcW w:type="dxa" w:w="2736"/>
            <w:shd w:val="clear" w:color="auto" w:fill="EEF2F8"/>
          </w:tcPr>
          <w:p>
            <w:pPr>
              <w:spacing w:after="40" w:before="0"/>
            </w:pPr>
            <w:r/>
            <w:r>
              <w:rPr>
                <w:b/>
                <w:sz w:val="17"/>
              </w:rPr>
              <w:t>Gitea behind CloudFront (created out-of-band)</w:t>
            </w:r>
          </w:p>
        </w:tc>
        <w:tc>
          <w:tcPr>
            <w:tcW w:type="dxa" w:w="2304"/>
          </w:tcPr>
          <w:p>
            <w:pPr>
              <w:spacing w:after="40" w:before="0"/>
            </w:pPr>
            <w:r/>
            <w:r>
              <w:rPr>
                <w:sz w:val="17"/>
              </w:rPr>
              <w:t>Automatic ingress removal; 443-only egress</w:t>
            </w:r>
          </w:p>
        </w:tc>
        <w:tc>
          <w:tcPr>
            <w:tcW w:type="dxa" w:w="2592"/>
          </w:tcPr>
          <w:p>
            <w:pPr>
              <w:spacing w:after="40" w:before="0"/>
            </w:pPr>
            <w:r/>
            <w:r>
              <w:rPr>
                <w:sz w:val="17"/>
              </w:rPr>
              <w:t>Live environment differs from IaC; must be recreated after a reset</w:t>
            </w:r>
          </w:p>
        </w:tc>
        <w:tc>
          <w:tcPr>
            <w:tcW w:type="dxa" w:w="2304"/>
          </w:tcPr>
          <w:p>
            <w:pPr>
              <w:spacing w:after="40" w:before="0"/>
            </w:pPr>
            <w:r/>
            <w:r>
              <w:rPr>
                <w:sz w:val="17"/>
              </w:rPr>
              <w:t>Approved way to expose a port, or an approved 443 front-door pattern</w:t>
            </w:r>
          </w:p>
        </w:tc>
      </w:tr>
      <w:tr>
        <w:trPr>
          <w:cantSplit w:val="true"/>
        </w:trPr>
        <w:tc>
          <w:tcPr>
            <w:tcW w:type="dxa" w:w="2736"/>
            <w:shd w:val="clear" w:color="auto" w:fill="EEF2F8"/>
          </w:tcPr>
          <w:p>
            <w:pPr>
              <w:spacing w:after="40" w:before="0"/>
            </w:pPr>
            <w:r/>
            <w:r>
              <w:rPr>
                <w:b/>
                <w:sz w:val="17"/>
              </w:rPr>
              <w:t>Origin port scoped to the CloudFront prefix list; Lambda uses the CloudFront URL</w:t>
            </w:r>
          </w:p>
        </w:tc>
        <w:tc>
          <w:tcPr>
            <w:tcW w:type="dxa" w:w="2304"/>
          </w:tcPr>
          <w:p>
            <w:pPr>
              <w:spacing w:after="40" w:before="0"/>
            </w:pPr>
            <w:r/>
            <w:r>
              <w:rPr>
                <w:sz w:val="17"/>
              </w:rPr>
              <w:t>Automatic ingress removal</w:t>
            </w:r>
          </w:p>
        </w:tc>
        <w:tc>
          <w:tcPr>
            <w:tcW w:type="dxa" w:w="2592"/>
          </w:tcPr>
          <w:p>
            <w:pPr>
              <w:spacing w:after="40" w:before="0"/>
            </w:pPr>
            <w:r/>
            <w:r>
              <w:rPr>
                <w:sz w:val="17"/>
              </w:rPr>
              <w:t>Extra hop and coupling</w:t>
            </w:r>
          </w:p>
        </w:tc>
        <w:tc>
          <w:tcPr>
            <w:tcW w:type="dxa" w:w="2304"/>
          </w:tcPr>
          <w:p>
            <w:pPr>
              <w:spacing w:after="40" w:before="0"/>
            </w:pPr>
            <w:r/>
            <w:r>
              <w:rPr>
                <w:sz w:val="17"/>
              </w:rPr>
              <w:t>Same as above</w:t>
            </w:r>
          </w:p>
        </w:tc>
      </w:tr>
      <w:tr>
        <w:trPr>
          <w:cantSplit w:val="true"/>
        </w:trPr>
        <w:tc>
          <w:tcPr>
            <w:tcW w:type="dxa" w:w="2736"/>
            <w:shd w:val="clear" w:color="auto" w:fill="EEF2F8"/>
          </w:tcPr>
          <w:p>
            <w:pPr>
              <w:spacing w:after="40" w:before="0"/>
            </w:pPr>
            <w:r/>
            <w:r>
              <w:rPr>
                <w:rFonts w:ascii="Consolas" w:hAnsi="Consolas" w:eastAsia="Consolas"/>
                <w:sz w:val="17"/>
              </w:rPr>
              <w:t>AuthType=NONE</w:t>
            </w:r>
            <w:r>
              <w:rPr>
                <w:b/>
                <w:sz w:val="17"/>
              </w:rPr>
              <w:t xml:space="preserve"> Function URLs, client-side persona login, CORS *</w:t>
            </w:r>
          </w:p>
        </w:tc>
        <w:tc>
          <w:tcPr>
            <w:tcW w:type="dxa" w:w="2304"/>
          </w:tcPr>
          <w:p>
            <w:pPr>
              <w:spacing w:after="40" w:before="0"/>
            </w:pPr>
            <w:r/>
            <w:r>
              <w:rPr>
                <w:sz w:val="17"/>
              </w:rPr>
              <w:t>SCP deny on Cognito identity pool creation</w:t>
            </w:r>
          </w:p>
        </w:tc>
        <w:tc>
          <w:tcPr>
            <w:tcW w:type="dxa" w:w="2592"/>
          </w:tcPr>
          <w:p>
            <w:pPr>
              <w:spacing w:after="40" w:before="0"/>
            </w:pPr>
            <w:r/>
            <w:r>
              <w:rPr>
                <w:sz w:val="17"/>
              </w:rPr>
              <w:t>Weaker authentication; public endpoints</w:t>
            </w:r>
          </w:p>
        </w:tc>
        <w:tc>
          <w:tcPr>
            <w:tcW w:type="dxa" w:w="2304"/>
          </w:tcPr>
          <w:p>
            <w:pPr>
              <w:spacing w:after="40" w:before="0"/>
            </w:pPr>
            <w:r/>
            <w:r>
              <w:rPr>
                <w:sz w:val="17"/>
              </w:rPr>
              <w:t>Approved auth pattern allowed in a sandbox</w:t>
            </w:r>
          </w:p>
        </w:tc>
      </w:tr>
      <w:tr>
        <w:trPr>
          <w:cantSplit w:val="true"/>
        </w:trPr>
        <w:tc>
          <w:tcPr>
            <w:tcW w:type="dxa" w:w="2736"/>
            <w:shd w:val="clear" w:color="auto" w:fill="EEF2F8"/>
          </w:tcPr>
          <w:p>
            <w:pPr>
              <w:spacing w:after="40" w:before="0"/>
            </w:pPr>
            <w:r/>
            <w:r>
              <w:rPr>
                <w:b/>
                <w:sz w:val="17"/>
              </w:rPr>
              <w:t>Manual credential export before each CDK run</w:t>
            </w:r>
          </w:p>
        </w:tc>
        <w:tc>
          <w:tcPr>
            <w:tcW w:type="dxa" w:w="2304"/>
          </w:tcPr>
          <w:p>
            <w:pPr>
              <w:spacing w:after="40" w:before="0"/>
            </w:pPr>
            <w:r/>
            <w:r>
              <w:rPr>
                <w:sz w:val="17"/>
              </w:rPr>
              <w:t>Hourly SSO expiry; CDK cannot read the SSO cache</w:t>
            </w:r>
          </w:p>
        </w:tc>
        <w:tc>
          <w:tcPr>
            <w:tcW w:type="dxa" w:w="2592"/>
          </w:tcPr>
          <w:p>
            <w:pPr>
              <w:spacing w:after="40" w:before="0"/>
            </w:pPr>
            <w:r/>
            <w:r>
              <w:rPr>
                <w:sz w:val="17"/>
              </w:rPr>
              <w:t>Operator toil; mid-deploy expiry risk</w:t>
            </w:r>
          </w:p>
        </w:tc>
        <w:tc>
          <w:tcPr>
            <w:tcW w:type="dxa" w:w="2304"/>
          </w:tcPr>
          <w:p>
            <w:pPr>
              <w:spacing w:after="40" w:before="0"/>
            </w:pPr>
            <w:r/>
            <w:r>
              <w:rPr>
                <w:sz w:val="17"/>
              </w:rPr>
              <w:t>Longer sessions or a supported credential process</w:t>
            </w:r>
          </w:p>
        </w:tc>
      </w:tr>
      <w:tr>
        <w:trPr>
          <w:cantSplit w:val="true"/>
        </w:trPr>
        <w:tc>
          <w:tcPr>
            <w:tcW w:type="dxa" w:w="2736"/>
            <w:shd w:val="clear" w:color="auto" w:fill="EEF2F8"/>
          </w:tcPr>
          <w:p>
            <w:pPr>
              <w:spacing w:after="40" w:before="0"/>
            </w:pPr>
            <w:r/>
            <w:r>
              <w:rPr>
                <w:b/>
                <w:sz w:val="17"/>
              </w:rPr>
              <w:t>Manual frontend build and sync on the builder</w:t>
            </w:r>
          </w:p>
        </w:tc>
        <w:tc>
          <w:tcPr>
            <w:tcW w:type="dxa" w:w="2304"/>
          </w:tcPr>
          <w:p>
            <w:pPr>
              <w:spacing w:after="40" w:before="0"/>
            </w:pPr>
            <w:r/>
            <w:r>
              <w:rPr>
                <w:sz w:val="17"/>
              </w:rPr>
              <w:t>Two-phase build plus builder dependency (and a stale script)</w:t>
            </w:r>
          </w:p>
        </w:tc>
        <w:tc>
          <w:tcPr>
            <w:tcW w:type="dxa" w:w="2592"/>
          </w:tcPr>
          <w:p>
            <w:pPr>
              <w:spacing w:after="40" w:before="0"/>
            </w:pPr>
            <w:r/>
            <w:r>
              <w:rPr>
                <w:sz w:val="17"/>
              </w:rPr>
              <w:t>Manual and error-prone</w:t>
            </w:r>
          </w:p>
        </w:tc>
        <w:tc>
          <w:tcPr>
            <w:tcW w:type="dxa" w:w="2304"/>
          </w:tcPr>
          <w:p>
            <w:pPr>
              <w:spacing w:after="40" w:before="0"/>
            </w:pPr>
            <w:r/>
            <w:r>
              <w:rPr>
                <w:sz w:val="17"/>
              </w:rPr>
              <w:t>Scripted deploy from a developer machine</w:t>
            </w:r>
          </w:p>
        </w:tc>
      </w:tr>
      <w:tr>
        <w:trPr>
          <w:cantSplit w:val="true"/>
        </w:trPr>
        <w:tc>
          <w:tcPr>
            <w:tcW w:type="dxa" w:w="2736"/>
            <w:shd w:val="clear" w:color="auto" w:fill="EEF2F8"/>
          </w:tcPr>
          <w:p>
            <w:pPr>
              <w:spacing w:after="40" w:before="0"/>
            </w:pPr>
            <w:r/>
            <w:r>
              <w:rPr>
                <w:b/>
                <w:sz w:val="17"/>
              </w:rPr>
              <w:t>Runtime tracing disabled</w:t>
            </w:r>
          </w:p>
        </w:tc>
        <w:tc>
          <w:tcPr>
            <w:tcW w:type="dxa" w:w="2304"/>
          </w:tcPr>
          <w:p>
            <w:pPr>
              <w:spacing w:after="40" w:before="0"/>
            </w:pPr>
            <w:r/>
            <w:r>
              <w:rPr>
                <w:sz w:val="17"/>
              </w:rPr>
              <w:t>One-time account-level X-Ray setting not done</w:t>
            </w:r>
          </w:p>
        </w:tc>
        <w:tc>
          <w:tcPr>
            <w:tcW w:type="dxa" w:w="2592"/>
          </w:tcPr>
          <w:p>
            <w:pPr>
              <w:spacing w:after="40" w:before="0"/>
            </w:pPr>
            <w:r/>
            <w:r>
              <w:rPr>
                <w:sz w:val="17"/>
              </w:rPr>
              <w:t>No span-level traces</w:t>
            </w:r>
          </w:p>
        </w:tc>
        <w:tc>
          <w:tcPr>
            <w:tcW w:type="dxa" w:w="2304"/>
          </w:tcPr>
          <w:p>
            <w:pPr>
              <w:spacing w:after="40" w:before="0"/>
            </w:pPr>
            <w:r/>
            <w:r>
              <w:rPr>
                <w:sz w:val="17"/>
              </w:rPr>
              <w:t>Administrator runs the setting once</w:t>
            </w:r>
          </w:p>
        </w:tc>
      </w:tr>
    </w:tbl>
    <w:p>
      <w:pPr>
        <w:spacing w:after="80"/>
      </w:pPr>
    </w:p>
    <w:p>
      <w:pPr>
        <w:spacing w:after="120"/>
      </w:pPr>
      <w:r>
        <w:rPr>
          <w:color w:val="595959"/>
          <w:sz w:val="18"/>
        </w:rPr>
        <w:t>Supporting records (internal repository): the deployment handoff notes, the personal-cloud migration analysis (including a daily cost estimate), the chat-latency investigation, and the Task 7b and 7c design documents.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mahalo-agentcore | Corporate AWS deployment findings and requested changes | Page </w:t>
    </w:r>
    <w:r>
      <w:rPr>
        <w:color w:val="595959"/>
        <w:sz w:val="16"/>
      </w:rPr>
      <w:fldChar w:fldCharType="begin"/>
    </w:r>
    <w:r>
      <w:rPr>
        <w:color w:val="595959"/>
        <w:sz w:val="16"/>
      </w:rPr>
      <w:instrText xml:space="preserve"> PAGE </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