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Times New Roman" w:hAnsi="Times New Roman"/>
          <w:b/>
          <w:sz w:val="22"/>
        </w:rPr>
        <w:t>Table 4.</w:t>
      </w:r>
      <w:r>
        <w:rPr>
          <w:rFonts w:ascii="Times New Roman" w:hAnsi="Times New Roman"/>
          <w:sz w:val="22"/>
        </w:rPr>
        <w:t xml:space="preserve"> Pairwise Wilcoxon signed-rank tests with Holm–Bonferroni correction (N = 100 runs per model). W = Wilcoxon statistic; ΔR² = mean difference in test R²; 95% CI = paired t-interval for mean difference; — = not computed.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10"/>
        <w:gridCol w:w="1710"/>
        <w:gridCol w:w="1710"/>
        <w:gridCol w:w="1710"/>
        <w:gridCol w:w="1710"/>
        <w:gridCol w:w="1710"/>
        <w:gridCol w:w="1710"/>
        <w:gridCol w:w="1710"/>
      </w:tblGrid>
      <w:tr>
        <w:tc>
          <w:tcPr>
            <w:tcW w:type="dxa" w:w="2592"/>
            <w:shd w:val="clear" w:color="auto" w:fill="D9D9D9"/>
          </w:tcPr>
          <w:p>
            <w:pPr>
              <w:jc w:val="left"/>
            </w:pPr>
            <w:r>
              <w:rPr>
                <w:rFonts w:ascii="Times New Roman" w:hAnsi="Times New Roman" w:cs="Times New Roman"/>
                <w:b/>
                <w:sz w:val="18"/>
              </w:rPr>
              <w:t>Comparison</w:t>
            </w:r>
          </w:p>
        </w:tc>
        <w:tc>
          <w:tcPr>
            <w:tcW w:type="dxa" w:w="72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W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p-raw</w:t>
            </w:r>
          </w:p>
        </w:tc>
        <w:tc>
          <w:tcPr>
            <w:tcW w:type="dxa" w:w="1440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p-Holm</w:t>
            </w:r>
          </w:p>
        </w:tc>
        <w:tc>
          <w:tcPr>
            <w:tcW w:type="dxa" w:w="115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Cliff’s δ</w:t>
            </w:r>
          </w:p>
        </w:tc>
        <w:tc>
          <w:tcPr>
            <w:tcW w:type="dxa" w:w="1008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Effect</w:t>
            </w:r>
          </w:p>
        </w:tc>
        <w:tc>
          <w:tcPr>
            <w:tcW w:type="dxa" w:w="115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Mean ΔR²</w:t>
            </w:r>
          </w:p>
        </w:tc>
        <w:tc>
          <w:tcPr>
            <w:tcW w:type="dxa" w:w="3456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18"/>
              </w:rPr>
              <w:t>95% CI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KINN vs. 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1.05×10⁻¹⁷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4.20×10⁻¹⁷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+0.850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+0.036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[+0.031, +0.040]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KINN vs. XGB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−0.998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−0.069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[−0.073, −0.065]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KINN vs. 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526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6.28×10⁻¹²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1.26×10⁻¹¹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−0.636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−0.020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[−0.024, −0.015]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KINN vs. SVR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822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4.76×10⁻⁹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4.76×10⁻⁹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+0.499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+0.017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[+0.015, +0.020]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XGB vs. RF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2.73×10⁻¹⁷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+0.934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+0.049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[+0.046, +0.053]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XGB vs. SVR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2.34×10⁻¹⁷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+0.997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+0.086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—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XGB vs. 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3.51×10⁻¹⁷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−1.000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+0.105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[+0.102, +0.107]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RF vs. SVR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1.95×10⁻¹⁷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+0.796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+0.037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[+0.035, +0.040]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RF vs. 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3.90×10⁻¹⁸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3.12×10⁻¹⁷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−0.949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large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+0.055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[+0.053, +0.058]</w:t>
            </w:r>
          </w:p>
        </w:tc>
      </w:tr>
      <w:tr>
        <w:tc>
          <w:tcPr>
            <w:tcW w:type="dxa" w:w="2592"/>
          </w:tcPr>
          <w:p>
            <w:pPr>
              <w:jc w:val="left"/>
            </w:pPr>
            <w:r>
              <w:rPr>
                <w:rFonts w:ascii="Times New Roman" w:hAnsi="Times New Roman" w:cs="Times New Roman"/>
                <w:b w:val="0"/>
                <w:sz w:val="18"/>
              </w:rPr>
              <w:t>SVR vs. ANN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68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2.96×10⁻¹⁷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8.89×10⁻¹⁷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−0.443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medium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+0.018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 w:val="0"/>
                <w:sz w:val="18"/>
              </w:rPr>
              <w:t>—</w:t>
            </w:r>
          </w:p>
        </w:tc>
      </w:tr>
    </w:tbl>
    <w:sectPr w:rsidR="00FC693F" w:rsidRPr="0006063C" w:rsidSect="00034616">
      <w:pgSz w:w="15840" w:h="122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