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2. Bounds of the mix ratios used as constraints.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Ratio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Formula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Water-to-binder ratio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WATER / (PC + FA + SC)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0.235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0.714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Binder-to-aggregate ratio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(PC + FA + SC) / (FAGG + CAGG)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0.105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0.350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SCM share in the binder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(FA + SC) / (PC + FA + SC)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0.765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Coarse aggregate share in the aggregate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CAGG / (FAGG + CAGG)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0.345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0.721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Fine aggregate share in the aggregate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FAGG / (FAGG + CAGG)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0.279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0.655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PC share in the binder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PC / (PC + FA + SC)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0.235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FA share in the binder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FA / (PC + FA + SC)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0.375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SC share in the binder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SC / (PC + FA + SC)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0.717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AEA-to-binder ratio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AEA / (PC + FA + SC)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0.003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WR_HR-to-binder ratio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WR_HR / (PC + FA + SC)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0.012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WR-to-binder ratio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WR / (PC + FA + SC)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ACC-to-binder ratio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ACC / (PC + FA + SC)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0.061</w:t>
            </w:r>
          </w:p>
        </w:tc>
      </w:tr>
    </w:tbl>
    <w:p>
      <w:r>
        <w:rPr>
          <w:sz w:val="18"/>
        </w:rPr>
        <w:t>Note: All ratios are mass ratios and are dimensionless. The binder is PC + FA + SC. The aggregate is FAGG + CAGG.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