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jc w:val="center"/>
        <w:spacing w:before="0" w:after="240"/>
      </w:pPr>
      <w:r>
        <w:rPr>
          <w:rFonts w:ascii="Times New Roman" w:hAnsi="Times New Roman"/>
          <w:sz w:val="32"/>
          <w:b/>
        </w:rPr>
        <w:t xml:space="preserve">FLAME: Front-Guided LLM-Augmented Multi-Objective Evolution for Sustainable Concrete Mix Design</w:t>
      </w:r>
    </w:p>
    <w:p>
      <w:pPr>
        <w:spacing w:before="0" w:after="80"/>
      </w:pPr>
      <w:r>
        <w:rPr>
          <w:rFonts w:ascii="Times New Roman" w:hAnsi="Times New Roman"/>
          <w:sz w:val="24"/>
        </w:rPr>
        <w:t xml:space="preserve"/>
      </w:r>
    </w:p>
    <w:p>
      <w:pPr>
        <w:spacing w:before="0" w:after="80"/>
      </w:pPr>
      <w:r>
        <w:rPr>
          <w:rFonts w:ascii="Times New Roman" w:hAnsi="Times New Roman"/>
          <w:sz w:val="24"/>
          <w:b/>
        </w:rPr>
        <w:t xml:space="preserve">Abstract</w:t>
      </w:r>
    </w:p>
    <w:p>
      <w:pPr>
        <w:spacing w:before="0" w:after="160"/>
      </w:pPr>
      <w:r>
        <w:rPr>
          <w:rFonts w:ascii="Times New Roman" w:hAnsi="Times New Roman"/>
          <w:sz w:val="24"/>
        </w:rPr>
        <w:t xml:space="preserve">Optimising concrete mix design for simultaneously low embodied carbon and high 28-day compressive strength is a high-dimensional, multi-objective problem for which conventional genetic algorithms lack targeted domain guidance. We propose FLAME (Front-guided LLM-Augmented Multi-objective Evolution), a hybrid framework that integrates a large language model (LLM) into the offspring generation stage of NSGA-II in augment mode: NÂ =Â 15 LLM-proposed concrete mixes are added to the offspring pool each generation alongside genetic offspring, conditioned on a Knowledge Table of domain expertise and the current Pareto-elite solutions as few-shot examples. Across 30 paired replicates, FLAME achieves a mean hypervolume improvement of Î”HVÂ =Â +0.082 relative to NSGA-II (83% of replicates improved, pÂ &lt;Â 0.001, Wilcoxon signed-rank test). A systematic N-sweep confirms NÂ =Â 15 as optimal; at this injection count, augment mode significantly outperforms the replace-mode hybrid of Lu et al.Â (pÂ =Â 0.299, not significant) because augmentation preserves NSGA-IIâ€™s crowding-distance diversity maintenance. Prompt ablation identifies the Knowledge Table as the critical component: removing it eliminates statistical significance and shifts binder strategy significantly (slag-cement fraction âˆ’Â 5.8 percentage points, pÂ &lt;Â 0.001), whereas removing elite solutions collapses the useful proposal rate from 13.8% to 0.59% but leaves binder composition unchanged. Analysis of the aggregate Pareto front reveals that FLAME discovers twice as many high-strength solutions (fâ‚‚â‚ˆÂ &gt;Â 80Â MPa) as NSGA-II (38 vs.Â 19), at a lower minimum GWP. Furthermore, low-carbon designs are achieved primarily by reducing total binder content rather than by maximising slag substitution rateÂ â€” a counter-intuitive finding with practical implications for green concrete design. FLAME provides a reusable template for augmenting evolutionary multi-objective optimisers with domain-aware LLM guidance in any materials system with a formulable knowledge base.</w:t>
      </w:r>
    </w:p>
    <w:p>
      <w:pPr>
        <w:spacing w:before="80" w:after="240"/>
      </w:pPr>
      <w:r>
        <w:rPr>
          <w:rFonts w:ascii="Times New Roman" w:hAnsi="Times New Roman"/>
          <w:sz w:val="24"/>
          <w:b/>
        </w:rPr>
        <w:t xml:space="preserve">Keywords: </w:t>
      </w:r>
      <w:r>
        <w:rPr>
          <w:rFonts w:ascii="Times New Roman" w:hAnsi="Times New Roman"/>
          <w:sz w:val="24"/>
        </w:rPr>
        <w:t xml:space="preserve">multi-objective optimisation; concrete mix design; large language model; NSGA-II; Pareto front; hypervolume; supplementary cementitious materials; prompt engineering</w:t>
      </w:r>
    </w:p>
    <w:p>
      <w:pPr>
        <w:spacing w:before="240" w:after="80"/>
      </w:pPr>
      <w:r>
        <w:rPr>
          <w:rFonts w:ascii="Times New Roman" w:hAnsi="Times New Roman"/>
          <w:sz w:val="28"/>
          <w:b/>
        </w:rPr>
        <w:t xml:space="preserve">1. Introduction</w:t>
      </w:r>
    </w:p>
    <w:p>
      <w:pPr>
        <w:spacing w:before="0" w:after="160"/>
      </w:pPr>
      <w:r>
        <w:rPr>
          <w:rFonts w:ascii="Times New Roman" w:hAnsi="Times New Roman"/>
          <w:sz w:val="24"/>
        </w:rPr>
        <w:t xml:space="preserve">Concrete is the most widely manufactured material on Earth, with annual production exceeding 10Â billion tonnes [CITE]. Ordinary Portland cement (OPC), the primary binder, is responsible for approximately 8% of global COâ‚‚ emissions, owing to the calcination of limestone and the high-temperature kiln process required for clinker production [CITE]. Supplementary cementitious materials (SCMs) such as ground granulated blast-furnace slag (GGBS) and fly ash can partially replace OPC, substantially reducing the embodied carbon of concrete while preserving or enhancing mechanical performance [CITE]. Designing a concrete mix that simultaneously minimises greenhouse gas impact and maximises 28-day compressive strength is therefore a practically important but technically challenging problem: the two objectives conflict (lower-carbon binders generally increase water demand and can reduce early strength), and the design space is high-dimensional, comprising binder type and content, aggregate proportions, water-to-binder ratio, and chemical admixture dosages.</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Multi-objective evolutionary algorithms (MOEAs), particularly NSGA-II [CITE], have become the standard tool for Pareto-based concrete mix optimisation [CITE]. Paired with machine-learning surrogate models trained on historical mix data, they can explore large design spaces without costly physical experiments [CITE]. Yet MOEAs rely entirely on crossover and mutation operators to generate candidate solutions: these operators are domain-agnostic and sample the search space uniformly, making it slow to discover narrow, constraint-tight regions â€” such as ultra-low w/b, high-binder mixes â€” that are physically motivated but rarely reached by random recombination.</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Large language models (LLMs) have recently demonstrated remarkable capability in scientific and engineering domains, including materials property prediction, crystal structure generation, and inverse design [CITE]. Their strength lies in encoding broad domain knowledge from the training corpus and reasoning about structureâ€“property relationships in natural language. Several recent studies have explored LLM-assisted optimisation: OPRO [CITE] uses an LLM as an optimiser for combinatorial problems; FunSearch [CITE] applies LLMs to mathematical discovery; and domain-specific work has shown that LLMs can propose chemically plausible candidates when conditioned on prior experimental results [CITE]. In the concrete domain, Lu et al.Â [CITE] proposed a hybrid approach in which LLM-generated solutions replace a fraction of NSGA-II offspring each generation, demonstrating proof-of-concept improvement at small injection counts.</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However, two gaps remain. First, the replace-mode hybrid â€” in which LLM solutions substitute for genetic offspring â€” is inherently limited in scalability: at higher injection counts, displaced offspring reduce the genetic diversity that NSGA-IIâ€™s crowding-distance mechanism relies upon, ultimately degrading rather than improving the Pareto front. Second, the relative contribution of different prompt components (domain knowledge, few-shot elite examples, objective specification) has not been systematically characterised, leaving it unclear which elements of the prompt actually drive performance. Without this understanding, extending LLM-hybrid methods to new material systems requires trial-and-error prompt engineering rather than principled design.</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This paper addresses both gaps with FLAME (Front-guided LLM-Augmented Multi-objective Evolution), a hybrid framework that injects LLM-proposed concrete mixes into the offspring pool of NSGA-II in augment mode: LLM candidates are added alongside genetic offspring rather than replacing them, letting NSGA-IIâ€™s selection decide their fate. FLAMEâ€™s prompt conditions the LLM on the current Pareto front (elite solutions) and a curated Knowledge Table encoding domain expertise on binder GWP factors, strength mechanisms, and mix-design strategy. We evaluate FLAME across 30 paired replicates against a common NSGA-II baseline and conduct a systematic study of injection count N, mode (augment vs. replace), and prompt component ablation. The main findings are: (i) FLAME achieves a statistically significant hypervolume improvement of Î”HVÂ =Â +0.082 (pÂ &lt;Â 0.001, Wilcoxon signed-rank) with NÂ =Â 15 proposals per generation; (ii) augment mode outperforms replace mode because it preserves genetic diversity; (iii) the Knowledge Table is the most critical prompt component, driving a measurable shift in binder strategy; and (iv) analysis of the aggregate Pareto front reveals that low-carbon designs are achieved primarily by reducing total binder content rather than by maximising slag substitution rate, a counter-intuitive finding with practical design implications.</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The remainder of this paper is organised as follows. SectionÂ 2 describes the dataset, problem formulation, and surrogate model. SectionÂ 3 presents the FLAME framework, including prompt design and key architectural decisions. SectionÂ 4 details the experimental setup. SectionÂ 5 reports the results across five analyses: main HV comparison, LLM proposal quality, Pareto front diversity, N-sweep, method comparison, and prompt ablation. SectionÂ 6 discusses physical implications and method limitations. SectionÂ 7 concludes.</w:t>
      </w:r>
    </w:p>
    <w:p>
      <w:pPr>
        <w:spacing w:before="120" w:after="0"/>
      </w:pPr>
      <w:r>
        <w:rPr>
          <w:rFonts w:ascii="Times New Roman" w:hAnsi="Times New Roman"/>
          <w:sz w:val="24"/>
        </w:rPr>
        <w:t xml:space="preserve"/>
      </w:r>
    </w:p>
    <w:p w:rsidR="00AE4894" w:rsidRDefault="00BE6831">
      <w:pPr>
        <w:pStyle w:val="Heading1"/>
        <w:spacing w:before="360" w:after="120"/>
      </w:pPr>
      <w:r>
        <w:rPr>
          <w:b/>
          <w:bCs/>
        </w:rPr>
        <w:t>2. Dataset, Problem Formulation, and Surrogate Model</w:t>
      </w:r>
    </w:p>
    <w:p w:rsidR="00AE4894" w:rsidRDefault="00BE6831">
      <w:pPr>
        <w:pStyle w:val="Heading2"/>
        <w:spacing w:before="240" w:after="100"/>
      </w:pPr>
      <w:r>
        <w:rPr>
          <w:b/>
          <w:bCs/>
          <w:sz w:val="28"/>
          <w:szCs w:val="28"/>
        </w:rPr>
        <w:t>2.1 Dataset and Preprocessing</w:t>
      </w:r>
    </w:p>
    <w:p w:rsidR="00AE4894" w:rsidRDefault="00BE6831">
      <w:pPr>
        <w:spacing w:after="120"/>
      </w:pPr>
      <w:r>
        <w:t xml:space="preserve">The training dataset for the surrogate model was compiled from publicly available literature on supplementary cementitious material (SCM) concrete, aggregating </w:t>
      </w:r>
      <w:r>
        <w:rPr>
          <w:b/>
          <w:bCs/>
        </w:rPr>
        <w:t>756 mix designs</w:t>
      </w:r>
      <w:r>
        <w:t xml:space="preserve"> that represent a broad range of North American concrete practice. The source data were recorded in Imperial units (</w:t>
      </w:r>
      <w:proofErr w:type="spellStart"/>
      <w:r>
        <w:t>lb</w:t>
      </w:r>
      <w:proofErr w:type="spellEnd"/>
      <w:r>
        <w:t xml:space="preserve">/ydÂ³ for bulk materials; </w:t>
      </w:r>
      <w:proofErr w:type="spellStart"/>
      <w:r>
        <w:t>oz</w:t>
      </w:r>
      <w:proofErr w:type="spellEnd"/>
      <w:r>
        <w:t xml:space="preserve">/ydÂ³ for liquid admixtures). All quantities were converted to SI (kg/mÂ³) using the unit factors </w:t>
      </w:r>
      <w:r>
        <w:t>1Â </w:t>
      </w:r>
      <w:proofErr w:type="spellStart"/>
      <w:r>
        <w:t>lb</w:t>
      </w:r>
      <w:proofErr w:type="spellEnd"/>
      <w:r>
        <w:t>/ydÂ³Â =Â 0.5933Â kg/mÂ³ and 1Â </w:t>
      </w:r>
      <w:proofErr w:type="spellStart"/>
      <w:r>
        <w:t>oz</w:t>
      </w:r>
      <w:proofErr w:type="spellEnd"/>
      <w:r>
        <w:t>/ydÂ³Â =Â 0.03708Â kg/mÂ³, yielding consistent mass-per-unit-volume quantities for model training and constraint enforcement.</w:t>
      </w:r>
    </w:p>
    <w:p w:rsidR="00AE4894" w:rsidRDefault="00BE6831">
      <w:pPr>
        <w:spacing w:after="120"/>
      </w:pPr>
      <w:r>
        <w:t>For each converted mix, a global warming potential (GWP) was computed analytically as:</w:t>
      </w:r>
    </w:p>
    <w:p w:rsidR="00AE4894" w:rsidRDefault="00BE6831">
      <w:pPr>
        <w:spacing w:before="80" w:after="80"/>
        <w:jc w:val="center"/>
      </w:pPr>
      <w:r>
        <w:rPr>
          <w:rFonts w:ascii="Courier New" w:eastAsia="Courier New" w:hAnsi="Courier New" w:cs="Courier New"/>
        </w:rPr>
        <w:t>GWP = 1.048Â·PC +</w:t>
      </w:r>
      <w:r>
        <w:rPr>
          <w:rFonts w:ascii="Courier New" w:eastAsia="Courier New" w:hAnsi="Courier New" w:cs="Courier New"/>
        </w:rPr>
        <w:t xml:space="preserve"> 0.328Â·FA + 0.264Â·SC + 0.0037Â·CAGG + 0.0026Â·FAGG</w:t>
      </w:r>
      <w:proofErr w:type="gramStart"/>
      <w:r>
        <w:rPr>
          <w:rFonts w:ascii="Courier New" w:eastAsia="Courier New" w:hAnsi="Courier New" w:cs="Courier New"/>
        </w:rPr>
        <w:t xml:space="preserve">   (</w:t>
      </w:r>
      <w:proofErr w:type="gramEnd"/>
      <w:r>
        <w:rPr>
          <w:rFonts w:ascii="Courier New" w:eastAsia="Courier New" w:hAnsi="Courier New" w:cs="Courier New"/>
        </w:rPr>
        <w:t>kg COâ‚‚-</w:t>
      </w:r>
      <w:proofErr w:type="spellStart"/>
      <w:r>
        <w:rPr>
          <w:rFonts w:ascii="Courier New" w:eastAsia="Courier New" w:hAnsi="Courier New" w:cs="Courier New"/>
        </w:rPr>
        <w:t>eq</w:t>
      </w:r>
      <w:proofErr w:type="spellEnd"/>
      <w:r>
        <w:rPr>
          <w:rFonts w:ascii="Courier New" w:eastAsia="Courier New" w:hAnsi="Courier New" w:cs="Courier New"/>
        </w:rPr>
        <w:t>/mÂ³)</w:t>
      </w:r>
    </w:p>
    <w:p w:rsidR="00AE4894" w:rsidRDefault="00BE6831">
      <w:pPr>
        <w:spacing w:after="120"/>
      </w:pPr>
      <w:r>
        <w:t>where the emission factors (kgÂ COâ‚‚-</w:t>
      </w:r>
      <w:proofErr w:type="spellStart"/>
      <w:r>
        <w:t>eq</w:t>
      </w:r>
      <w:proofErr w:type="spellEnd"/>
      <w:r>
        <w:t xml:space="preserve"> per kg material) are based on NRMCA industry average life-cycle inventory data [CITATION]. Admixtures and water carry negligible GWP and are excluded. T</w:t>
      </w:r>
      <w:r>
        <w:t xml:space="preserve">he resulting dataset spans GWP from </w:t>
      </w:r>
      <w:r>
        <w:rPr>
          <w:b/>
          <w:bCs/>
        </w:rPr>
        <w:t>169.0 to 534.5Â kgÂ COâ‚‚-</w:t>
      </w:r>
      <w:proofErr w:type="spellStart"/>
      <w:r>
        <w:rPr>
          <w:b/>
          <w:bCs/>
        </w:rPr>
        <w:t>eq</w:t>
      </w:r>
      <w:proofErr w:type="spellEnd"/>
      <w:r>
        <w:rPr>
          <w:b/>
          <w:bCs/>
        </w:rPr>
        <w:t>/mÂ³</w:t>
      </w:r>
      <w:r>
        <w:t xml:space="preserve"> and 28-day compressive strength from </w:t>
      </w:r>
      <w:r>
        <w:rPr>
          <w:b/>
          <w:bCs/>
        </w:rPr>
        <w:t>17.4 to 106.1Â MPa</w:t>
      </w:r>
      <w:r>
        <w:t xml:space="preserve"> (median 44.2Â MPa), covering a wide objective space for surrogate-based Pareto optimization. TableÂ 1 summarizes the dataset statistics.</w:t>
      </w:r>
    </w:p>
    <w:p w:rsidR="00AE4894" w:rsidRDefault="00BE6831">
      <w:pPr>
        <w:spacing w:before="160" w:after="60"/>
      </w:pPr>
      <w:r>
        <w:rPr>
          <w:b/>
          <w:bCs/>
        </w:rPr>
        <w:t>Ta</w:t>
      </w:r>
      <w:r>
        <w:rPr>
          <w:b/>
          <w:bCs/>
        </w:rPr>
        <w:t>ble 1. Dataset summary (nÂ = 756 mix designs, SI units)</w:t>
      </w:r>
    </w:p>
    <w:tbl>
      <w:tblPr>
        <w:tblW w:w="6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00"/>
        <w:gridCol w:w="1700"/>
        <w:gridCol w:w="700"/>
        <w:gridCol w:w="700"/>
        <w:gridCol w:w="700"/>
        <w:gridCol w:w="900"/>
      </w:tblGrid>
      <w:tr w:rsidR="00AE4894">
        <w:tblPrEx>
          <w:tblCellMar>
            <w:top w:w="0" w:type="dxa"/>
            <w:bottom w:w="0" w:type="dxa"/>
          </w:tblCellMar>
        </w:tblPrEx>
        <w:trPr>
          <w:tblHeader/>
        </w:trPr>
        <w:tc>
          <w:tcPr>
            <w:tcW w:w="17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Component</w:t>
            </w:r>
          </w:p>
        </w:tc>
        <w:tc>
          <w:tcPr>
            <w:tcW w:w="17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Role</w:t>
            </w:r>
          </w:p>
        </w:tc>
        <w:tc>
          <w:tcPr>
            <w:tcW w:w="7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Min</w:t>
            </w:r>
          </w:p>
        </w:tc>
        <w:tc>
          <w:tcPr>
            <w:tcW w:w="7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Mean</w:t>
            </w:r>
          </w:p>
        </w:tc>
        <w:tc>
          <w:tcPr>
            <w:tcW w:w="7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Max</w:t>
            </w:r>
          </w:p>
        </w:tc>
        <w:tc>
          <w:tcPr>
            <w:tcW w:w="9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Unit</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PC (Portland cement)</w:t>
            </w:r>
          </w:p>
        </w:tc>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Primary binder</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97.3</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278.4</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504.3</w:t>
            </w:r>
          </w:p>
        </w:tc>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FA (fly ash)</w:t>
            </w:r>
          </w:p>
        </w:tc>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SCM</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0.0</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45.7</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162.0</w:t>
            </w:r>
          </w:p>
        </w:tc>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SC (GGBS)</w:t>
            </w:r>
          </w:p>
        </w:tc>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SCM</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0.0</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72.1</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332.3</w:t>
            </w:r>
          </w:p>
        </w:tc>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Fine aggregate (FAGG)</w:t>
            </w:r>
          </w:p>
        </w:tc>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Inert filler</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473.5</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734.9</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1067.9</w:t>
            </w:r>
          </w:p>
        </w:tc>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Coarse aggregate (CAGG)</w:t>
            </w:r>
          </w:p>
        </w:tc>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Inert filler</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400.5</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1024.0</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1364.6</w:t>
            </w:r>
          </w:p>
        </w:tc>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Water</w:t>
            </w:r>
          </w:p>
        </w:tc>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Mixing water</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90.8</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154.3</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214.8</w:t>
            </w:r>
          </w:p>
        </w:tc>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AEA</w:t>
            </w:r>
          </w:p>
        </w:tc>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Air-entraining agent</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0.0</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0.22</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1.48</w:t>
            </w:r>
          </w:p>
        </w:tc>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HRWR</w:t>
            </w:r>
          </w:p>
        </w:tc>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High-range WR</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0.0</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0.38</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4.71</w:t>
            </w:r>
          </w:p>
        </w:tc>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WR</w:t>
            </w:r>
          </w:p>
        </w:tc>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Water reducer</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0.0</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1.38</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7.82</w:t>
            </w:r>
          </w:p>
        </w:tc>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ACC (accelerator)</w:t>
            </w:r>
          </w:p>
        </w:tc>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Admixture</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0.0</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2.09</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28.5</w:t>
            </w:r>
          </w:p>
        </w:tc>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GWP</w:t>
            </w:r>
          </w:p>
        </w:tc>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Objective 1</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169.0</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331.5</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534.5</w:t>
            </w:r>
          </w:p>
        </w:tc>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kg COâ‚‚-</w:t>
            </w:r>
            <w:proofErr w:type="spellStart"/>
            <w:r>
              <w:rPr>
                <w:sz w:val="20"/>
                <w:szCs w:val="20"/>
              </w:rPr>
              <w:t>eq</w:t>
            </w:r>
            <w:proofErr w:type="spellEnd"/>
            <w:r>
              <w:rPr>
                <w:sz w:val="20"/>
                <w:szCs w:val="20"/>
              </w:rPr>
              <w:t>/mÂ³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lastRenderedPageBreak/>
              <w:t>28-day strength</w:t>
            </w:r>
          </w:p>
        </w:tc>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Objective 2</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17.4</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46.1</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106.1</w:t>
            </w:r>
          </w:p>
        </w:tc>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MPa</w:t>
            </w:r>
          </w:p>
        </w:tc>
      </w:tr>
    </w:tbl>
    <w:p w:rsidR="00AE4894" w:rsidRDefault="00BE6831">
      <w:pPr>
        <w:spacing w:before="120" w:after="120"/>
      </w:pPr>
      <w:r>
        <w:t xml:space="preserve">In terms of binder composition, 100 of the 756 mixes use Portland cement alone (no SCM); 380 incorporate fly ash, 377 incorporate GGBS, and 101 use both simultaneously. On average, the binder is </w:t>
      </w:r>
      <w:r>
        <w:rPr>
          <w:b/>
          <w:bCs/>
        </w:rPr>
        <w:t>70.1% PC, 11.5% FA, and 18.4% SC</w:t>
      </w:r>
      <w:r>
        <w:t xml:space="preserve"> by mass, reflecting typical </w:t>
      </w:r>
      <w:r>
        <w:t>North American practice of moderate SCM substitution. Admixture use is common: air-entraining admixture (AEA) in 86% of mixes, water reducer (WR) in 76%, high-range WR in 37%, and accelerator in 16%.</w:t>
      </w:r>
    </w:p>
    <w:p w:rsidR="00AE4894" w:rsidRDefault="00BE6831">
      <w:pPr>
        <w:pStyle w:val="Heading2"/>
        <w:spacing w:before="240" w:after="100"/>
      </w:pPr>
      <w:r>
        <w:rPr>
          <w:b/>
          <w:bCs/>
          <w:sz w:val="28"/>
          <w:szCs w:val="28"/>
        </w:rPr>
        <w:t>2.2 Design Variables</w:t>
      </w:r>
    </w:p>
    <w:p w:rsidR="00AE4894" w:rsidRDefault="00BE6831">
      <w:pPr>
        <w:spacing w:after="120"/>
      </w:pPr>
      <w:r>
        <w:t xml:space="preserve">The optimization operates over ten </w:t>
      </w:r>
      <w:r>
        <w:t xml:space="preserve">mix design variables </w:t>
      </w:r>
      <w:r>
        <w:rPr>
          <w:i/>
          <w:iCs/>
        </w:rPr>
        <w:t>x</w:t>
      </w:r>
      <w:r>
        <w:t>Â = [PC, FA, SC, FAGG, CAGG, WATER, AEA, HRWR, WR, ACC] (all in kg/mÂ³), corresponding to the primary decisions a concrete technologist controls when proportioning a mix. Variable bounds are set to the observed minimum and maximum of ea</w:t>
      </w:r>
      <w:r>
        <w:t>ch component in the dataset (TableÂ 1), ensuring all candidate solutions lie within the surrogateâ€™s training domain.</w:t>
      </w:r>
    </w:p>
    <w:p w:rsidR="00AE4894" w:rsidRDefault="00BE6831">
      <w:pPr>
        <w:pStyle w:val="Heading2"/>
        <w:spacing w:before="240" w:after="100"/>
      </w:pPr>
      <w:r>
        <w:rPr>
          <w:b/>
          <w:bCs/>
          <w:sz w:val="28"/>
          <w:szCs w:val="28"/>
        </w:rPr>
        <w:t>2.3 Objectives</w:t>
      </w:r>
    </w:p>
    <w:p w:rsidR="00AE4894" w:rsidRDefault="00BE6831">
      <w:pPr>
        <w:spacing w:after="120"/>
      </w:pPr>
      <w:r>
        <w:t>Two conflicting objectives are optimized simultaneously:</w:t>
      </w:r>
    </w:p>
    <w:p w:rsidR="00AE4894" w:rsidRDefault="00BE6831">
      <w:pPr>
        <w:spacing w:after="80"/>
        <w:ind w:left="360"/>
      </w:pPr>
      <w:r>
        <w:rPr>
          <w:b/>
          <w:bCs/>
        </w:rPr>
        <w:t>(1) Minimize GWP</w:t>
      </w:r>
      <w:r>
        <w:t xml:space="preserve"> (kgÂ COâ‚‚-</w:t>
      </w:r>
      <w:proofErr w:type="spellStart"/>
      <w:r>
        <w:t>eq</w:t>
      </w:r>
      <w:proofErr w:type="spellEnd"/>
      <w:r>
        <w:t>/mÂ³): computed analytically. GWP is domin</w:t>
      </w:r>
      <w:r>
        <w:t>ated by the cementitious paste (â‰¥97% of total GWP) and is controlled jointly by total binder content and the PC-to-SCM substitution ratio.</w:t>
      </w:r>
    </w:p>
    <w:p w:rsidR="00AE4894" w:rsidRDefault="00BE6831">
      <w:pPr>
        <w:spacing w:after="120"/>
        <w:ind w:left="360"/>
      </w:pPr>
      <w:r>
        <w:rPr>
          <w:b/>
          <w:bCs/>
        </w:rPr>
        <w:t>(2) Maximize 28-day compressive strength</w:t>
      </w:r>
      <w:r>
        <w:t xml:space="preserve"> (MPa): predicted by the surrogate model (SectionÂ 2.5). Strength increases wi</w:t>
      </w:r>
      <w:r>
        <w:t>th binder content, decreasing w/b, and increasing PC proportionâ€”all of which simultaneously raise GWP, creating an inherent trade-off.</w:t>
      </w:r>
    </w:p>
    <w:p w:rsidR="00AE4894" w:rsidRDefault="00BE6831">
      <w:pPr>
        <w:spacing w:after="120"/>
      </w:pPr>
      <w:r>
        <w:t xml:space="preserve">The two objectives are normalized to [0,â€¯1] using the dataset-wide ranges for computing </w:t>
      </w:r>
      <w:proofErr w:type="spellStart"/>
      <w:r>
        <w:t>hypervolume</w:t>
      </w:r>
      <w:proofErr w:type="spellEnd"/>
      <w:r>
        <w:t xml:space="preserve"> (HV):</w:t>
      </w:r>
    </w:p>
    <w:p w:rsidR="00AE4894" w:rsidRDefault="00BE6831">
      <w:pPr>
        <w:spacing w:before="80" w:after="80"/>
        <w:jc w:val="center"/>
      </w:pPr>
      <w:proofErr w:type="spellStart"/>
      <w:r>
        <w:rPr>
          <w:rFonts w:ascii="Courier New" w:eastAsia="Courier New" w:hAnsi="Courier New" w:cs="Courier New"/>
        </w:rPr>
        <w:t>GWP_norm</w:t>
      </w:r>
      <w:proofErr w:type="spellEnd"/>
      <w:r>
        <w:rPr>
          <w:rFonts w:ascii="Courier New" w:eastAsia="Courier New" w:hAnsi="Courier New" w:cs="Courier New"/>
        </w:rPr>
        <w:t xml:space="preserve"> = (GWP âˆ’ 169.0) / (534.5 âˆ’ 169.0)</w:t>
      </w:r>
    </w:p>
    <w:p w:rsidR="00AE4894" w:rsidRDefault="00BE6831">
      <w:pPr>
        <w:spacing w:before="80" w:after="80"/>
        <w:jc w:val="center"/>
      </w:pPr>
      <w:proofErr w:type="spellStart"/>
      <w:r>
        <w:rPr>
          <w:rFonts w:ascii="Courier New" w:eastAsia="Courier New" w:hAnsi="Courier New" w:cs="Courier New"/>
        </w:rPr>
        <w:t>str_</w:t>
      </w:r>
      <w:proofErr w:type="gramStart"/>
      <w:r>
        <w:rPr>
          <w:rFonts w:ascii="Courier New" w:eastAsia="Courier New" w:hAnsi="Courier New" w:cs="Courier New"/>
        </w:rPr>
        <w:t>norm</w:t>
      </w:r>
      <w:proofErr w:type="spellEnd"/>
      <w:r>
        <w:rPr>
          <w:rFonts w:ascii="Courier New" w:eastAsia="Courier New" w:hAnsi="Courier New" w:cs="Courier New"/>
        </w:rPr>
        <w:t xml:space="preserve">  =</w:t>
      </w:r>
      <w:proofErr w:type="gramEnd"/>
      <w:r>
        <w:rPr>
          <w:rFonts w:ascii="Courier New" w:eastAsia="Courier New" w:hAnsi="Courier New" w:cs="Courier New"/>
        </w:rPr>
        <w:t xml:space="preserve"> (106.1 âˆ’ </w:t>
      </w:r>
      <w:proofErr w:type="spellStart"/>
      <w:r>
        <w:rPr>
          <w:rFonts w:ascii="Courier New" w:eastAsia="Courier New" w:hAnsi="Courier New" w:cs="Courier New"/>
        </w:rPr>
        <w:t>fâ€²c</w:t>
      </w:r>
      <w:proofErr w:type="spellEnd"/>
      <w:r>
        <w:rPr>
          <w:rFonts w:ascii="Courier New" w:eastAsia="Courier New" w:hAnsi="Courier New" w:cs="Courier New"/>
        </w:rPr>
        <w:t>) / (106.1 âˆ’ 17.4)</w:t>
      </w:r>
    </w:p>
    <w:p w:rsidR="00AE4894" w:rsidRDefault="00BE6831">
      <w:pPr>
        <w:spacing w:after="120"/>
      </w:pPr>
      <w:r>
        <w:t>Both are minimized; the HV reference point is [1,â€¯1] (worst feasible corner). A larger HV indicates a solution set dominating more of the normalized objective space.</w:t>
      </w:r>
    </w:p>
    <w:p w:rsidR="00AE4894" w:rsidRDefault="00BE6831">
      <w:pPr>
        <w:pStyle w:val="Heading2"/>
        <w:spacing w:before="240" w:after="100"/>
      </w:pPr>
      <w:r>
        <w:rPr>
          <w:b/>
          <w:bCs/>
          <w:sz w:val="28"/>
          <w:szCs w:val="28"/>
        </w:rPr>
        <w:t>2.4 Constraints</w:t>
      </w:r>
    </w:p>
    <w:p w:rsidR="00AE4894" w:rsidRDefault="00BE6831">
      <w:pPr>
        <w:spacing w:after="120"/>
      </w:pPr>
      <w:r>
        <w:t>Feasibility is enforced through three layers of constraints, each grounded in concrete engineering practice.</w:t>
      </w:r>
    </w:p>
    <w:p w:rsidR="00AE4894" w:rsidRDefault="00BE6831">
      <w:pPr>
        <w:spacing w:after="80"/>
      </w:pPr>
      <w:r>
        <w:rPr>
          <w:b/>
          <w:bCs/>
        </w:rPr>
        <w:t xml:space="preserve">Layer 1 â€” Raw variable bounds. </w:t>
      </w:r>
      <w:r>
        <w:t>Each design variable is bounded by its dataset range (TableÂ 1) to keep the surrogate within its trai</w:t>
      </w:r>
      <w:r>
        <w:t>ning domain.</w:t>
      </w:r>
    </w:p>
    <w:p w:rsidR="00AE4894" w:rsidRDefault="00BE6831">
      <w:pPr>
        <w:spacing w:after="80"/>
      </w:pPr>
      <w:r>
        <w:rPr>
          <w:b/>
          <w:bCs/>
        </w:rPr>
        <w:lastRenderedPageBreak/>
        <w:t xml:space="preserve">Layer 2 â€” Derived ratio constraints. </w:t>
      </w:r>
      <w:r>
        <w:t>Five mix proportioning ratios are constrained to their dataset-observed ranges. TableÂ 2 lists each ratio with its formula, bounds, and engineering rationale.</w:t>
      </w:r>
    </w:p>
    <w:p w:rsidR="00AE4894" w:rsidRDefault="00BE6831">
      <w:pPr>
        <w:spacing w:before="160" w:after="60"/>
      </w:pPr>
      <w:r>
        <w:rPr>
          <w:b/>
          <w:bCs/>
        </w:rPr>
        <w:t>Table 2. Derived ratio constraints and their eng</w:t>
      </w:r>
      <w:r>
        <w:rPr>
          <w:b/>
          <w:bCs/>
        </w:rPr>
        <w:t>ineering basis</w:t>
      </w:r>
    </w:p>
    <w:tbl>
      <w:tblPr>
        <w:tblW w:w="6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2100"/>
        <w:gridCol w:w="650"/>
        <w:gridCol w:w="650"/>
        <w:gridCol w:w="2100"/>
      </w:tblGrid>
      <w:tr w:rsidR="00AE4894">
        <w:tblPrEx>
          <w:tblCellMar>
            <w:top w:w="0" w:type="dxa"/>
            <w:bottom w:w="0" w:type="dxa"/>
          </w:tblCellMar>
        </w:tblPrEx>
        <w:trPr>
          <w:tblHeader/>
        </w:trPr>
        <w:tc>
          <w:tcPr>
            <w:tcW w:w="9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Ratio</w:t>
            </w:r>
          </w:p>
        </w:tc>
        <w:tc>
          <w:tcPr>
            <w:tcW w:w="21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Formula</w:t>
            </w:r>
          </w:p>
        </w:tc>
        <w:tc>
          <w:tcPr>
            <w:tcW w:w="65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Min</w:t>
            </w:r>
          </w:p>
        </w:tc>
        <w:tc>
          <w:tcPr>
            <w:tcW w:w="65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Max</w:t>
            </w:r>
          </w:p>
        </w:tc>
        <w:tc>
          <w:tcPr>
            <w:tcW w:w="21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Engineering rationale</w:t>
            </w:r>
          </w:p>
        </w:tc>
      </w:tr>
      <w:tr w:rsidR="00AE4894">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w/b</w:t>
            </w:r>
          </w:p>
        </w:tc>
        <w:tc>
          <w:tcPr>
            <w:tcW w:w="21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WATER / (PC+FA+SC)</w:t>
            </w:r>
          </w:p>
        </w:tc>
        <w:tc>
          <w:tcPr>
            <w:tcW w:w="65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0.235</w:t>
            </w:r>
          </w:p>
        </w:tc>
        <w:tc>
          <w:tcPr>
            <w:tcW w:w="65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0.714</w:t>
            </w:r>
          </w:p>
        </w:tc>
        <w:tc>
          <w:tcPr>
            <w:tcW w:w="21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Controls capillary porosity and strength (Abrams' law). Below ~0.23 complete hydration is geometrically impossible; above ~0.70 workability and strength collapse.</w:t>
            </w:r>
          </w:p>
        </w:tc>
      </w:tr>
      <w:tr w:rsidR="00AE4894">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b/a</w:t>
            </w:r>
          </w:p>
        </w:tc>
        <w:tc>
          <w:tcPr>
            <w:tcW w:w="21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(PC+FA+SC) / (FAGG+CAGG)</w:t>
            </w:r>
          </w:p>
        </w:tc>
        <w:tc>
          <w:tcPr>
            <w:tcW w:w="65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0.105</w:t>
            </w:r>
          </w:p>
        </w:tc>
        <w:tc>
          <w:tcPr>
            <w:tcW w:w="65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0.488</w:t>
            </w:r>
          </w:p>
        </w:tc>
        <w:tc>
          <w:tcPr>
            <w:tcW w:w="21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Paste-to-aggregate ratio. Insufficient paste impairs cohesion; excess paste increases shrinkage and cost.</w:t>
            </w:r>
          </w:p>
        </w:tc>
      </w:tr>
      <w:tr w:rsidR="00AE4894">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SCM%</w:t>
            </w:r>
          </w:p>
        </w:tc>
        <w:tc>
          <w:tcPr>
            <w:tcW w:w="21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(FA+SC) / (PC+FA+SC)</w:t>
            </w:r>
          </w:p>
        </w:tc>
        <w:tc>
          <w:tcPr>
            <w:tcW w:w="65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0.000</w:t>
            </w:r>
          </w:p>
        </w:tc>
        <w:tc>
          <w:tcPr>
            <w:tcW w:w="65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0.765</w:t>
            </w:r>
          </w:p>
        </w:tc>
        <w:tc>
          <w:tcPr>
            <w:tcW w:w="21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Max SCM substitution. Both FA and GGBS dilute PC clinker; at high replacement 28-day strength is sensitive to reduced early hydration rate.</w:t>
            </w:r>
          </w:p>
        </w:tc>
      </w:tr>
      <w:tr w:rsidR="00AE4894">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CAGG%</w:t>
            </w:r>
          </w:p>
        </w:tc>
        <w:tc>
          <w:tcPr>
            <w:tcW w:w="21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CAGG / (FAGG+CAGG)</w:t>
            </w:r>
          </w:p>
        </w:tc>
        <w:tc>
          <w:tcPr>
            <w:tcW w:w="65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0.222</w:t>
            </w:r>
          </w:p>
        </w:tc>
        <w:tc>
          <w:tcPr>
            <w:tcW w:w="65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0.744</w:t>
            </w:r>
          </w:p>
        </w:tc>
        <w:tc>
          <w:tcPr>
            <w:tcW w:w="21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Coarse-to-fine aggregate ratio; affects workability, bleeding, and segregation.</w:t>
            </w:r>
          </w:p>
        </w:tc>
      </w:tr>
      <w:tr w:rsidR="00AE4894">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FAGG%</w:t>
            </w:r>
          </w:p>
        </w:tc>
        <w:tc>
          <w:tcPr>
            <w:tcW w:w="21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FAGG / (FAGG+CAGG)</w:t>
            </w:r>
          </w:p>
        </w:tc>
        <w:tc>
          <w:tcPr>
            <w:tcW w:w="65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0.256</w:t>
            </w:r>
          </w:p>
        </w:tc>
        <w:tc>
          <w:tcPr>
            <w:tcW w:w="65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0.778</w:t>
            </w:r>
          </w:p>
        </w:tc>
        <w:tc>
          <w:tcPr>
            <w:tcW w:w="21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Complement of CAGG%; enforced simultaneously.</w:t>
            </w:r>
          </w:p>
        </w:tc>
      </w:tr>
    </w:tbl>
    <w:p w:rsidR="00AE4894" w:rsidRDefault="00BE6831">
      <w:pPr>
        <w:spacing w:before="120" w:after="80"/>
      </w:pPr>
      <w:r>
        <w:t>These ratios encode established concrete mix design rules (ACIÂ 211.1 [CITATION]; NevilleÂ 2011 [CITATION]) and can be verified analytically for any proposed mix without calling the surrogate.</w:t>
      </w:r>
    </w:p>
    <w:p w:rsidR="00AE4894" w:rsidRDefault="00BE6831">
      <w:pPr>
        <w:spacing w:after="80"/>
      </w:pPr>
      <w:r>
        <w:rPr>
          <w:b/>
          <w:bCs/>
        </w:rPr>
        <w:t xml:space="preserve">Layer 3 â€” Absolute volume constraint. </w:t>
      </w:r>
      <w:r>
        <w:t xml:space="preserve">A physics-based constraint </w:t>
      </w:r>
      <w:r>
        <w:t>ensures the sum of ingredient volumes plus entrapped air equals approximately 1Â mÂ³:</w:t>
      </w:r>
    </w:p>
    <w:p w:rsidR="00AE4894" w:rsidRDefault="00BE6831">
      <w:pPr>
        <w:spacing w:before="80" w:after="80"/>
        <w:jc w:val="center"/>
      </w:pPr>
      <w:proofErr w:type="spellStart"/>
      <w:r>
        <w:rPr>
          <w:rFonts w:ascii="Courier New" w:eastAsia="Courier New" w:hAnsi="Courier New" w:cs="Courier New"/>
        </w:rPr>
        <w:t>V_solid</w:t>
      </w:r>
      <w:proofErr w:type="spellEnd"/>
      <w:r>
        <w:rPr>
          <w:rFonts w:ascii="Courier New" w:eastAsia="Courier New" w:hAnsi="Courier New" w:cs="Courier New"/>
        </w:rPr>
        <w:t xml:space="preserve"> = Î£ (</w:t>
      </w:r>
      <w:proofErr w:type="spellStart"/>
      <w:r>
        <w:rPr>
          <w:rFonts w:ascii="Courier New" w:eastAsia="Courier New" w:hAnsi="Courier New" w:cs="Courier New"/>
        </w:rPr>
        <w:t>m_i</w:t>
      </w:r>
      <w:proofErr w:type="spellEnd"/>
      <w:r>
        <w:rPr>
          <w:rFonts w:ascii="Courier New" w:eastAsia="Courier New" w:hAnsi="Courier New" w:cs="Courier New"/>
        </w:rPr>
        <w:t xml:space="preserve"> / </w:t>
      </w:r>
      <w:proofErr w:type="spellStart"/>
      <w:r>
        <w:rPr>
          <w:rFonts w:ascii="Courier New" w:eastAsia="Courier New" w:hAnsi="Courier New" w:cs="Courier New"/>
        </w:rPr>
        <w:t>Ï_i</w:t>
      </w:r>
      <w:proofErr w:type="spellEnd"/>
      <w:r>
        <w:rPr>
          <w:rFonts w:ascii="Courier New" w:eastAsia="Courier New" w:hAnsi="Courier New" w:cs="Courier New"/>
        </w:rPr>
        <w:t>)</w:t>
      </w:r>
    </w:p>
    <w:p w:rsidR="00AE4894" w:rsidRDefault="00BE6831">
      <w:pPr>
        <w:spacing w:before="80" w:after="80"/>
        <w:jc w:val="center"/>
      </w:pPr>
      <w:proofErr w:type="spellStart"/>
      <w:r>
        <w:rPr>
          <w:rFonts w:ascii="Courier New" w:eastAsia="Courier New" w:hAnsi="Courier New" w:cs="Courier New"/>
        </w:rPr>
        <w:t>V_final</w:t>
      </w:r>
      <w:proofErr w:type="spellEnd"/>
      <w:r>
        <w:rPr>
          <w:rFonts w:ascii="Courier New" w:eastAsia="Courier New" w:hAnsi="Courier New" w:cs="Courier New"/>
        </w:rPr>
        <w:t xml:space="preserve"> = </w:t>
      </w:r>
      <w:proofErr w:type="spellStart"/>
      <w:r>
        <w:rPr>
          <w:rFonts w:ascii="Courier New" w:eastAsia="Courier New" w:hAnsi="Courier New" w:cs="Courier New"/>
        </w:rPr>
        <w:t>V_solid</w:t>
      </w:r>
      <w:proofErr w:type="spellEnd"/>
      <w:r>
        <w:rPr>
          <w:rFonts w:ascii="Courier New" w:eastAsia="Courier New" w:hAnsi="Courier New" w:cs="Courier New"/>
        </w:rPr>
        <w:t xml:space="preserve"> + </w:t>
      </w:r>
      <w:proofErr w:type="spellStart"/>
      <w:r>
        <w:rPr>
          <w:rFonts w:ascii="Courier New" w:eastAsia="Courier New" w:hAnsi="Courier New" w:cs="Courier New"/>
        </w:rPr>
        <w:t>V_</w:t>
      </w:r>
      <w:proofErr w:type="gramStart"/>
      <w:r>
        <w:rPr>
          <w:rFonts w:ascii="Courier New" w:eastAsia="Courier New" w:hAnsi="Courier New" w:cs="Courier New"/>
        </w:rPr>
        <w:t>air</w:t>
      </w:r>
      <w:proofErr w:type="spellEnd"/>
      <w:r>
        <w:rPr>
          <w:rFonts w:ascii="Courier New" w:eastAsia="Courier New" w:hAnsi="Courier New" w:cs="Courier New"/>
        </w:rPr>
        <w:t xml:space="preserve">  âˆˆ</w:t>
      </w:r>
      <w:proofErr w:type="gramEnd"/>
      <w:r>
        <w:rPr>
          <w:rFonts w:ascii="Courier New" w:eastAsia="Courier New" w:hAnsi="Courier New" w:cs="Courier New"/>
        </w:rPr>
        <w:t xml:space="preserve">  [0.95, 1.05]  mÂ³/mÂ³</w:t>
      </w:r>
    </w:p>
    <w:p w:rsidR="00AE4894" w:rsidRDefault="00BE6831">
      <w:pPr>
        <w:spacing w:after="120"/>
      </w:pPr>
      <w:r>
        <w:t xml:space="preserve">where </w:t>
      </w:r>
      <w:proofErr w:type="spellStart"/>
      <w:r>
        <w:t>Ï_i</w:t>
      </w:r>
      <w:proofErr w:type="spellEnd"/>
      <w:r>
        <w:t xml:space="preserve"> are material particle densities (PCÂ =Â 3150, FAÂ =Â 2200, SCÂ =Â 2900, FAGGÂ =Â 2630, CAGGÂ =Â 27</w:t>
      </w:r>
      <w:r>
        <w:t xml:space="preserve">10, WATERÂ =Â 1000Â kg/mÂ³; admixtures 1010â€“1340Â kg/mÂ³ [CITATION: Pfeiffer et al.Â 2024]), and </w:t>
      </w:r>
      <w:proofErr w:type="spellStart"/>
      <w:r>
        <w:t>V_air</w:t>
      </w:r>
      <w:proofErr w:type="spellEnd"/>
      <w:r>
        <w:t xml:space="preserve">Â = 0.07Â mÂ³ for air-entrained mixes </w:t>
      </w:r>
      <w:r>
        <w:lastRenderedPageBreak/>
        <w:t>(AEA/PCÂ â‰¥Â 0.000244) or 0.03Â mÂ³ otherwise. The Â±0.05Â mÂ³ tolerance encompasses 88% of dataset mixes while excluding physically u</w:t>
      </w:r>
      <w:r>
        <w:t>nreasonable compositions.</w:t>
      </w:r>
    </w:p>
    <w:p w:rsidR="00AE4894" w:rsidRDefault="00BE6831">
      <w:pPr>
        <w:pStyle w:val="Heading2"/>
        <w:spacing w:before="240" w:after="100"/>
      </w:pPr>
      <w:r>
        <w:rPr>
          <w:b/>
          <w:bCs/>
          <w:sz w:val="28"/>
          <w:szCs w:val="28"/>
        </w:rPr>
        <w:t>2.5 Surrogate Model</w:t>
      </w:r>
    </w:p>
    <w:p w:rsidR="00AE4894" w:rsidRDefault="00BE6831">
      <w:pPr>
        <w:spacing w:after="120"/>
      </w:pPr>
      <w:r>
        <w:t xml:space="preserve">Direct evaluation of 28-day strength requires a 28-day curing cycle and is infeasible within an evolutionary loop. A pre-trained </w:t>
      </w:r>
      <w:proofErr w:type="spellStart"/>
      <w:r>
        <w:rPr>
          <w:b/>
          <w:bCs/>
        </w:rPr>
        <w:t>CatBoost</w:t>
      </w:r>
      <w:proofErr w:type="spellEnd"/>
      <w:r>
        <w:rPr>
          <w:b/>
          <w:bCs/>
        </w:rPr>
        <w:t>-Chain</w:t>
      </w:r>
      <w:r>
        <w:t xml:space="preserve"> surrogate is used instead, predicting 7-day, 28-day, and 56-day st</w:t>
      </w:r>
      <w:r>
        <w:t>rengths sequentially: the 7-day prediction becomes a feature for the 28-day model, and the 28-day prediction for the 56-day model [CITATION]. This chaining captures the autocorrelation structure of strength development across curing ages. Trained on the 75</w:t>
      </w:r>
      <w:r>
        <w:t xml:space="preserve">6-mix SI dataset (10 raw variables plus 12 engineered derived ratios), it achieves a cross-validated RÂ² of </w:t>
      </w:r>
      <w:r>
        <w:rPr>
          <w:b/>
          <w:bCs/>
        </w:rPr>
        <w:t>0.869 (SDÂ =Â 0.017)</w:t>
      </w:r>
      <w:r>
        <w:t xml:space="preserve"> for 28-day strengthâ€”substantially higher than a standard (non-chained) </w:t>
      </w:r>
      <w:proofErr w:type="spellStart"/>
      <w:r>
        <w:t>CatBoost</w:t>
      </w:r>
      <w:proofErr w:type="spellEnd"/>
      <w:r>
        <w:t xml:space="preserve"> model (RÂ²Â =Â 0.589). GWP is computed analytically; </w:t>
      </w:r>
      <w:r>
        <w:t>all candidate solutions are evaluated through the surrogate without physical testing.</w:t>
      </w:r>
    </w:p>
    <w:p w:rsidR="00AE4894" w:rsidRDefault="00AE4894"/>
    <w:p w:rsidR="00AE4894" w:rsidRDefault="00BE6831">
      <w:pPr>
        <w:pStyle w:val="Heading1"/>
        <w:spacing w:before="360" w:after="120"/>
      </w:pPr>
      <w:r>
        <w:rPr>
          <w:b/>
          <w:bCs/>
        </w:rPr>
        <w:t>3. FLAME: Front-guided LLM-Augmented Multi-</w:t>
      </w:r>
      <w:proofErr w:type="gramStart"/>
      <w:r>
        <w:rPr>
          <w:b/>
          <w:bCs/>
        </w:rPr>
        <w:t>objective</w:t>
      </w:r>
      <w:proofErr w:type="gramEnd"/>
      <w:r>
        <w:rPr>
          <w:b/>
          <w:bCs/>
        </w:rPr>
        <w:t xml:space="preserve"> Evolution</w:t>
      </w:r>
    </w:p>
    <w:p w:rsidR="00AE4894" w:rsidRDefault="00BE6831">
      <w:pPr>
        <w:spacing w:after="120"/>
      </w:pPr>
      <w:r>
        <w:t xml:space="preserve">We propose </w:t>
      </w:r>
      <w:r>
        <w:rPr>
          <w:b/>
          <w:bCs/>
        </w:rPr>
        <w:t>FLAME</w:t>
      </w:r>
      <w:r>
        <w:t xml:space="preserve"> (</w:t>
      </w:r>
      <w:r>
        <w:rPr>
          <w:b/>
          <w:bCs/>
        </w:rPr>
        <w:t>F</w:t>
      </w:r>
      <w:r>
        <w:t xml:space="preserve">ront-guided </w:t>
      </w:r>
      <w:r>
        <w:rPr>
          <w:b/>
          <w:bCs/>
        </w:rPr>
        <w:t>L</w:t>
      </w:r>
      <w:r>
        <w:t>LM-</w:t>
      </w:r>
      <w:r>
        <w:rPr>
          <w:b/>
          <w:bCs/>
        </w:rPr>
        <w:t>A</w:t>
      </w:r>
      <w:r>
        <w:t xml:space="preserve">ugmented </w:t>
      </w:r>
      <w:r>
        <w:rPr>
          <w:b/>
          <w:bCs/>
        </w:rPr>
        <w:t>M</w:t>
      </w:r>
      <w:r>
        <w:t>ulti-</w:t>
      </w:r>
      <w:proofErr w:type="gramStart"/>
      <w:r>
        <w:t>objective</w:t>
      </w:r>
      <w:proofErr w:type="gramEnd"/>
      <w:r>
        <w:t xml:space="preserve"> </w:t>
      </w:r>
      <w:r>
        <w:rPr>
          <w:b/>
          <w:bCs/>
        </w:rPr>
        <w:t>E</w:t>
      </w:r>
      <w:r>
        <w:t xml:space="preserve">volution), a hybrid optimization framework that integrates a large language model (LLM) as a domain-aware proposal generator within the NSGA-II multi-objective evolutionary loop. The key design principle is that LLM-generated candidates </w:t>
      </w:r>
      <w:r>
        <w:rPr>
          <w:i/>
          <w:iCs/>
        </w:rPr>
        <w:t>augment</w:t>
      </w:r>
      <w:r>
        <w:t xml:space="preserve"> the offspri</w:t>
      </w:r>
      <w:r>
        <w:t>ng pool and compete under NSGA-IIâ€™s evolutionary pressure, rather than replacing or bypassing it.</w:t>
      </w:r>
    </w:p>
    <w:p w:rsidR="00AE4894" w:rsidRDefault="00BE6831">
      <w:pPr>
        <w:pStyle w:val="Heading2"/>
        <w:spacing w:before="240" w:after="100"/>
      </w:pPr>
      <w:r>
        <w:rPr>
          <w:b/>
          <w:bCs/>
          <w:sz w:val="28"/>
          <w:szCs w:val="28"/>
        </w:rPr>
        <w:t>3.1 Framework Architecture</w:t>
      </w:r>
    </w:p>
    <w:p w:rsidR="00AE4894" w:rsidRDefault="00BE6831">
      <w:pPr>
        <w:spacing w:after="120"/>
      </w:pPr>
      <w:r>
        <w:t xml:space="preserve">FigureÂ 1 illustrates the FLAME framework. Let </w:t>
      </w:r>
      <w:r>
        <w:rPr>
          <w:i/>
          <w:iCs/>
        </w:rPr>
        <w:t>P</w:t>
      </w:r>
      <w:r>
        <w:t xml:space="preserve">â‚œ denote the population at generation </w:t>
      </w:r>
      <w:r>
        <w:rPr>
          <w:i/>
          <w:iCs/>
        </w:rPr>
        <w:t>t</w:t>
      </w:r>
      <w:r>
        <w:t xml:space="preserve"> (size </w:t>
      </w:r>
      <w:r>
        <w:rPr>
          <w:i/>
          <w:iCs/>
        </w:rPr>
        <w:t>N</w:t>
      </w:r>
      <w:r>
        <w:t xml:space="preserve">â‚šâ‚’â‚š = 50), and </w:t>
      </w:r>
      <w:r>
        <w:rPr>
          <w:i/>
          <w:iCs/>
        </w:rPr>
        <w:t>Q</w:t>
      </w:r>
      <w:r>
        <w:t xml:space="preserve">â‚œ the offspring generated by NSGA-IIâ€™s simulated binary crossover (SBX) and polynomial mutation (PM) operators. In standard NSGA-II, </w:t>
      </w:r>
      <w:r>
        <w:rPr>
          <w:i/>
          <w:iCs/>
        </w:rPr>
        <w:t>P</w:t>
      </w:r>
      <w:r>
        <w:t xml:space="preserve">â‚œâ‚Šâ‚ is selected from </w:t>
      </w:r>
      <w:r>
        <w:rPr>
          <w:i/>
          <w:iCs/>
        </w:rPr>
        <w:t>P</w:t>
      </w:r>
      <w:r>
        <w:t xml:space="preserve">â‚œ âˆª </w:t>
      </w:r>
      <w:r>
        <w:rPr>
          <w:i/>
          <w:iCs/>
        </w:rPr>
        <w:t>Q</w:t>
      </w:r>
      <w:r>
        <w:t>â‚œ through fast non-dominated sorting and crowding-distance ranking [CITATION: Deb 2002]. In FLA</w:t>
      </w:r>
      <w:r>
        <w:t xml:space="preserve">ME, a set of </w:t>
      </w:r>
      <w:r>
        <w:rPr>
          <w:i/>
          <w:iCs/>
        </w:rPr>
        <w:t>N</w:t>
      </w:r>
      <w:r>
        <w:t xml:space="preserve">Â = 15 candidate concrete mix designs </w:t>
      </w:r>
      <w:r>
        <w:rPr>
          <w:i/>
          <w:iCs/>
        </w:rPr>
        <w:t>L</w:t>
      </w:r>
      <w:r>
        <w:t xml:space="preserve">â‚œ is additionally generated by the LLM at every generation, and the combined pool </w:t>
      </w:r>
      <w:r>
        <w:rPr>
          <w:i/>
          <w:iCs/>
        </w:rPr>
        <w:t>P</w:t>
      </w:r>
      <w:r>
        <w:t xml:space="preserve">â‚œ âˆª </w:t>
      </w:r>
      <w:r>
        <w:rPr>
          <w:i/>
          <w:iCs/>
        </w:rPr>
        <w:t>Q</w:t>
      </w:r>
      <w:r>
        <w:t xml:space="preserve">â‚œ âˆª </w:t>
      </w:r>
      <w:r>
        <w:rPr>
          <w:i/>
          <w:iCs/>
        </w:rPr>
        <w:t>L</w:t>
      </w:r>
      <w:r>
        <w:t xml:space="preserve">â‚œ is submitted to the NSGA-II selection step. LLM proposals thus compete against crossover-generated offspring </w:t>
      </w:r>
      <w:r>
        <w:t xml:space="preserve">on equal terms; only proposals that are non-dominated and contribute to front diversity survive into </w:t>
      </w:r>
      <w:r>
        <w:rPr>
          <w:i/>
          <w:iCs/>
        </w:rPr>
        <w:t>P</w:t>
      </w:r>
      <w:r>
        <w:t xml:space="preserve">â‚œâ‚Šâ‚. The LLM acts as a </w:t>
      </w:r>
      <w:r>
        <w:rPr>
          <w:i/>
          <w:iCs/>
        </w:rPr>
        <w:t>domain-informed proposal generator</w:t>
      </w:r>
      <w:r>
        <w:t xml:space="preserve"> whose suggestions are filtered by evolutionary pressure rather than accepted unconditionally.</w:t>
      </w:r>
    </w:p>
    <w:p w:rsidR="00AE4894" w:rsidRDefault="00BE6831">
      <w:pPr>
        <w:spacing w:after="120"/>
      </w:pPr>
      <w:r>
        <w:rPr>
          <w:i/>
          <w:iCs/>
          <w:color w:val="888888"/>
        </w:rPr>
        <w:lastRenderedPageBreak/>
        <w:t>[F</w:t>
      </w:r>
      <w:r>
        <w:rPr>
          <w:i/>
          <w:iCs/>
          <w:color w:val="888888"/>
        </w:rPr>
        <w:t>igure 1: FLAME framework architecture. Left: standard NSGA-II loop. Right: LLM augmentation â€” at each generation the LLM receives the current Pareto front (elite examples) and a structured prompt, returns N candidate mixes, which are appended to the offspr</w:t>
      </w:r>
      <w:r>
        <w:rPr>
          <w:i/>
          <w:iCs/>
          <w:color w:val="888888"/>
        </w:rPr>
        <w:t>ing pool before selection.]</w:t>
      </w:r>
    </w:p>
    <w:p w:rsidR="00AE4894" w:rsidRDefault="00BE6831">
      <w:pPr>
        <w:pStyle w:val="Heading2"/>
        <w:spacing w:before="240" w:after="100"/>
      </w:pPr>
      <w:r>
        <w:rPr>
          <w:b/>
          <w:bCs/>
          <w:sz w:val="28"/>
          <w:szCs w:val="28"/>
        </w:rPr>
        <w:t>3.2 Prompt Design</w:t>
      </w:r>
    </w:p>
    <w:p w:rsidR="00AE4894" w:rsidRDefault="00BE6831">
      <w:pPr>
        <w:spacing w:after="120"/>
      </w:pPr>
      <w:r>
        <w:t>The LLM (Google Gemini-2.5-Flash-Lite) receives a structured prompt at each generation comprising five components (TableÂ 3). Together they supply the LLM with the optimization objective, the feasibility envelop</w:t>
      </w:r>
      <w:r>
        <w:t>e, and â€” critically â€” cement chemistry knowledge that would not be derivable from objective function evaluations alone.</w:t>
      </w:r>
    </w:p>
    <w:p w:rsidR="00AE4894" w:rsidRDefault="00BE6831">
      <w:pPr>
        <w:spacing w:before="160" w:after="60"/>
      </w:pPr>
      <w:r>
        <w:rPr>
          <w:b/>
          <w:bCs/>
        </w:rPr>
        <w:t>Table 3. FLAME prompt components and their roles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3"/>
        <w:gridCol w:w="1619"/>
        <w:gridCol w:w="5798"/>
      </w:tblGrid>
      <w:tr w:rsidR="00AE4894" w:rsidTr="00BE6831">
        <w:tblPrEx>
          <w:tblCellMar>
            <w:top w:w="0" w:type="dxa"/>
            <w:bottom w:w="0" w:type="dxa"/>
          </w:tblCellMar>
        </w:tblPrEx>
        <w:trPr>
          <w:tblHeader/>
        </w:trPr>
        <w:tc>
          <w:tcPr>
            <w:tcW w:w="703" w:type="pct"/>
            <w:tcBorders>
              <w:top w:val="single" w:sz="4" w:space="0" w:color="AAAAAA"/>
              <w:left w:val="single" w:sz="4" w:space="0" w:color="AAAAAA"/>
              <w:bottom w:val="single" w:sz="4" w:space="0" w:color="AAAAAA"/>
              <w:right w:val="single" w:sz="4" w:space="0" w:color="AAAAAA"/>
            </w:tcBorders>
            <w:shd w:val="clear" w:color="2F5597" w:fill="2F5597"/>
            <w:vAlign w:val="center"/>
          </w:tcPr>
          <w:p w:rsidR="00AE4894" w:rsidRDefault="00BE6831" w:rsidP="00BE6831">
            <w:pPr>
              <w:spacing w:before="40" w:after="40"/>
              <w:jc w:val="center"/>
            </w:pPr>
            <w:bookmarkStart w:id="0" w:name="_GoBack"/>
            <w:r>
              <w:rPr>
                <w:b/>
                <w:bCs/>
                <w:color w:val="FFFFFF"/>
                <w:sz w:val="20"/>
                <w:szCs w:val="20"/>
              </w:rPr>
              <w:t>Component</w:t>
            </w:r>
          </w:p>
        </w:tc>
        <w:tc>
          <w:tcPr>
            <w:tcW w:w="938" w:type="pct"/>
            <w:tcBorders>
              <w:top w:val="single" w:sz="4" w:space="0" w:color="AAAAAA"/>
              <w:left w:val="single" w:sz="4" w:space="0" w:color="AAAAAA"/>
              <w:bottom w:val="single" w:sz="4" w:space="0" w:color="AAAAAA"/>
              <w:right w:val="single" w:sz="4" w:space="0" w:color="AAAAAA"/>
            </w:tcBorders>
            <w:shd w:val="clear" w:color="2F5597" w:fill="2F5597"/>
            <w:vAlign w:val="center"/>
          </w:tcPr>
          <w:p w:rsidR="00AE4894" w:rsidRDefault="00BE6831" w:rsidP="00BE6831">
            <w:pPr>
              <w:spacing w:before="40" w:after="40"/>
              <w:jc w:val="center"/>
            </w:pPr>
            <w:r>
              <w:rPr>
                <w:b/>
                <w:bCs/>
                <w:color w:val="FFFFFF"/>
                <w:sz w:val="20"/>
                <w:szCs w:val="20"/>
              </w:rPr>
              <w:t>Abbreviation</w:t>
            </w:r>
          </w:p>
        </w:tc>
        <w:tc>
          <w:tcPr>
            <w:tcW w:w="3359" w:type="pct"/>
            <w:tcBorders>
              <w:top w:val="single" w:sz="4" w:space="0" w:color="AAAAAA"/>
              <w:left w:val="single" w:sz="4" w:space="0" w:color="AAAAAA"/>
              <w:bottom w:val="single" w:sz="4" w:space="0" w:color="AAAAAA"/>
              <w:right w:val="single" w:sz="4" w:space="0" w:color="AAAAAA"/>
            </w:tcBorders>
            <w:shd w:val="clear" w:color="2F5597" w:fill="2F5597"/>
            <w:vAlign w:val="center"/>
          </w:tcPr>
          <w:p w:rsidR="00AE4894" w:rsidRDefault="00BE6831" w:rsidP="00BE6831">
            <w:pPr>
              <w:spacing w:before="40" w:after="40"/>
              <w:jc w:val="center"/>
            </w:pPr>
            <w:r>
              <w:rPr>
                <w:b/>
                <w:bCs/>
                <w:color w:val="FFFFFF"/>
                <w:sz w:val="20"/>
                <w:szCs w:val="20"/>
              </w:rPr>
              <w:t>Content and purpose</w:t>
            </w:r>
          </w:p>
        </w:tc>
      </w:tr>
      <w:tr w:rsidR="00AE4894" w:rsidTr="00BE6831">
        <w:tblPrEx>
          <w:tblCellMar>
            <w:top w:w="0" w:type="dxa"/>
            <w:bottom w:w="0" w:type="dxa"/>
          </w:tblCellMar>
        </w:tblPrEx>
        <w:tc>
          <w:tcPr>
            <w:tcW w:w="703"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Task context</w:t>
            </w:r>
          </w:p>
        </w:tc>
        <w:tc>
          <w:tcPr>
            <w:tcW w:w="938"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Task</w:t>
            </w:r>
          </w:p>
        </w:tc>
        <w:tc>
          <w:tcPr>
            <w:tcW w:w="3359"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Plain-language description of the multi-objective mix design goal: minimize GWP while maximizing 28-day compressive strength by adjusting 10 mix design variables.</w:t>
            </w:r>
          </w:p>
        </w:tc>
      </w:tr>
      <w:tr w:rsidR="00AE4894" w:rsidTr="00BE6831">
        <w:tblPrEx>
          <w:tblCellMar>
            <w:top w:w="0" w:type="dxa"/>
            <w:bottom w:w="0" w:type="dxa"/>
          </w:tblCellMar>
        </w:tblPrEx>
        <w:tc>
          <w:tcPr>
            <w:tcW w:w="703" w:type="pct"/>
            <w:tcBorders>
              <w:top w:val="single" w:sz="4" w:space="0" w:color="AAAAAA"/>
              <w:left w:val="single" w:sz="4" w:space="0" w:color="AAAAAA"/>
              <w:bottom w:val="single" w:sz="4" w:space="0" w:color="AAAAAA"/>
              <w:right w:val="single" w:sz="4" w:space="0" w:color="AAAAAA"/>
            </w:tcBorders>
            <w:shd w:val="clear" w:color="FFFFFF" w:fill="FFFFFF"/>
            <w:vAlign w:val="center"/>
          </w:tcPr>
          <w:p w:rsidR="00AE4894" w:rsidRDefault="00BE6831" w:rsidP="00BE6831">
            <w:pPr>
              <w:spacing w:before="30" w:after="30"/>
              <w:jc w:val="center"/>
            </w:pPr>
            <w:r>
              <w:rPr>
                <w:sz w:val="20"/>
                <w:szCs w:val="20"/>
              </w:rPr>
              <w:t>Objectives</w:t>
            </w:r>
          </w:p>
        </w:tc>
        <w:tc>
          <w:tcPr>
            <w:tcW w:w="938" w:type="pct"/>
            <w:tcBorders>
              <w:top w:val="single" w:sz="4" w:space="0" w:color="AAAAAA"/>
              <w:left w:val="single" w:sz="4" w:space="0" w:color="AAAAAA"/>
              <w:bottom w:val="single" w:sz="4" w:space="0" w:color="AAAAAA"/>
              <w:right w:val="single" w:sz="4" w:space="0" w:color="AAAAAA"/>
            </w:tcBorders>
            <w:shd w:val="clear" w:color="FFFFFF" w:fill="FFFFFF"/>
            <w:vAlign w:val="center"/>
          </w:tcPr>
          <w:p w:rsidR="00AE4894" w:rsidRDefault="00BE6831" w:rsidP="00BE6831">
            <w:pPr>
              <w:spacing w:before="30" w:after="30"/>
              <w:jc w:val="center"/>
            </w:pPr>
            <w:proofErr w:type="spellStart"/>
            <w:r>
              <w:rPr>
                <w:sz w:val="20"/>
                <w:szCs w:val="20"/>
              </w:rPr>
              <w:t>Obj</w:t>
            </w:r>
            <w:proofErr w:type="spellEnd"/>
          </w:p>
        </w:tc>
        <w:tc>
          <w:tcPr>
            <w:tcW w:w="3359" w:type="pct"/>
            <w:tcBorders>
              <w:top w:val="single" w:sz="4" w:space="0" w:color="AAAAAA"/>
              <w:left w:val="single" w:sz="4" w:space="0" w:color="AAAAAA"/>
              <w:bottom w:val="single" w:sz="4" w:space="0" w:color="AAAAAA"/>
              <w:right w:val="single" w:sz="4" w:space="0" w:color="AAAAAA"/>
            </w:tcBorders>
            <w:shd w:val="clear" w:color="FFFFFF" w:fill="FFFFFF"/>
            <w:vAlign w:val="center"/>
          </w:tcPr>
          <w:p w:rsidR="00AE4894" w:rsidRDefault="00BE6831" w:rsidP="00BE6831">
            <w:pPr>
              <w:spacing w:before="30" w:after="30"/>
              <w:jc w:val="center"/>
            </w:pPr>
            <w:r>
              <w:rPr>
                <w:sz w:val="20"/>
                <w:szCs w:val="20"/>
              </w:rPr>
              <w:t>Mathematical form of both objectives with normalization ranges; Pareto domina</w:t>
            </w:r>
            <w:r>
              <w:rPr>
                <w:sz w:val="20"/>
                <w:szCs w:val="20"/>
              </w:rPr>
              <w:t>nce rule stated explicitly so the LLM understands what "better" means.</w:t>
            </w:r>
          </w:p>
        </w:tc>
      </w:tr>
      <w:tr w:rsidR="00AE4894" w:rsidTr="00BE6831">
        <w:tblPrEx>
          <w:tblCellMar>
            <w:top w:w="0" w:type="dxa"/>
            <w:bottom w:w="0" w:type="dxa"/>
          </w:tblCellMar>
        </w:tblPrEx>
        <w:tc>
          <w:tcPr>
            <w:tcW w:w="703"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Knowledge Table</w:t>
            </w:r>
          </w:p>
        </w:tc>
        <w:tc>
          <w:tcPr>
            <w:tcW w:w="938"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KT</w:t>
            </w:r>
          </w:p>
        </w:tc>
        <w:tc>
          <w:tcPr>
            <w:tcW w:w="3359"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Tabulated material properties: GWP emission factors (PCÂ =Â 1.048, GGBSÂ =Â 0.264, FAÂ =Â 0.328Â kgÂ COâ‚‚/kg), early-age vs. long-term reactivity of each SCM, and design heuristics for navigating the GWPâ€“strength trade-off. This is the primary channel for domain kn</w:t>
            </w:r>
            <w:r>
              <w:rPr>
                <w:sz w:val="20"/>
                <w:szCs w:val="20"/>
              </w:rPr>
              <w:t>owledge injection.</w:t>
            </w:r>
          </w:p>
        </w:tc>
      </w:tr>
      <w:tr w:rsidR="00AE4894" w:rsidTr="00BE6831">
        <w:tblPrEx>
          <w:tblCellMar>
            <w:top w:w="0" w:type="dxa"/>
            <w:bottom w:w="0" w:type="dxa"/>
          </w:tblCellMar>
        </w:tblPrEx>
        <w:tc>
          <w:tcPr>
            <w:tcW w:w="703" w:type="pct"/>
            <w:tcBorders>
              <w:top w:val="single" w:sz="4" w:space="0" w:color="AAAAAA"/>
              <w:left w:val="single" w:sz="4" w:space="0" w:color="AAAAAA"/>
              <w:bottom w:val="single" w:sz="4" w:space="0" w:color="AAAAAA"/>
              <w:right w:val="single" w:sz="4" w:space="0" w:color="AAAAAA"/>
            </w:tcBorders>
            <w:shd w:val="clear" w:color="FFFFFF" w:fill="FFFFFF"/>
            <w:vAlign w:val="center"/>
          </w:tcPr>
          <w:p w:rsidR="00AE4894" w:rsidRDefault="00BE6831" w:rsidP="00BE6831">
            <w:pPr>
              <w:spacing w:before="30" w:after="30"/>
              <w:jc w:val="center"/>
            </w:pPr>
            <w:r>
              <w:rPr>
                <w:sz w:val="20"/>
                <w:szCs w:val="20"/>
              </w:rPr>
              <w:t>Constraints</w:t>
            </w:r>
          </w:p>
        </w:tc>
        <w:tc>
          <w:tcPr>
            <w:tcW w:w="938" w:type="pct"/>
            <w:tcBorders>
              <w:top w:val="single" w:sz="4" w:space="0" w:color="AAAAAA"/>
              <w:left w:val="single" w:sz="4" w:space="0" w:color="AAAAAA"/>
              <w:bottom w:val="single" w:sz="4" w:space="0" w:color="AAAAAA"/>
              <w:right w:val="single" w:sz="4" w:space="0" w:color="AAAAAA"/>
            </w:tcBorders>
            <w:shd w:val="clear" w:color="FFFFFF" w:fill="FFFFFF"/>
            <w:vAlign w:val="center"/>
          </w:tcPr>
          <w:p w:rsidR="00AE4894" w:rsidRDefault="00BE6831" w:rsidP="00BE6831">
            <w:pPr>
              <w:spacing w:before="30" w:after="30"/>
              <w:jc w:val="center"/>
            </w:pPr>
            <w:r>
              <w:rPr>
                <w:sz w:val="20"/>
                <w:szCs w:val="20"/>
              </w:rPr>
              <w:t>Con</w:t>
            </w:r>
          </w:p>
        </w:tc>
        <w:tc>
          <w:tcPr>
            <w:tcW w:w="3359" w:type="pct"/>
            <w:tcBorders>
              <w:top w:val="single" w:sz="4" w:space="0" w:color="AAAAAA"/>
              <w:left w:val="single" w:sz="4" w:space="0" w:color="AAAAAA"/>
              <w:bottom w:val="single" w:sz="4" w:space="0" w:color="AAAAAA"/>
              <w:right w:val="single" w:sz="4" w:space="0" w:color="AAAAAA"/>
            </w:tcBorders>
            <w:shd w:val="clear" w:color="FFFFFF" w:fill="FFFFFF"/>
            <w:vAlign w:val="center"/>
          </w:tcPr>
          <w:p w:rsidR="00AE4894" w:rsidRDefault="00BE6831" w:rsidP="00BE6831">
            <w:pPr>
              <w:spacing w:before="30" w:after="30"/>
              <w:jc w:val="center"/>
            </w:pPr>
            <w:r>
              <w:rPr>
                <w:sz w:val="20"/>
                <w:szCs w:val="20"/>
              </w:rPr>
              <w:t>All feasibility conditions in natural language: variable bounds, derived ratio bounds (w/b, SCM%, etc.), and volume constraint. Prevents proposals that are physically unrealizable.</w:t>
            </w:r>
          </w:p>
        </w:tc>
      </w:tr>
      <w:tr w:rsidR="00AE4894" w:rsidTr="00BE6831">
        <w:tblPrEx>
          <w:tblCellMar>
            <w:top w:w="0" w:type="dxa"/>
            <w:bottom w:w="0" w:type="dxa"/>
          </w:tblCellMar>
        </w:tblPrEx>
        <w:tc>
          <w:tcPr>
            <w:tcW w:w="703"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Elite examples</w:t>
            </w:r>
          </w:p>
        </w:tc>
        <w:tc>
          <w:tcPr>
            <w:tcW w:w="938"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Elite</w:t>
            </w:r>
          </w:p>
        </w:tc>
        <w:tc>
          <w:tcPr>
            <w:tcW w:w="3359"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Current Pareto front solutions (up to 20 points) presented as inputâ€“output pairs. Functions as in-context few-shot demonstrations, enabling the LLM to infer which mix regions are Pareto-optimal.</w:t>
            </w:r>
          </w:p>
        </w:tc>
      </w:tr>
    </w:tbl>
    <w:bookmarkEnd w:id="0"/>
    <w:p w:rsidR="00AE4894" w:rsidRDefault="00BE6831">
      <w:pPr>
        <w:spacing w:before="120" w:after="120"/>
      </w:pPr>
      <w:r>
        <w:t>The Knowledge Table (KT) is the primary mechanism through which materials domain knowledge enters the search. It encodes GWP emission factors, the latent hydraulic reactivity of GGBS relative to its early-age strength contribution, and the workability impl</w:t>
      </w:r>
      <w:r>
        <w:t>ications of w/b ratio â€” relationships that are well-established in cement chemistry [CITATION] but cannot be inferred from black-box surrogate queries. The elite examples (current Pareto front) function as in-context few-shot demonstrations [CITATION: Brow</w:t>
      </w:r>
      <w:r>
        <w:t>n et al.Â 2020], enabling the LLM to infer which regions of the design space have been found Pareto-optimal. The LLM is instructed to return exactly NÂ =Â 15 concrete mix designs as a structured JSON array, from which design variable vectors are parsed and de</w:t>
      </w:r>
      <w:r>
        <w:t>coded.</w:t>
      </w:r>
    </w:p>
    <w:p w:rsidR="00AE4894" w:rsidRDefault="00BE6831">
      <w:pPr>
        <w:pStyle w:val="Heading2"/>
        <w:spacing w:before="240" w:after="100"/>
      </w:pPr>
      <w:r>
        <w:rPr>
          <w:b/>
          <w:bCs/>
          <w:sz w:val="28"/>
          <w:szCs w:val="28"/>
        </w:rPr>
        <w:t>3.3 Key Design Decisions</w:t>
      </w:r>
    </w:p>
    <w:p w:rsidR="00AE4894" w:rsidRDefault="00BE6831">
      <w:pPr>
        <w:spacing w:after="120"/>
      </w:pPr>
      <w:r>
        <w:lastRenderedPageBreak/>
        <w:t>Three design choices were empirically validated; full results are reported in SectionÂ 5.</w:t>
      </w:r>
    </w:p>
    <w:p w:rsidR="00AE4894" w:rsidRDefault="00BE6831">
      <w:pPr>
        <w:spacing w:before="120" w:after="100"/>
      </w:pPr>
      <w:r>
        <w:rPr>
          <w:b/>
          <w:bCs/>
        </w:rPr>
        <w:t xml:space="preserve">Augment vs. replace. </w:t>
      </w:r>
      <w:r>
        <w:t xml:space="preserve">Two injection modes were evaluated. In </w:t>
      </w:r>
      <w:r>
        <w:rPr>
          <w:i/>
          <w:iCs/>
        </w:rPr>
        <w:t>replace</w:t>
      </w:r>
      <w:r>
        <w:t xml:space="preserve"> mode, LLM proposals substitute an equal number of crossover offspri</w:t>
      </w:r>
      <w:r>
        <w:t xml:space="preserve">ng (pool size unchanged). In </w:t>
      </w:r>
      <w:r>
        <w:rPr>
          <w:i/>
          <w:iCs/>
        </w:rPr>
        <w:t>augment</w:t>
      </w:r>
      <w:r>
        <w:t xml:space="preserve"> mode (FLAME), proposals are appended to the offspring pool (pool size increases by N). Replace mode was found to degrade performance at NÂ =Â 15 (Î”HVÂ =Â +0.023, pÂ =Â 0.299, not significant), because forced substitution disr</w:t>
      </w:r>
      <w:r>
        <w:t>upts NSGA-IIâ€™s crowding-distance ranking, which maintains Pareto front diversity by penalizing solutions in densely populated objective-space regions. Augment mode preserves this mechanism and is adopted in FLAME.</w:t>
      </w:r>
    </w:p>
    <w:p w:rsidR="00AE4894" w:rsidRDefault="00BE6831">
      <w:pPr>
        <w:spacing w:after="100"/>
      </w:pPr>
      <w:r>
        <w:rPr>
          <w:b/>
          <w:bCs/>
        </w:rPr>
        <w:t xml:space="preserve">Every-generation injection. </w:t>
      </w:r>
      <w:r>
        <w:t>Rather than tr</w:t>
      </w:r>
      <w:r>
        <w:t xml:space="preserve">iggering LLM calls only on stagnation, FLAME queries the LLM at </w:t>
      </w:r>
      <w:r>
        <w:rPr>
          <w:i/>
          <w:iCs/>
        </w:rPr>
        <w:t>every</w:t>
      </w:r>
      <w:r>
        <w:t xml:space="preserve"> generation. This provides a continuous domain-knowledge signal throughout the search and avoids the complexity of stagnation detection. Experimental comparison with a stagnation-triggere</w:t>
      </w:r>
      <w:r>
        <w:t>d variant confirmed that the every-generation strategy achieves higher final HV across 30 paired replicates.</w:t>
      </w:r>
    </w:p>
    <w:p w:rsidR="00AE4894" w:rsidRDefault="00BE6831">
      <w:pPr>
        <w:spacing w:after="100"/>
      </w:pPr>
      <w:r>
        <w:rPr>
          <w:b/>
          <w:bCs/>
        </w:rPr>
        <w:t xml:space="preserve">Selection of N. </w:t>
      </w:r>
      <w:r>
        <w:t xml:space="preserve">The number of LLM proposals per generation, N, controls the relative influence of LLM-generated candidates versus crossover-generated offspring. An empirical N-sweep experiment (N âˆˆ {5, 10, 15, 20, 25}, 30 paired replicates each) identified </w:t>
      </w:r>
      <w:r>
        <w:rPr>
          <w:b/>
          <w:bCs/>
        </w:rPr>
        <w:t>NÂ =Â 15</w:t>
      </w:r>
      <w:r>
        <w:t xml:space="preserve"> as optim</w:t>
      </w:r>
      <w:r>
        <w:t>al (Î”HVÂ =Â +0.082, 83% of replicates improved, pÂ &lt;Â 0.001). Results are reported in detail in SectionÂ 5.2.</w:t>
      </w:r>
    </w:p>
    <w:p w:rsidR="00AE4894" w:rsidRDefault="00AE4894"/>
    <w:p w:rsidR="00AE4894" w:rsidRDefault="00BE6831">
      <w:pPr>
        <w:pStyle w:val="Heading1"/>
        <w:spacing w:before="360" w:after="120"/>
      </w:pPr>
      <w:r>
        <w:rPr>
          <w:b/>
          <w:bCs/>
        </w:rPr>
        <w:t>5. Results</w:t>
      </w:r>
    </w:p>
    <w:p w:rsidR="00AE4894" w:rsidRDefault="00BE6831">
      <w:pPr>
        <w:pStyle w:val="Heading2"/>
        <w:spacing w:before="240" w:after="100"/>
      </w:pPr>
      <w:r>
        <w:rPr>
          <w:b/>
          <w:bCs/>
          <w:sz w:val="28"/>
          <w:szCs w:val="28"/>
        </w:rPr>
        <w:t xml:space="preserve">5.1 FLAME Achieves Statistically Significant </w:t>
      </w:r>
      <w:proofErr w:type="spellStart"/>
      <w:r>
        <w:rPr>
          <w:b/>
          <w:bCs/>
          <w:sz w:val="28"/>
          <w:szCs w:val="28"/>
        </w:rPr>
        <w:t>Hypervolume</w:t>
      </w:r>
      <w:proofErr w:type="spellEnd"/>
      <w:r>
        <w:rPr>
          <w:b/>
          <w:bCs/>
          <w:sz w:val="28"/>
          <w:szCs w:val="28"/>
        </w:rPr>
        <w:t xml:space="preserve"> Improvement</w:t>
      </w:r>
    </w:p>
    <w:p w:rsidR="00AE4894" w:rsidRDefault="00BE6831">
      <w:pPr>
        <w:spacing w:after="120"/>
      </w:pPr>
      <w:r>
        <w:t>FigureÂ 1 compares the mean Pareto fronts of NSGA-II and FLAME across 3</w:t>
      </w:r>
      <w:r>
        <w:t xml:space="preserve">0 paired replicates (NÂ =Â 15). Each curve represents the mean Â±Â 1 SD of the maximum </w:t>
      </w:r>
      <w:r>
        <w:rPr>
          <w:i/>
          <w:iCs/>
        </w:rPr>
        <w:t>f</w:t>
      </w:r>
      <w:r>
        <w:t xml:space="preserve">â‚‚â‚ˆ per GWP bin. FLAME consistently achieves higher </w:t>
      </w:r>
      <w:r>
        <w:rPr>
          <w:i/>
          <w:iCs/>
        </w:rPr>
        <w:t>f</w:t>
      </w:r>
      <w:r>
        <w:t>â‚‚â‚ˆ across the full GWP range, with the improvement most pronounced in the mid-range region (GWPÂ 200â€“260Â kg COâ‚‚-</w:t>
      </w:r>
      <w:proofErr w:type="spellStart"/>
      <w:r>
        <w:t>eq</w:t>
      </w:r>
      <w:proofErr w:type="spellEnd"/>
      <w:r>
        <w:t>/mÂ³). T</w:t>
      </w:r>
      <w:r>
        <w:t xml:space="preserve">he mean </w:t>
      </w:r>
      <w:proofErr w:type="spellStart"/>
      <w:r>
        <w:t>hypervolume</w:t>
      </w:r>
      <w:proofErr w:type="spellEnd"/>
      <w:r>
        <w:t xml:space="preserve"> improvement is Î”HVÂ =Â +0.082 (83% of replicates improved, Wilcoxon signed-rank test pÂ &lt;Â 0.001).</w:t>
      </w:r>
    </w:p>
    <w:p w:rsidR="00AE4894" w:rsidRDefault="00BE6831">
      <w:pPr>
        <w:spacing w:before="80" w:after="80"/>
        <w:jc w:val="center"/>
      </w:pPr>
      <w:r>
        <w:rPr>
          <w:noProof/>
        </w:rPr>
        <w:lastRenderedPageBreak/>
        <w:drawing>
          <wp:inline distT="0" distB="0" distL="0" distR="0">
            <wp:extent cx="5029200" cy="3352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029200" cy="3352800"/>
                    </a:xfrm>
                    <a:prstGeom prst="rect">
                      <a:avLst/>
                    </a:prstGeom>
                  </pic:spPr>
                </pic:pic>
              </a:graphicData>
            </a:graphic>
          </wp:inline>
        </w:drawing>
      </w:r>
    </w:p>
    <w:p>
      <w:pPr>
        <w:jc w:val="center"/>
        <w:spacing w:before="40" w:after="160"/>
      </w:pPr>
      <w:r>
        <w:rPr>
          <w:rFonts w:ascii="Times New Roman" w:hAnsi="Times New Roman"/>
          <w:sz w:val="24"/>
          <w:b/>
        </w:rPr>
        <w:t xml:space="preserve">Figure 1. </w:t>
      </w:r>
      <w:r>
        <w:rPr>
          <w:rFonts w:ascii="Times New Roman" w:hAnsi="Times New Roman"/>
          <w:sz w:val="24"/>
        </w:rPr>
        <w:t xml:space="preserve">Pareto fronts of NSGA-II and FLAME (NÂ =Â 15). Each curve shows the mean maximum $f_{28}$ per GWP bin across 30 paired replicates; shaded bands indicate Â±1Â SD. FLAME consistently achieves higher compressive strength at equivalent or lower GWP, with the gap widening in the low-carbon region (GWPÂ &lt;Â 200Â kgÂ COâ‚‚/mÂ³).</w:t>
      </w:r>
    </w:p>
    <w:p>
      <w:pPr>
        <w:spacing w:before="0" w:after="160"/>
      </w:pPr>
      <w:r>
        <w:rPr>
          <w:rFonts w:ascii="Times New Roman" w:hAnsi="Times New Roman"/>
          <w:sz w:val="24"/>
        </w:rPr>
        <w:t xml:space="preserve">Figure 2 traces the evolution of hypervolume (HV) across 100 generations for both methods. FLAME surpasses the NSGA-II baseline from approximately generationÂ 20 onward and maintains a widening margin through the end of the run. This progression suggests that LLM augmentation requires a brief warm-up period â€” sufficient population diversity to generate informative prompts â€” before contributing effectively to Pareto front improvement. The widening gap in later generations is consistent with a compounding mechanism: as FLAMEâ€™s Pareto front advances, subsequent LLM prompts are conditioned on higher-quality reference solutions, enabling increasingly targeted exploration.</w:t>
      </w:r>
    </w:p>
    <w:p xmlns:a="http://schemas.openxmlformats.org/drawingml/2006/main" xmlns:pic="http://schemas.openxmlformats.org/drawingml/2006/picture">
      <w:pPr>
        <w:jc w:val="center"/>
        <w:spacing w:before="80" w:after="80"/>
      </w:pPr>
      <w:r>
        <w:drawing>
          <wp:inline distT="0" distB="0" distL="0" distR="0">
            <wp:extent cx="5029200" cy="2794000"/>
            <wp:effectExtent l="0" t="0" r="0" b="0"/>
            <wp:docPr id="20" name="Figure2"/>
            <wp:cNvGraphicFramePr>
              <a:graphicFrameLocks noChangeAspect="1"/>
            </wp:cNvGraphicFramePr>
            <a:graphic>
              <a:graphicData uri="http://schemas.openxmlformats.org/drawingml/2006/picture">
                <pic:pic>
                  <pic:nvPicPr>
                    <pic:cNvPr id="20" name="convergence_everyg"/>
                    <pic:cNvPicPr/>
                  </pic:nvPicPr>
                  <pic:blipFill>
                    <a:blip r:embed="rIdConvFig"/>
                    <a:stretch>
                      <a:fillRect/>
                    </a:stretch>
                  </pic:blipFill>
                  <pic:spPr>
                    <a:xfrm>
                      <a:off x="0" y="0"/>
                      <a:ext cx="5029200" cy="2794000"/>
                    </a:xfrm>
                    <a:prstGeom prst="rect">
                      <a:avLst/>
                    </a:prstGeom>
                  </pic:spPr>
                </pic:pic>
              </a:graphicData>
            </a:graphic>
          </wp:inline>
        </w:drawing>
      </w:r>
    </w:p>
    <w:p>
      <w:pPr>
        <w:jc w:val="center"/>
        <w:spacing w:before="40" w:after="160"/>
      </w:pPr>
      <w:r>
        <w:rPr>
          <w:rFonts w:ascii="Times New Roman" w:hAnsi="Times New Roman"/>
          <w:sz w:val="24"/>
          <w:b/>
        </w:rPr>
        <w:t xml:space="preserve">Figure 2. </w:t>
      </w:r>
      <w:r>
        <w:rPr>
          <w:rFonts w:ascii="Times New Roman" w:hAnsi="Times New Roman"/>
          <w:sz w:val="24"/>
        </w:rPr>
        <w:t xml:space="preserve">Hypervolume (HV) convergence of NSGA-II and FLAME (NÂ =Â 15) over 100 generations. Solid and dashed lines show mean HV across 30 paired replicates; shaded bands indicate Â±1Â SD. FLAME surpasses the NSGA-II baseline from approximately generationÂ 20 onward, reaching a final mean Î”HVÂ =Â +0.082 (pÂ &lt;Â 0.001, Wilcoxon signed-rank test).</w:t>
      </w:r>
    </w:p>
    <w:p>
      <w:pPr>
        <w:spacing w:before="0" w:after="160"/>
      </w:pPr>
      <w:r>
        <w:rPr>
          <w:rFonts w:ascii="Times New Roman" w:hAnsi="Times New Roman"/>
          <w:sz w:val="24"/>
        </w:rPr>
        <w:t xml:space="preserve">To identify when and why FLAME gains its advantage, FigureÂ 3 decomposes the per-generation Î”Î”HV â€” the change in mean hypervolume difference between FLAME and NSGA-II from one generation to the next. Bars are colored by the Pareto Contribution Rate (PCR) of LLM proposals in that generation. Generations with PCR above the median (red) tend to coincide with positive Î”Î”HV, indicating that generations in which the LLM produces relatively more Pareto-contributing solutions are also the generations that yield the greatest hypervolume gains. In contrast, below-median PCR generations (green) show smaller or negative increments, suggesting that low-quality LLM output does not meaningfully impede the evolutionary search but also fails to accelerate it.</w:t>
      </w:r>
    </w:p>
    <w:p xmlns:a="http://schemas.openxmlformats.org/drawingml/2006/main" xmlns:pic="http://schemas.openxmlformats.org/drawingml/2006/picture">
      <w:pPr>
        <w:jc w:val="center"/>
        <w:spacing w:before="80" w:after="80"/>
      </w:pPr>
      <w:r>
        <w:drawing>
          <wp:inline distT="0" distB="0" distL="0" distR="0">
            <wp:extent cx="5943600" cy="2161309"/>
            <wp:effectExtent l="0" t="0" r="0" b="0"/>
            <wp:docPr id="30" name="Figure3"/>
            <wp:cNvGraphicFramePr>
              <a:graphicFrameLocks noChangeAspect="1"/>
            </wp:cNvGraphicFramePr>
            <a:graphic>
              <a:graphicData uri="http://schemas.openxmlformats.org/drawingml/2006/picture">
                <pic:pic>
                  <pic:nvPicPr>
                    <pic:cNvPr id="30" name="delta_hv_incremental_everyg"/>
                    <pic:cNvPicPr/>
                  </pic:nvPicPr>
                  <pic:blipFill>
                    <a:blip r:embed="rIdDeltaHV"/>
                    <a:stretch>
                      <a:fillRect/>
                    </a:stretch>
                  </pic:blipFill>
                  <pic:spPr>
                    <a:xfrm>
                      <a:off x="0" y="0"/>
                      <a:ext cx="5943600" cy="2161309"/>
                    </a:xfrm>
                    <a:prstGeom prst="rect">
                      <a:avLst/>
                    </a:prstGeom>
                  </pic:spPr>
                </pic:pic>
              </a:graphicData>
            </a:graphic>
          </wp:inline>
        </w:drawing>
      </w:r>
    </w:p>
    <w:p>
      <w:pPr>
        <w:jc w:val="center"/>
        <w:spacing w:before="40" w:after="160"/>
      </w:pPr>
      <w:r>
        <w:rPr>
          <w:rFonts w:ascii="Times New Roman" w:hAnsi="Times New Roman"/>
          <w:sz w:val="24"/>
          <w:b/>
        </w:rPr>
        <w:t xml:space="preserve">Figure 3. </w:t>
      </w:r>
      <w:r>
        <w:rPr>
          <w:rFonts w:ascii="Times New Roman" w:hAnsi="Times New Roman"/>
          <w:sz w:val="24"/>
        </w:rPr>
        <w:t xml:space="preserve">Per-generation Î”Î”HV of FLAME relative to NSGA-II, averaged across 30 replicates. Each bar represents the change in mean Î”HV from the previous generation. Bar color indicates the Pareto Contribution Rate (PCR) of LLM proposals in that generation: red denotes PCRÂ â‰¥Â median, green denotes PCRÂ &lt;Â median. PCR is defined as the fraction of LLM-generated proposals that are both feasible and non-dominated per generation (median PCRÂ â‰ˆÂ 0.091, equivalent to â‰ˆ1.4 proposals per generation out of NÂ =Â 15).</w:t>
      </w:r>
    </w:p>
    <w:p>
      <w:pPr>
        <w:spacing w:before="0" w:after="160"/>
      </w:pPr>
      <w:r>
        <w:rPr>
          <w:rFonts w:ascii="Times New Roman" w:hAnsi="Times New Roman"/>
          <w:sz w:val="24"/>
        </w:rPr>
        <w:t xml:space="preserve">Taken together, FiguresÂ 1â€“3 demonstrate that FLAMEâ€™s hypervolume advantage is not attributable to a single generation or a uniform improvement throughout the run. Instead, it accumulates through sporadic but consequential contributions in generations where the LLM successfully generates feasible, non-dominated proposals. The overall mean PCR of approximately 0.091 (roughly 1.4 useful proposals per generation out of NÂ =Â 15) indicates that even a low proposal acceptance rate can drive meaningful population improvement when the accepted proposals are strategically positioned near the Pareto front. These findings motivate the selection of NÂ =Â 15 and the every-generation injection strategy, both of which are examined in detail in SectionsÂ 5.2 and 5.3.</w:t>
      </w:r>
    </w:p>
    <w:p>
      <w:pPr>
        <w:spacing w:before="0" w:after="80"/>
      </w:pPr>
    </w:p>
    <w:p>
      <w:pPr>
        <w:jc w:val="center"/>
        <w:spacing w:before="120" w:after="40"/>
      </w:pPr>
      <w:r>
        <w:rPr>
          <w:rFonts w:ascii="Times New Roman" w:hAnsi="Times New Roman"/>
          <w:sz w:val="24"/>
        </w:rPr>
        <w:t xml:space="preserve">TableÂ 1. Hypervolume comparison between NSGA-II and FLAME (NÂ =Â 15) across 30 paired replicates. HV is normalized with reference point (1,Â 1). Statistical test: two-sided Wilcoxon signed-rank test.</w:t>
      </w:r>
    </w:p>
    <w:tbl>
      <w:tblPr>
        <w:tblW w:w="9360" w:type="dxa"/>
        <w:tblInd w:w="0" w:type="dxa"/>
        <w:tblBorders>
          <w:top w:val="single" w:sz="4" w:color="000000"/>
          <w:bottom w:val="single" w:sz="4" w:color="000000"/>
          <w:left w:val="single" w:sz="4" w:color="000000"/>
          <w:right w:val="single" w:sz="4" w:color="000000"/>
          <w:insideH w:val="single" w:sz="4" w:color="000000"/>
          <w:insideV w:val="single" w:sz="4" w:color="000000"/>
        </w:tblBorders>
        <w:tblLook w:val="0400"/>
      </w:tblPr>
      <w:tblGrid>
        <w:gridCol w:w="3960"/>
        <w:gridCol w:w="2700"/>
        <w:gridCol w:w="2700"/>
      </w:tblGrid>
      <w:tr>
        <w:trPr>
          <w:tblHeader/>
        </w:trPr>
        <w:tc>
          <w:tcPr>
            <w:tcW w:w="3960" w:type="dxa"/>
            <w:shd w:val="clear" w:color="auto" w:fill="D9D9D9"/>
          </w:tcPr>
          <w:p>
            <w:pPr>
              <w:jc w:val="left"/>
              <w:spacing w:before="40" w:after="40"/>
            </w:pPr>
            <w:r>
              <w:rPr>
                <w:rFonts w:ascii="Times New Roman" w:hAnsi="Times New Roman"/>
                <w:sz w:val="20"/>
                <w:b/>
              </w:rPr>
              <w:t xml:space="preserve">Metric</w:t>
            </w:r>
          </w:p>
        </w:tc>
        <w:tc>
          <w:tcPr>
            <w:tcW w:w="2700" w:type="dxa"/>
            <w:shd w:val="clear" w:color="auto" w:fill="D9D9D9"/>
          </w:tcPr>
          <w:p>
            <w:pPr>
              <w:jc w:val="center"/>
              <w:spacing w:before="40" w:after="40"/>
            </w:pPr>
            <w:r>
              <w:rPr>
                <w:rFonts w:ascii="Times New Roman" w:hAnsi="Times New Roman"/>
                <w:sz w:val="20"/>
                <w:b/>
              </w:rPr>
              <w:t xml:space="preserve">NSGA-II</w:t>
            </w:r>
          </w:p>
        </w:tc>
        <w:tc>
          <w:tcPr>
            <w:tcW w:w="2700" w:type="dxa"/>
            <w:shd w:val="clear" w:color="auto" w:fill="D9D9D9"/>
          </w:tcPr>
          <w:p>
            <w:pPr>
              <w:jc w:val="center"/>
              <w:spacing w:before="40" w:after="40"/>
            </w:pPr>
            <w:r>
              <w:rPr>
                <w:rFonts w:ascii="Times New Roman" w:hAnsi="Times New Roman"/>
                <w:sz w:val="20"/>
                <w:b/>
              </w:rPr>
              <w:t xml:space="preserve">FLAME (NÂ =Â 15)</w:t>
            </w:r>
          </w:p>
        </w:tc>
      </w:tr>
      <w:tr>
        <w:tc>
          <w:tcPr>
            <w:tcW w:w="3960" w:type="dxa"/>
          </w:tcPr>
          <w:p>
            <w:pPr>
              <w:jc w:val="left"/>
              <w:spacing w:before="40" w:after="40"/>
            </w:pPr>
            <w:r>
              <w:rPr>
                <w:rFonts w:ascii="Times New Roman" w:hAnsi="Times New Roman"/>
                <w:sz w:val="20"/>
              </w:rPr>
              <w:t xml:space="preserve">Final HV (meanÂ Â±Â SD)</w:t>
            </w:r>
          </w:p>
        </w:tc>
        <w:tc>
          <w:tcPr>
            <w:tcW w:w="2700" w:type="dxa"/>
          </w:tcPr>
          <w:p>
            <w:pPr>
              <w:jc w:val="center"/>
              <w:spacing w:before="40" w:after="40"/>
            </w:pPr>
            <w:r>
              <w:rPr>
                <w:rFonts w:ascii="Times New Roman" w:hAnsi="Times New Roman"/>
                <w:sz w:val="20"/>
              </w:rPr>
              <w:t xml:space="preserve">0.780Â Â±Â 0.075</w:t>
            </w:r>
          </w:p>
        </w:tc>
        <w:tc>
          <w:tcPr>
            <w:tcW w:w="2700" w:type="dxa"/>
          </w:tcPr>
          <w:p>
            <w:pPr>
              <w:jc w:val="center"/>
              <w:spacing w:before="40" w:after="40"/>
            </w:pPr>
            <w:r>
              <w:rPr>
                <w:rFonts w:ascii="Times New Roman" w:hAnsi="Times New Roman"/>
                <w:sz w:val="20"/>
              </w:rPr>
              <w:t xml:space="preserve">0.862Â Â±Â 0.072</w:t>
            </w:r>
          </w:p>
        </w:tc>
      </w:tr>
      <w:tr>
        <w:tc>
          <w:tcPr>
            <w:tcW w:w="3960" w:type="dxa"/>
          </w:tcPr>
          <w:p>
            <w:pPr>
              <w:jc w:val="left"/>
              <w:spacing w:before="40" w:after="40"/>
            </w:pPr>
            <w:r>
              <w:rPr>
                <w:rFonts w:ascii="Times New Roman" w:hAnsi="Times New Roman"/>
                <w:sz w:val="20"/>
              </w:rPr>
              <w:t xml:space="preserve">Î”HV (meanÂ Â±Â SD)</w:t>
            </w:r>
          </w:p>
        </w:tc>
        <w:tc>
          <w:tcPr>
            <w:tcW w:w="2700" w:type="dxa"/>
          </w:tcPr>
          <w:p>
            <w:pPr>
              <w:jc w:val="center"/>
              <w:spacing w:before="40" w:after="40"/>
            </w:pPr>
            <w:r>
              <w:rPr>
                <w:rFonts w:ascii="Times New Roman" w:hAnsi="Times New Roman"/>
                <w:sz w:val="20"/>
              </w:rPr>
              <w:t xml:space="preserve">â€”</w:t>
            </w:r>
          </w:p>
        </w:tc>
        <w:tc>
          <w:tcPr>
            <w:tcW w:w="2700" w:type="dxa"/>
          </w:tcPr>
          <w:p>
            <w:pPr>
              <w:jc w:val="center"/>
              <w:spacing w:before="40" w:after="40"/>
            </w:pPr>
            <w:r>
              <w:rPr>
                <w:rFonts w:ascii="Times New Roman" w:hAnsi="Times New Roman"/>
                <w:sz w:val="20"/>
              </w:rPr>
              <w:t xml:space="preserve">+0.082Â Â±Â 0.089</w:t>
            </w:r>
          </w:p>
        </w:tc>
      </w:tr>
      <w:tr>
        <w:tc>
          <w:tcPr>
            <w:tcW w:w="3960" w:type="dxa"/>
          </w:tcPr>
          <w:p>
            <w:pPr>
              <w:jc w:val="left"/>
              <w:spacing w:before="40" w:after="40"/>
            </w:pPr>
            <w:r>
              <w:rPr>
                <w:rFonts w:ascii="Times New Roman" w:hAnsi="Times New Roman"/>
                <w:sz w:val="20"/>
              </w:rPr>
              <w:t xml:space="preserve">Replicates with Î”HVÂ &gt;Â 0</w:t>
            </w:r>
          </w:p>
        </w:tc>
        <w:tc>
          <w:tcPr>
            <w:tcW w:w="2700" w:type="dxa"/>
          </w:tcPr>
          <w:p>
            <w:pPr>
              <w:jc w:val="center"/>
              <w:spacing w:before="40" w:after="40"/>
            </w:pPr>
            <w:r>
              <w:rPr>
                <w:rFonts w:ascii="Times New Roman" w:hAnsi="Times New Roman"/>
                <w:sz w:val="20"/>
              </w:rPr>
              <w:t xml:space="preserve">â€”</w:t>
            </w:r>
          </w:p>
        </w:tc>
        <w:tc>
          <w:tcPr>
            <w:tcW w:w="2700" w:type="dxa"/>
          </w:tcPr>
          <w:p>
            <w:pPr>
              <w:jc w:val="center"/>
              <w:spacing w:before="40" w:after="40"/>
            </w:pPr>
            <w:r>
              <w:rPr>
                <w:rFonts w:ascii="Times New Roman" w:hAnsi="Times New Roman"/>
                <w:sz w:val="20"/>
              </w:rPr>
              <w:t xml:space="preserve">25/30Â (83.3%)</w:t>
            </w:r>
          </w:p>
        </w:tc>
      </w:tr>
      <w:tr>
        <w:tc>
          <w:tcPr>
            <w:tcW w:w="3960" w:type="dxa"/>
          </w:tcPr>
          <w:p>
            <w:pPr>
              <w:jc w:val="left"/>
              <w:spacing w:before="40" w:after="40"/>
            </w:pPr>
            <w:r>
              <w:rPr>
                <w:rFonts w:ascii="Times New Roman" w:hAnsi="Times New Roman"/>
                <w:sz w:val="20"/>
              </w:rPr>
              <w:t xml:space="preserve">Wilcoxon p-value</w:t>
            </w:r>
          </w:p>
        </w:tc>
        <w:tc>
          <w:tcPr>
            <w:tcW w:w="2700" w:type="dxa"/>
          </w:tcPr>
          <w:p>
            <w:pPr>
              <w:jc w:val="center"/>
              <w:spacing w:before="40" w:after="40"/>
            </w:pPr>
            <w:r>
              <w:rPr>
                <w:rFonts w:ascii="Times New Roman" w:hAnsi="Times New Roman"/>
                <w:sz w:val="20"/>
              </w:rPr>
              <w:t xml:space="preserve">â€”</w:t>
            </w:r>
          </w:p>
        </w:tc>
        <w:tc>
          <w:tcPr>
            <w:tcW w:w="2700" w:type="dxa"/>
          </w:tcPr>
          <w:p>
            <w:pPr>
              <w:jc w:val="center"/>
              <w:spacing w:before="40" w:after="40"/>
            </w:pPr>
            <w:r>
              <w:rPr>
                <w:rFonts w:ascii="Times New Roman" w:hAnsi="Times New Roman"/>
                <w:sz w:val="20"/>
              </w:rPr>
              <w:t xml:space="preserve">8.2Â Ã—Â 10â»âµ</w:t>
            </w:r>
          </w:p>
        </w:tc>
      </w:tr>
      <w:tr>
        <w:tc>
          <w:tcPr>
            <w:tcW w:w="3960" w:type="dxa"/>
          </w:tcPr>
          <w:p>
            <w:pPr>
              <w:jc w:val="left"/>
              <w:spacing w:before="40" w:after="40"/>
            </w:pPr>
            <w:r>
              <w:rPr>
                <w:rFonts w:ascii="Times New Roman" w:hAnsi="Times New Roman"/>
                <w:sz w:val="20"/>
              </w:rPr>
              <w:t xml:space="preserve">Cohenâ€™s d</w:t>
            </w:r>
          </w:p>
        </w:tc>
        <w:tc>
          <w:tcPr>
            <w:tcW w:w="2700" w:type="dxa"/>
          </w:tcPr>
          <w:p>
            <w:pPr>
              <w:jc w:val="center"/>
              <w:spacing w:before="40" w:after="40"/>
            </w:pPr>
            <w:r>
              <w:rPr>
                <w:rFonts w:ascii="Times New Roman" w:hAnsi="Times New Roman"/>
                <w:sz w:val="20"/>
              </w:rPr>
              <w:t xml:space="preserve">â€”</w:t>
            </w:r>
          </w:p>
        </w:tc>
        <w:tc>
          <w:tcPr>
            <w:tcW w:w="2700" w:type="dxa"/>
          </w:tcPr>
          <w:p>
            <w:pPr>
              <w:jc w:val="center"/>
              <w:spacing w:before="40" w:after="40"/>
            </w:pPr>
            <w:r>
              <w:rPr>
                <w:rFonts w:ascii="Times New Roman" w:hAnsi="Times New Roman"/>
                <w:sz w:val="20"/>
              </w:rPr>
              <w:t xml:space="preserve">0.920</w:t>
            </w:r>
          </w:p>
        </w:tc>
      </w:tr>
    </w:tbl>
    <w:p>
      <w:pPr>
        <w:spacing w:before="0" w:after="80"/>
      </w:pPr>
    </w:p>
    <w:p>
      <w:pPr>
        <w:spacing w:before="120" w:after="0"/>
      </w:pPr>
      <w:r>
        <w:rPr>
          <w:rFonts w:ascii="Times New Roman" w:hAnsi="Times New Roman"/>
          <w:sz w:val="24"/>
        </w:rPr>
        <w:t xml:space="preserve"/>
      </w:r>
    </w:p>
    <w:p>
      <w:pPr>
        <w:pStyle w:val="Heading2"/>
        <w:spacing w:before="240" w:after="80"/>
      </w:pPr>
      <w:r>
        <w:rPr>
          <w:rFonts w:ascii="Times New Roman" w:hAnsi="Times New Roman"/>
          <w:sz w:val="26"/>
          <w:b/>
        </w:rPr>
        <w:t xml:space="preserve">5.2 LLM Solution Quality over Generations</w:t>
      </w:r>
    </w:p>
    <w:p>
      <w:pPr>
        <w:spacing w:before="0" w:after="160"/>
      </w:pPr>
      <w:r>
        <w:rPr>
          <w:rFonts w:ascii="Times New Roman" w:hAnsi="Times New Roman"/>
          <w:sz w:val="24"/>
        </w:rPr>
        <w:t xml:space="preserve">Each generation, FLAME submits NÂ =Â 15 LLM-generated candidate mixes to the offspring pool. Each proposal is classified into one of three categories: U (useful) â€” feasible and non-dominated, meaning it lies on or extends the current Pareto front and directly contributes to hypervolume improvement; D (dominated) â€” feasible but strictly dominated by at least one existing solution; and I (infeasible) â€” violating one or more mix-design constraints. FigureÂ 4 shows the mean counts of U, D, and I proposals per generation, stacked and averaged across 30 replicates.</w:t>
      </w:r>
    </w:p>
    <w:p xmlns:a="http://schemas.openxmlformats.org/drawingml/2006/main" xmlns:pic="http://schemas.openxmlformats.org/drawingml/2006/picture">
      <w:pPr>
        <w:jc w:val="center"/>
        <w:spacing w:before="80" w:after="80"/>
      </w:pPr>
      <w:r>
        <w:drawing>
          <wp:inline distT="0" distB="0" distL="0" distR="0">
            <wp:extent cx="5943600" cy="2431527"/>
            <wp:effectExtent l="0" t="0" r="0" b="0"/>
            <wp:docPr id="40" name="Figure4"/>
            <wp:cNvGraphicFramePr>
              <a:graphicFrameLocks noChangeAspect="1"/>
            </wp:cNvGraphicFramePr>
            <a:graphic>
              <a:graphicData uri="http://schemas.openxmlformats.org/drawingml/2006/picture">
                <pic:pic>
                  <pic:nvPicPr>
                    <pic:cNvPr id="40" name="Figure4"/>
                    <pic:cNvPicPr/>
                  </pic:nvPicPr>
                  <pic:blipFill>
                    <a:blip r:embed="rIdStep2Area"/>
                    <a:stretch>
                      <a:fillRect/>
                    </a:stretch>
                  </pic:blipFill>
                  <pic:spPr>
                    <a:xfrm>
                      <a:off x="0" y="0"/>
                      <a:ext cx="5943600" cy="2431527"/>
                    </a:xfrm>
                    <a:prstGeom prst="rect">
                      <a:avLst/>
                    </a:prstGeom>
                  </pic:spPr>
                </pic:pic>
              </a:graphicData>
            </a:graphic>
          </wp:inline>
        </w:drawing>
      </w:r>
    </w:p>
    <w:p>
      <w:pPr>
        <w:jc w:val="center"/>
        <w:spacing w:before="40" w:after="160"/>
      </w:pPr>
      <w:r>
        <w:rPr>
          <w:rFonts w:ascii="Times New Roman" w:hAnsi="Times New Roman"/>
          <w:sz w:val="24"/>
          <w:b/>
        </w:rPr>
        <w:t xml:space="preserve">Figure 4. </w:t>
      </w:r>
      <w:r>
        <w:rPr>
          <w:rFonts w:ascii="Times New Roman" w:hAnsi="Times New Roman"/>
          <w:sz w:val="24"/>
        </w:rPr>
        <w:t xml:space="preserve">LLM proposal quality over 100 generations (NÂ =Â 15, 30 replicates). Each bar represents the mean number of proposals per generation, stacked by category: U (useful: feasible and non-dominated), D (dominated: feasible but dominated), and I (infeasible: constraint-violating). Total bar height equals NÂ =Â 15 at every generation.</w:t>
      </w:r>
    </w:p>
    <w:p>
      <w:pPr>
        <w:spacing w:before="0" w:after="160"/>
      </w:pPr>
      <w:r>
        <w:rPr>
          <w:rFonts w:ascii="Times New Roman" w:hAnsi="Times New Roman"/>
          <w:sz w:val="24"/>
        </w:rPr>
        <w:t xml:space="preserve">The stacked area reveals a consistent pattern: U proposals are most frequent in early generations (1â€“20), when the Pareto front is sparse and relatively easy to extend, then gradually decline as NSGA-II refines the front and the bar for improvement narrows. The I category remains non-negligible throughout, reflecting the difficulty of satisfying simultaneous ratio and volume constraints without explicit numerical optimization. The D category grows in later generations as the LLM generates feasible mixes that fail to surpass an increasingly competitive front.</w:t>
      </w:r>
    </w:p>
    <w:p>
      <w:pPr>
        <w:spacing w:before="120" w:after="40"/>
      </w:pPr>
      <w:r>
        <w:rPr>
          <w:rFonts w:ascii="Times New Roman" w:hAnsi="Times New Roman"/>
          <w:sz w:val="24"/>
        </w:rPr>
        <w:t xml:space="preserve">TableÂ 2. Pearson correlations between per-replicate LLM proposal quality metrics and final Î”HV (nÂ =Â 30 replicates).</w:t>
      </w:r>
    </w:p>
    <w:tbl>
      <w:tblPr>
        <w:tblW w:w="9360" w:type="dxa"/>
        <w:tblBorders>
          <w:top w:val="single" w:sz="4" w:color="000000"/>
          <w:bottom w:val="single" w:sz="4" w:color="000000"/>
          <w:left w:val="single" w:sz="4" w:color="000000"/>
          <w:right w:val="single" w:sz="4" w:color="000000"/>
          <w:insideH w:val="single" w:sz="4" w:color="000000"/>
          <w:insideV w:val="single" w:sz="4" w:color="000000"/>
        </w:tblBorders>
      </w:tblPr>
      <w:tblGrid>
        <w:gridCol w:w="5760"/>
        <w:gridCol w:w="1440"/>
        <w:gridCol w:w="2160"/>
      </w:tblGrid>
      <w:tr>
        <w:trPr>
          <w:tblHeader/>
        </w:trPr>
        <w:tc>
          <w:tcPr>
            <w:tcW w:w="5760" w:type="dxa"/>
            <w:shd w:val="clear" w:color="auto" w:fill="D9D9D9"/>
          </w:tcPr>
          <w:p>
            <w:pPr>
              <w:jc w:val="left"/>
              <w:spacing w:before="40" w:after="40"/>
            </w:pPr>
            <w:r>
              <w:rPr>
                <w:rFonts w:ascii="Times New Roman" w:hAnsi="Times New Roman"/>
                <w:sz w:val="20"/>
                <w:b/>
              </w:rPr>
              <w:t xml:space="preserve">Predictor</w:t>
            </w:r>
          </w:p>
        </w:tc>
        <w:tc>
          <w:tcPr>
            <w:tcW w:w="1440" w:type="dxa"/>
            <w:shd w:val="clear" w:color="auto" w:fill="D9D9D9"/>
          </w:tcPr>
          <w:p>
            <w:pPr>
              <w:jc w:val="center"/>
              <w:spacing w:before="40" w:after="40"/>
            </w:pPr>
            <w:r>
              <w:rPr>
                <w:rFonts w:ascii="Times New Roman" w:hAnsi="Times New Roman"/>
                <w:sz w:val="20"/>
                <w:b/>
              </w:rPr>
              <w:t xml:space="preserve">r</w:t>
            </w:r>
          </w:p>
        </w:tc>
        <w:tc>
          <w:tcPr>
            <w:tcW w:w="2160" w:type="dxa"/>
            <w:shd w:val="clear" w:color="auto" w:fill="D9D9D9"/>
          </w:tcPr>
          <w:p>
            <w:pPr>
              <w:jc w:val="center"/>
              <w:spacing w:before="40" w:after="40"/>
            </w:pPr>
            <w:r>
              <w:rPr>
                <w:rFonts w:ascii="Times New Roman" w:hAnsi="Times New Roman"/>
                <w:sz w:val="20"/>
                <w:b/>
              </w:rPr>
              <w:t xml:space="preserve">p</w:t>
            </w:r>
          </w:p>
        </w:tc>
      </w:tr>
      <w:tr>
        <w:tc>
          <w:tcPr>
            <w:tcW w:w="5760" w:type="dxa"/>
          </w:tcPr>
          <w:p>
            <w:pPr>
              <w:jc w:val="left"/>
              <w:spacing w:before="40" w:after="40"/>
            </w:pPr>
            <w:r>
              <w:rPr>
                <w:rFonts w:ascii="Times New Roman" w:hAnsi="Times New Roman"/>
                <w:sz w:val="20"/>
              </w:rPr>
              <w:t xml:space="preserve">Fraction of U proposals (non-dominated rate)</w:t>
            </w:r>
          </w:p>
        </w:tc>
        <w:tc>
          <w:tcPr>
            <w:tcW w:w="1440" w:type="dxa"/>
          </w:tcPr>
          <w:p>
            <w:pPr>
              <w:jc w:val="center"/>
              <w:spacing w:before="40" w:after="40"/>
            </w:pPr>
            <w:r>
              <w:rPr>
                <w:rFonts w:ascii="Times New Roman" w:hAnsi="Times New Roman"/>
                <w:sz w:val="20"/>
              </w:rPr>
              <w:t xml:space="preserve">+0.45</w:t>
            </w:r>
          </w:p>
        </w:tc>
        <w:tc>
          <w:tcPr>
            <w:tcW w:w="2160" w:type="dxa"/>
          </w:tcPr>
          <w:p>
            <w:pPr>
              <w:jc w:val="center"/>
              <w:spacing w:before="40" w:after="40"/>
            </w:pPr>
            <w:r>
              <w:rPr>
                <w:rFonts w:ascii="Times New Roman" w:hAnsi="Times New Roman"/>
                <w:sz w:val="20"/>
              </w:rPr>
              <w:t xml:space="preserve">0.013Â â˜…</w:t>
            </w:r>
          </w:p>
        </w:tc>
      </w:tr>
      <w:tr>
        <w:tc>
          <w:tcPr>
            <w:tcW w:w="5760" w:type="dxa"/>
          </w:tcPr>
          <w:p>
            <w:pPr>
              <w:jc w:val="left"/>
              <w:spacing w:before="40" w:after="40"/>
            </w:pPr>
            <w:r>
              <w:rPr>
                <w:rFonts w:ascii="Times New Roman" w:hAnsi="Times New Roman"/>
                <w:sz w:val="20"/>
              </w:rPr>
              <w:t xml:space="preserve">Fraction of UÂ +Â D proposals (feasibility rate)</w:t>
            </w:r>
          </w:p>
        </w:tc>
        <w:tc>
          <w:tcPr>
            <w:tcW w:w="1440" w:type="dxa"/>
          </w:tcPr>
          <w:p>
            <w:pPr>
              <w:jc w:val="center"/>
              <w:spacing w:before="40" w:after="40"/>
            </w:pPr>
            <w:r>
              <w:rPr>
                <w:rFonts w:ascii="Times New Roman" w:hAnsi="Times New Roman"/>
                <w:sz w:val="20"/>
              </w:rPr>
              <w:t xml:space="preserve">+0.05</w:t>
            </w:r>
          </w:p>
        </w:tc>
        <w:tc>
          <w:tcPr>
            <w:tcW w:w="2160" w:type="dxa"/>
          </w:tcPr>
          <w:p>
            <w:pPr>
              <w:jc w:val="center"/>
              <w:spacing w:before="40" w:after="40"/>
            </w:pPr>
            <w:r>
              <w:rPr>
                <w:rFonts w:ascii="Times New Roman" w:hAnsi="Times New Roman"/>
                <w:sz w:val="20"/>
              </w:rPr>
              <w:t xml:space="preserve">0.807</w:t>
            </w:r>
          </w:p>
        </w:tc>
      </w:tr>
    </w:tbl>
    <w:p>
      <w:pPr>
        <w:spacing w:before="0" w:after="80"/>
      </w:pPr>
      <w:r>
        <w:rPr>
          <w:rFonts w:ascii="Times New Roman" w:hAnsi="Times New Roman"/>
          <w:sz w:val="24"/>
        </w:rPr>
        <w:t xml:space="preserve"/>
      </w:r>
    </w:p>
    <w:p>
      <w:pPr>
        <w:spacing w:before="0" w:after="160"/>
      </w:pPr>
      <w:r>
        <w:rPr>
          <w:rFonts w:ascii="Times New Roman" w:hAnsi="Times New Roman"/>
          <w:sz w:val="24"/>
        </w:rPr>
        <w:t xml:space="preserve">The correlation analysis confirms that it is the â€˜qualityâ€™ of LLM proposals â€” specifically their ability to extend the Pareto front â€” rather than mere feasibility that drives FLAMEâ€™s hypervolume advantage. Replicates in which the LLM consistently produced non-dominated solutions (high U fraction) achieved significantly larger Î”HV gains (rÂ =Â +0.45, pÂ =Â 0.013), whereas feasibility alone showed no predictive power (rÂ =Â +0.05, pÂ =Â 0.807). This finding validates the design choice of embedding Pareto-front awareness directly into the LLM prompt via the Knowledge Table and elite solution examples.</w:t>
      </w:r>
    </w:p>
    <w:p>
      <w:pPr>
        <w:spacing w:before="120" w:after="0"/>
      </w:pPr>
      <w:r>
        <w:rPr>
          <w:rFonts w:ascii="Times New Roman" w:hAnsi="Times New Roman"/>
          <w:sz w:val="24"/>
        </w:rPr>
        <w:t xml:space="preserve"/>
      </w:r>
    </w:p>
    <w:p>
      <w:pPr>
        <w:spacing w:before="240" w:after="80"/>
      </w:pPr>
      <w:r>
        <w:rPr>
          <w:rFonts w:ascii="Times New Roman" w:hAnsi="Times New Roman"/>
          <w:sz w:val="26"/>
          <w:b/>
        </w:rPr>
        <w:t xml:space="preserve">5.3 Pareto Front Diversity</w:t>
      </w:r>
    </w:p>
    <w:p>
      <w:pPr>
        <w:spacing w:before="0" w:after="160"/>
      </w:pPr>
      <w:r>
        <w:rPr>
          <w:rFonts w:ascii="Times New Roman" w:hAnsi="Times New Roman"/>
          <w:sz w:val="24"/>
        </w:rPr>
        <w:t xml:space="preserve">Beyond hypervolume, a well-performing multi-objective optimizer should produce a Pareto front that is broadly distributed across the trade-off space, offering decision-makers a wide range of design options rather than a cluster of similar solutions. We quantify this using the mean pairwise Euclidean distance D between all solutions on the final Pareto front, computed in the normalized objective space [0,Â 1]Â²:</w:t>
      </w:r>
    </w:p>
    <w:p>
      <w:pPr>
        <w:jc w:val="center"/>
        <w:spacing w:before="80" w:after="80"/>
      </w:pPr>
      <w:r>
        <w:rPr>
          <w:rFonts w:ascii="Times New Roman" w:hAnsi="Times New Roman"/>
          <w:sz w:val="24"/>
          <w:i/>
        </w:rPr>
        <w:t xml:space="preserve">D = (2 / n(nâˆ’1)) Ã— Î£_{i&lt;j} â€– xÌƒ_i âˆ’ xÌƒ_j â€–â‚‚</w:t>
      </w:r>
    </w:p>
    <w:p>
      <w:pPr>
        <w:spacing w:before="0" w:after="160"/>
      </w:pPr>
      <w:r>
        <w:rPr>
          <w:rFonts w:ascii="Times New Roman" w:hAnsi="Times New Roman"/>
          <w:sz w:val="24"/>
        </w:rPr>
        <w:t xml:space="preserve">where xÌƒ_i = ((GWP_i âˆ’ 169) / (534.5 âˆ’ 169),  1 âˆ’ (str_i âˆ’ 17.4) / (106.1 âˆ’ 17.4)) maps each solution to [0,Â 1]Â² using the dataset-derived bounds. A larger D indicates solutions are spread more broadly across the GWPâ€“strength trade-off curve.</w:t>
      </w:r>
    </w:p>
    <w:p xmlns:a="http://schemas.openxmlformats.org/drawingml/2006/main" xmlns:pic="http://schemas.openxmlformats.org/drawingml/2006/picture">
      <w:pPr>
        <w:jc w:val="center"/>
        <w:spacing w:before="80" w:after="80"/>
      </w:pPr>
      <w:r>
        <w:drawing>
          <wp:inline distT="0" distB="0" distL="0" distR="0">
            <wp:extent cx="3200400" cy="2667000"/>
            <wp:effectExtent l="0" t="0" r="0" b="0"/>
            <wp:docPr id="50" name="Figure5"/>
            <wp:cNvGraphicFramePr>
              <a:graphicFrameLocks noChangeAspect="1"/>
            </wp:cNvGraphicFramePr>
            <a:graphic>
              <a:graphicData uri="http://schemas.openxmlformats.org/drawingml/2006/picture">
                <pic:pic>
                  <pic:nvPicPr>
                    <pic:cNvPr id="50" name="Figure5"/>
                    <pic:cNvPicPr/>
                  </pic:nvPicPr>
                  <pic:blipFill>
                    <a:blip r:embed="rIdStep3Div"/>
                    <a:stretch>
                      <a:fillRect/>
                    </a:stretch>
                  </pic:blipFill>
                  <pic:spPr>
                    <a:xfrm>
                      <a:off x="0" y="0"/>
                      <a:ext cx="3200400" cy="2667000"/>
                    </a:xfrm>
                    <a:prstGeom prst="rect">
                      <a:avLst/>
                    </a:prstGeom>
                  </pic:spPr>
                </pic:pic>
              </a:graphicData>
            </a:graphic>
          </wp:inline>
        </w:drawing>
      </w:r>
    </w:p>
    <w:p>
      <w:pPr>
        <w:jc w:val="center"/>
        <w:spacing w:before="40" w:after="160"/>
      </w:pPr>
      <w:r>
        <w:rPr>
          <w:rFonts w:ascii="Times New Roman" w:hAnsi="Times New Roman"/>
          <w:sz w:val="24"/>
          <w:b/>
        </w:rPr>
        <w:t xml:space="preserve">Figure 5. </w:t>
      </w:r>
      <w:r>
        <w:rPr>
          <w:rFonts w:ascii="Times New Roman" w:hAnsi="Times New Roman"/>
          <w:sz w:val="24"/>
        </w:rPr>
        <w:t xml:space="preserve">Pareto front diversity of NSGA-II and FLAME (NÂ =Â 15) across 30 paired replicates. Diversity D is defined as the mean pairwise Euclidean distance between all solutions on the final Pareto front in normalized objective space. Box plots show median, interquartile range, and whiskers at 1.5Ã—IQR; individual replicate values are overlaid as jittered dots.</w:t>
      </w:r>
    </w:p>
    <w:p>
      <w:pPr>
        <w:spacing w:before="0" w:after="160"/>
      </w:pPr>
      <w:r>
        <w:rPr>
          <w:rFonts w:ascii="Times New Roman" w:hAnsi="Times New Roman"/>
          <w:sz w:val="24"/>
        </w:rPr>
        <w:t xml:space="preserve">FigureÂ 5 shows the distribution of D across 30 paired replicates. FLAME achieves a mean diversity of 0.218Â Â±Â 0.035, compared to 0.174Â Â±Â 0.034 for NSGA-II, a relative improvement of 25.4% (Î”DÂ =Â +0.044). The difference is statistically significant (Wilcoxon signed-rank test, pÂ =Â 1.2Â Ã—Â 10â»âµ), with 83% of replicates showing higher diversity under FLAME. Notably, the diversity gain is strongly correlated with the hypervolume gain (rÂ =Â +0.680, pÂ &lt;Â 0.001), indicating that LLM augmentation simultaneously improves both the extent and the spread of the Pareto front. This is consistent with the LLMâ€™s ability to propose solutions in underexplored regions of the design space â€” particularly in the low-GWP and high-strength extremes â€” which NSGA-IIâ€™s crossover and mutation operators tend to miss when the initial population is concentrated in a narrow region.</w:t>
      </w:r>
    </w:p>
    <w:p>
      <w:pPr>
        <w:spacing w:before="120" w:after="0"/>
      </w:pPr>
      <w:r>
        <w:rPr>
          <w:rFonts w:ascii="Times New Roman" w:hAnsi="Times New Roman"/>
          <w:sz w:val="24"/>
        </w:rPr>
        <w:t xml:space="preserve"/>
      </w:r>
    </w:p>
    <w:p>
      <w:pPr>
        <w:spacing w:before="240" w:after="80"/>
      </w:pPr>
      <w:r>
        <w:rPr>
          <w:rFonts w:ascii="Times New Roman" w:hAnsi="Times New Roman"/>
          <w:sz w:val="26"/>
          <w:b/>
        </w:rPr>
        <w:t xml:space="preserve">5.4 Selection of N: Number of LLM Proposals per Generation</w:t>
      </w:r>
    </w:p>
    <w:p>
      <w:pPr>
        <w:spacing w:before="0" w:after="160"/>
      </w:pPr>
      <w:r>
        <w:rPr>
          <w:rFonts w:ascii="Times New Roman" w:hAnsi="Times New Roman"/>
          <w:sz w:val="24"/>
        </w:rPr>
        <w:t xml:space="preserve">The number of LLM proposals injected per generation, N, balances the influence of LLM-guided search against NSGA-IIâ€™s genetic operators. Too few proposals limit the LLMâ€™s contribution; too many risk crowding out genetic offspring and disrupting NSGA-IIâ€™s diversity-maintenance mechanism. To determine the optimal N, we conducted a sweep over NÂ âˆˆÂ {5, 10, 15, 20, 25}, each with 30 paired replicates under identical conditions. TableÂ 3 summarizes the results.</w:t>
      </w:r>
    </w:p>
    <w:p>
      <w:pPr>
        <w:spacing w:before="120" w:after="40"/>
      </w:pPr>
      <w:r>
        <w:rPr>
          <w:rFonts w:ascii="Times New Roman" w:hAnsi="Times New Roman"/>
          <w:sz w:val="24"/>
        </w:rPr>
        <w:t xml:space="preserve">TableÂ 3. N-sweep results: mean final HV, mean Î”HVÂ Â±Â SD, fraction of improved replicates, and one-sided Wilcoxon p-value for NÂ âˆˆÂ {5, 10, 15, 20, 25} (30 paired replicates each). NSGA-II baseline mean HVÂ =Â 0.780Â Â±Â 0.075.</w:t>
      </w:r>
    </w:p>
    <w:tbl>
      <w:tblPr>
        <w:tblW w:w="9360" w:type="dxa"/>
        <w:tblBorders>
          <w:top w:val="single" w:sz="4" w:color="000000"/>
          <w:bottom w:val="single" w:sz="4" w:color="000000"/>
          <w:left w:val="single" w:sz="4" w:color="000000"/>
          <w:right w:val="single" w:sz="4" w:color="000000"/>
          <w:insideH w:val="single" w:sz="4" w:color="000000"/>
          <w:insideV w:val="single" w:sz="4" w:color="000000"/>
        </w:tblBorders>
      </w:tblPr>
      <w:tblGrid>
        <w:gridCol w:w="1080"/>
        <w:gridCol w:w="2160"/>
        <w:gridCol w:w="2520"/>
        <w:gridCol w:w="1800"/>
        <w:gridCol w:w="1800"/>
      </w:tblGrid>
      <w:tr>
        <w:trPr>
          <w:tblHeader/>
        </w:trPr>
        <w:tc>
          <w:tcPr>
            <w:tcW w:w="1080" w:type="dxa"/>
            <w:shd w:val="clear" w:color="auto" w:fill="D9D9D9"/>
          </w:tcPr>
          <w:p>
            <w:pPr>
              <w:jc w:val="center"/>
              <w:spacing w:before="40" w:after="40"/>
            </w:pPr>
            <w:r>
              <w:rPr>
                <w:rFonts w:ascii="Times New Roman" w:hAnsi="Times New Roman"/>
                <w:sz w:val="20"/>
                <w:b/>
              </w:rPr>
              <w:t xml:space="preserve">N</w:t>
            </w:r>
          </w:p>
        </w:tc>
        <w:tc>
          <w:tcPr>
            <w:tcW w:w="2160" w:type="dxa"/>
            <w:shd w:val="clear" w:color="auto" w:fill="D9D9D9"/>
          </w:tcPr>
          <w:p>
            <w:pPr>
              <w:jc w:val="center"/>
              <w:spacing w:before="40" w:after="40"/>
            </w:pPr>
            <w:r>
              <w:rPr>
                <w:rFonts w:ascii="Times New Roman" w:hAnsi="Times New Roman"/>
                <w:sz w:val="20"/>
                <w:b/>
              </w:rPr>
              <w:t xml:space="preserve">Mean HV</w:t>
            </w:r>
          </w:p>
        </w:tc>
        <w:tc>
          <w:tcPr>
            <w:tcW w:w="2520" w:type="dxa"/>
            <w:shd w:val="clear" w:color="auto" w:fill="D9D9D9"/>
          </w:tcPr>
          <w:p>
            <w:pPr>
              <w:jc w:val="center"/>
              <w:spacing w:before="40" w:after="40"/>
            </w:pPr>
            <w:r>
              <w:rPr>
                <w:rFonts w:ascii="Times New Roman" w:hAnsi="Times New Roman"/>
                <w:sz w:val="20"/>
                <w:b/>
              </w:rPr>
              <w:t xml:space="preserve">Î”HV (meanÂ Â±Â SD)</w:t>
            </w:r>
          </w:p>
        </w:tc>
        <w:tc>
          <w:tcPr>
            <w:tcW w:w="1800" w:type="dxa"/>
            <w:shd w:val="clear" w:color="auto" w:fill="D9D9D9"/>
          </w:tcPr>
          <w:p>
            <w:pPr>
              <w:jc w:val="center"/>
              <w:spacing w:before="40" w:after="40"/>
            </w:pPr>
            <w:r>
              <w:rPr>
                <w:rFonts w:ascii="Times New Roman" w:hAnsi="Times New Roman"/>
                <w:sz w:val="20"/>
                <w:b/>
              </w:rPr>
              <w:t xml:space="preserve">Improved</w:t>
            </w:r>
          </w:p>
        </w:tc>
        <w:tc>
          <w:tcPr>
            <w:tcW w:w="1800" w:type="dxa"/>
            <w:shd w:val="clear" w:color="auto" w:fill="D9D9D9"/>
          </w:tcPr>
          <w:p>
            <w:pPr>
              <w:jc w:val="center"/>
              <w:spacing w:before="40" w:after="40"/>
            </w:pPr>
            <w:r>
              <w:rPr>
                <w:rFonts w:ascii="Times New Roman" w:hAnsi="Times New Roman"/>
                <w:sz w:val="20"/>
                <w:b/>
              </w:rPr>
              <w:t xml:space="preserve">p (one-sided)</w:t>
            </w:r>
          </w:p>
        </w:tc>
      </w:tr>
      <w:tr>
        <w:tc>
          <w:tcPr>
            <w:tcW w:w="1080" w:type="dxa"/>
          </w:tcPr>
          <w:p>
            <w:pPr>
              <w:jc w:val="center"/>
              <w:spacing w:before="40" w:after="40"/>
            </w:pPr>
            <w:r>
              <w:rPr>
                <w:rFonts w:ascii="Times New Roman" w:hAnsi="Times New Roman"/>
                <w:sz w:val="20"/>
              </w:rPr>
              <w:t xml:space="preserve">5</w:t>
            </w:r>
          </w:p>
        </w:tc>
        <w:tc>
          <w:tcPr>
            <w:tcW w:w="2160" w:type="dxa"/>
          </w:tcPr>
          <w:p>
            <w:pPr>
              <w:jc w:val="center"/>
              <w:spacing w:before="40" w:after="40"/>
            </w:pPr>
            <w:r>
              <w:rPr>
                <w:rFonts w:ascii="Times New Roman" w:hAnsi="Times New Roman"/>
                <w:sz w:val="20"/>
              </w:rPr>
              <w:t xml:space="preserve">0.826</w:t>
            </w:r>
          </w:p>
        </w:tc>
        <w:tc>
          <w:tcPr>
            <w:tcW w:w="2520" w:type="dxa"/>
          </w:tcPr>
          <w:p>
            <w:pPr>
              <w:jc w:val="center"/>
              <w:spacing w:before="40" w:after="40"/>
            </w:pPr>
            <w:r>
              <w:rPr>
                <w:rFonts w:ascii="Times New Roman" w:hAnsi="Times New Roman"/>
                <w:sz w:val="20"/>
              </w:rPr>
              <w:t xml:space="preserve">+0.046Â Â±Â 0.079</w:t>
            </w:r>
          </w:p>
        </w:tc>
        <w:tc>
          <w:tcPr>
            <w:tcW w:w="1800" w:type="dxa"/>
          </w:tcPr>
          <w:p>
            <w:pPr>
              <w:jc w:val="center"/>
              <w:spacing w:before="40" w:after="40"/>
            </w:pPr>
            <w:r>
              <w:rPr>
                <w:rFonts w:ascii="Times New Roman" w:hAnsi="Times New Roman"/>
                <w:sz w:val="20"/>
              </w:rPr>
              <w:t xml:space="preserve">76%</w:t>
            </w:r>
          </w:p>
        </w:tc>
        <w:tc>
          <w:tcPr>
            <w:tcW w:w="1800" w:type="dxa"/>
          </w:tcPr>
          <w:p>
            <w:pPr>
              <w:jc w:val="center"/>
              <w:spacing w:before="40" w:after="40"/>
            </w:pPr>
            <w:r>
              <w:rPr>
                <w:rFonts w:ascii="Times New Roman" w:hAnsi="Times New Roman"/>
                <w:sz w:val="20"/>
              </w:rPr>
              <w:t xml:space="preserve">pÂ = 0.001</w:t>
            </w:r>
          </w:p>
        </w:tc>
      </w:tr>
      <w:tr>
        <w:tc>
          <w:tcPr>
            <w:tcW w:w="1080" w:type="dxa"/>
          </w:tcPr>
          <w:p>
            <w:pPr>
              <w:jc w:val="center"/>
              <w:spacing w:before="40" w:after="40"/>
            </w:pPr>
            <w:r>
              <w:rPr>
                <w:rFonts w:ascii="Times New Roman" w:hAnsi="Times New Roman"/>
                <w:sz w:val="20"/>
              </w:rPr>
              <w:t xml:space="preserve">10</w:t>
            </w:r>
          </w:p>
        </w:tc>
        <w:tc>
          <w:tcPr>
            <w:tcW w:w="2160" w:type="dxa"/>
          </w:tcPr>
          <w:p>
            <w:pPr>
              <w:jc w:val="center"/>
              <w:spacing w:before="40" w:after="40"/>
            </w:pPr>
            <w:r>
              <w:rPr>
                <w:rFonts w:ascii="Times New Roman" w:hAnsi="Times New Roman"/>
                <w:sz w:val="20"/>
              </w:rPr>
              <w:t xml:space="preserve">0.828</w:t>
            </w:r>
          </w:p>
        </w:tc>
        <w:tc>
          <w:tcPr>
            <w:tcW w:w="2520" w:type="dxa"/>
          </w:tcPr>
          <w:p>
            <w:pPr>
              <w:jc w:val="center"/>
              <w:spacing w:before="40" w:after="40"/>
            </w:pPr>
            <w:r>
              <w:rPr>
                <w:rFonts w:ascii="Times New Roman" w:hAnsi="Times New Roman"/>
                <w:sz w:val="20"/>
              </w:rPr>
              <w:t xml:space="preserve">+0.048Â Â±Â 0.082</w:t>
            </w:r>
          </w:p>
        </w:tc>
        <w:tc>
          <w:tcPr>
            <w:tcW w:w="1800" w:type="dxa"/>
          </w:tcPr>
          <w:p>
            <w:pPr>
              <w:jc w:val="center"/>
              <w:spacing w:before="40" w:after="40"/>
            </w:pPr>
            <w:r>
              <w:rPr>
                <w:rFonts w:ascii="Times New Roman" w:hAnsi="Times New Roman"/>
                <w:sz w:val="20"/>
              </w:rPr>
              <w:t xml:space="preserve">70%</w:t>
            </w:r>
          </w:p>
        </w:tc>
        <w:tc>
          <w:tcPr>
            <w:tcW w:w="1800" w:type="dxa"/>
          </w:tcPr>
          <w:p>
            <w:pPr>
              <w:jc w:val="center"/>
              <w:spacing w:before="40" w:after="40"/>
            </w:pPr>
            <w:r>
              <w:rPr>
                <w:rFonts w:ascii="Times New Roman" w:hAnsi="Times New Roman"/>
                <w:sz w:val="20"/>
              </w:rPr>
              <w:t xml:space="preserve">pÂ = 0.004</w:t>
            </w:r>
          </w:p>
        </w:tc>
      </w:tr>
      <w:tr>
        <w:tc>
          <w:tcPr>
            <w:tcW w:w="1080" w:type="dxa"/>
          </w:tcPr>
          <w:p>
            <w:pPr>
              <w:jc w:val="center"/>
              <w:spacing w:before="40" w:after="40"/>
            </w:pPr>
            <w:r>
              <w:rPr>
                <w:rFonts w:ascii="Times New Roman" w:hAnsi="Times New Roman"/>
                <w:sz w:val="20"/>
                <w:b/>
              </w:rPr>
              <w:t xml:space="preserve">15</w:t>
            </w:r>
          </w:p>
        </w:tc>
        <w:tc>
          <w:tcPr>
            <w:tcW w:w="2160" w:type="dxa"/>
          </w:tcPr>
          <w:p>
            <w:pPr>
              <w:jc w:val="center"/>
              <w:spacing w:before="40" w:after="40"/>
            </w:pPr>
            <w:r>
              <w:rPr>
                <w:rFonts w:ascii="Times New Roman" w:hAnsi="Times New Roman"/>
                <w:sz w:val="20"/>
                <w:b/>
              </w:rPr>
              <w:t xml:space="preserve">0.862</w:t>
            </w:r>
          </w:p>
        </w:tc>
        <w:tc>
          <w:tcPr>
            <w:tcW w:w="2520" w:type="dxa"/>
          </w:tcPr>
          <w:p>
            <w:pPr>
              <w:jc w:val="center"/>
              <w:spacing w:before="40" w:after="40"/>
            </w:pPr>
            <w:r>
              <w:rPr>
                <w:rFonts w:ascii="Times New Roman" w:hAnsi="Times New Roman"/>
                <w:sz w:val="20"/>
                <w:b/>
              </w:rPr>
              <w:t xml:space="preserve">+0.082Â Â±Â 0.089</w:t>
            </w:r>
          </w:p>
        </w:tc>
        <w:tc>
          <w:tcPr>
            <w:tcW w:w="1800" w:type="dxa"/>
          </w:tcPr>
          <w:p>
            <w:pPr>
              <w:jc w:val="center"/>
              <w:spacing w:before="40" w:after="40"/>
            </w:pPr>
            <w:r>
              <w:rPr>
                <w:rFonts w:ascii="Times New Roman" w:hAnsi="Times New Roman"/>
                <w:sz w:val="20"/>
                <w:b/>
              </w:rPr>
              <w:t xml:space="preserve">83%</w:t>
            </w:r>
          </w:p>
        </w:tc>
        <w:tc>
          <w:tcPr>
            <w:tcW w:w="1800" w:type="dxa"/>
          </w:tcPr>
          <w:p>
            <w:pPr>
              <w:jc w:val="center"/>
              <w:spacing w:before="40" w:after="40"/>
            </w:pPr>
            <w:r>
              <w:rPr>
                <w:rFonts w:ascii="Times New Roman" w:hAnsi="Times New Roman"/>
                <w:sz w:val="20"/>
                <w:b/>
              </w:rPr>
              <w:t xml:space="preserve">pÂ &lt; 0.001</w:t>
            </w:r>
          </w:p>
        </w:tc>
      </w:tr>
      <w:tr>
        <w:tc>
          <w:tcPr>
            <w:tcW w:w="1080" w:type="dxa"/>
          </w:tcPr>
          <w:p>
            <w:pPr>
              <w:jc w:val="center"/>
              <w:spacing w:before="40" w:after="40"/>
            </w:pPr>
            <w:r>
              <w:rPr>
                <w:rFonts w:ascii="Times New Roman" w:hAnsi="Times New Roman"/>
                <w:sz w:val="20"/>
              </w:rPr>
              <w:t xml:space="preserve">20</w:t>
            </w:r>
          </w:p>
        </w:tc>
        <w:tc>
          <w:tcPr>
            <w:tcW w:w="2160" w:type="dxa"/>
          </w:tcPr>
          <w:p>
            <w:pPr>
              <w:jc w:val="center"/>
              <w:spacing w:before="40" w:after="40"/>
            </w:pPr>
            <w:r>
              <w:rPr>
                <w:rFonts w:ascii="Times New Roman" w:hAnsi="Times New Roman"/>
                <w:sz w:val="20"/>
              </w:rPr>
              <w:t xml:space="preserve">0.813</w:t>
            </w:r>
          </w:p>
        </w:tc>
        <w:tc>
          <w:tcPr>
            <w:tcW w:w="2520" w:type="dxa"/>
          </w:tcPr>
          <w:p>
            <w:pPr>
              <w:jc w:val="center"/>
              <w:spacing w:before="40" w:after="40"/>
            </w:pPr>
            <w:r>
              <w:rPr>
                <w:rFonts w:ascii="Times New Roman" w:hAnsi="Times New Roman"/>
                <w:sz w:val="20"/>
              </w:rPr>
              <w:t xml:space="preserve">+0.034Â Â±Â 0.107</w:t>
            </w:r>
          </w:p>
        </w:tc>
        <w:tc>
          <w:tcPr>
            <w:tcW w:w="1800" w:type="dxa"/>
          </w:tcPr>
          <w:p>
            <w:pPr>
              <w:jc w:val="center"/>
              <w:spacing w:before="40" w:after="40"/>
            </w:pPr>
            <w:r>
              <w:rPr>
                <w:rFonts w:ascii="Times New Roman" w:hAnsi="Times New Roman"/>
                <w:sz w:val="20"/>
              </w:rPr>
              <w:t xml:space="preserve">66%</w:t>
            </w:r>
          </w:p>
        </w:tc>
        <w:tc>
          <w:tcPr>
            <w:tcW w:w="1800" w:type="dxa"/>
          </w:tcPr>
          <w:p>
            <w:pPr>
              <w:jc w:val="center"/>
              <w:spacing w:before="40" w:after="40"/>
            </w:pPr>
            <w:r>
              <w:rPr>
                <w:rFonts w:ascii="Times New Roman" w:hAnsi="Times New Roman"/>
                <w:sz w:val="20"/>
              </w:rPr>
              <w:t xml:space="preserve">pÂ = 0.029</w:t>
            </w:r>
          </w:p>
        </w:tc>
      </w:tr>
      <w:tr>
        <w:tc>
          <w:tcPr>
            <w:tcW w:w="1080" w:type="dxa"/>
          </w:tcPr>
          <w:p>
            <w:pPr>
              <w:jc w:val="center"/>
              <w:spacing w:before="40" w:after="40"/>
            </w:pPr>
            <w:r>
              <w:rPr>
                <w:rFonts w:ascii="Times New Roman" w:hAnsi="Times New Roman"/>
                <w:sz w:val="20"/>
              </w:rPr>
              <w:t xml:space="preserve">25</w:t>
            </w:r>
          </w:p>
        </w:tc>
        <w:tc>
          <w:tcPr>
            <w:tcW w:w="2160" w:type="dxa"/>
          </w:tcPr>
          <w:p>
            <w:pPr>
              <w:jc w:val="center"/>
              <w:spacing w:before="40" w:after="40"/>
            </w:pPr>
            <w:r>
              <w:rPr>
                <w:rFonts w:ascii="Times New Roman" w:hAnsi="Times New Roman"/>
                <w:sz w:val="20"/>
              </w:rPr>
              <w:t xml:space="preserve">0.842</w:t>
            </w:r>
          </w:p>
        </w:tc>
        <w:tc>
          <w:tcPr>
            <w:tcW w:w="2520" w:type="dxa"/>
          </w:tcPr>
          <w:p>
            <w:pPr>
              <w:jc w:val="center"/>
              <w:spacing w:before="40" w:after="40"/>
            </w:pPr>
            <w:r>
              <w:rPr>
                <w:rFonts w:ascii="Times New Roman" w:hAnsi="Times New Roman"/>
                <w:sz w:val="20"/>
              </w:rPr>
              <w:t xml:space="preserve">+0.062Â Â±Â 0.095</w:t>
            </w:r>
          </w:p>
        </w:tc>
        <w:tc>
          <w:tcPr>
            <w:tcW w:w="1800" w:type="dxa"/>
          </w:tcPr>
          <w:p>
            <w:pPr>
              <w:jc w:val="center"/>
              <w:spacing w:before="40" w:after="40"/>
            </w:pPr>
            <w:r>
              <w:rPr>
                <w:rFonts w:ascii="Times New Roman" w:hAnsi="Times New Roman"/>
                <w:sz w:val="20"/>
              </w:rPr>
              <w:t xml:space="preserve">70%</w:t>
            </w:r>
          </w:p>
        </w:tc>
        <w:tc>
          <w:tcPr>
            <w:tcW w:w="1800" w:type="dxa"/>
          </w:tcPr>
          <w:p>
            <w:pPr>
              <w:jc w:val="center"/>
              <w:spacing w:before="40" w:after="40"/>
            </w:pPr>
            <w:r>
              <w:rPr>
                <w:rFonts w:ascii="Times New Roman" w:hAnsi="Times New Roman"/>
                <w:sz w:val="20"/>
              </w:rPr>
              <w:t xml:space="preserve">pÂ &lt; 0.001</w:t>
            </w:r>
          </w:p>
        </w:tc>
      </w:tr>
    </w:tbl>
    <w:p>
      <w:pPr>
        <w:spacing w:before="0" w:after="80"/>
      </w:pPr>
      <w:r>
        <w:rPr>
          <w:rFonts w:ascii="Times New Roman" w:hAnsi="Times New Roman"/>
          <w:sz w:val="24"/>
        </w:rPr>
        <w:t xml:space="preserve"/>
      </w:r>
    </w:p>
    <w:p>
      <w:pPr>
        <w:spacing w:before="0" w:after="160"/>
      </w:pPr>
      <w:r>
        <w:rPr>
          <w:rFonts w:ascii="Times New Roman" w:hAnsi="Times New Roman"/>
          <w:sz w:val="24"/>
        </w:rPr>
        <w:t xml:space="preserve">NÂ =Â 15 achieves the highest mean Î”HV (+0.082) and the highest fraction of improved replicates (83%), making it the optimal choice. The dip at NÂ =Â 20 is notable: despite a slightly lower infeasibility rate, injecting 20 proposals into a population of 50 means that LLM solutions constitute 40% of the offspring pool each generation. In augment mode, this larger batch floods the pool with feasible-but-dominated solutions that compete with genetic offspring for survival under NSGA-IIâ€™s crowding-distance selection, inadvertently reducing genetic diversity. NÂ =Â 25 partially recovers but at higher variance. These results confirm that NÂ =Â 15 â€” approximately 30% of the offspring pool â€” strikes the optimal balance between LLM guidance and evolutionary exploration.</w:t>
      </w:r>
    </w:p>
    <w:p>
      <w:pPr>
        <w:spacing w:before="120" w:after="0"/>
      </w:pPr>
      <w:r>
        <w:rPr>
          <w:rFonts w:ascii="Times New Roman" w:hAnsi="Times New Roman"/>
          <w:sz w:val="24"/>
        </w:rPr>
        <w:t xml:space="preserve"/>
      </w:r>
    </w:p>
    <w:p>
      <w:pPr>
        <w:spacing w:before="240" w:after="80"/>
      </w:pPr>
      <w:r>
        <w:rPr>
          <w:rFonts w:ascii="Times New Roman" w:hAnsi="Times New Roman"/>
          <w:sz w:val="26"/>
          <w:b/>
        </w:rPr>
        <w:t xml:space="preserve">5.5 Method Comparison</w:t>
      </w:r>
    </w:p>
    <w:p>
      <w:pPr>
        <w:spacing w:before="0" w:after="160"/>
      </w:pPr>
      <w:r>
        <w:rPr>
          <w:rFonts w:ascii="Times New Roman" w:hAnsi="Times New Roman"/>
          <w:sz w:val="24"/>
        </w:rPr>
        <w:t xml:space="preserve">To isolate the contribution of FLAMEâ€™s augment-mode injection strategy, we compare four methods at NÂ =Â 15 across 30 paired replicates: NSGA-II (pure evolutionary baseline), Pure LLM (LLM-only generation without evolutionary operators), Luâ€™s method (LLM solutions replace an equal number of NSGA-II offspring before selection, following Lu etÂ al. [REF]), and FLAME (LLM solutions augment the offspring pool alongside genetic offspring). TableÂ 4 summarizes the final hypervolume for each method.</w:t>
      </w:r>
    </w:p>
    <w:p>
      <w:pPr>
        <w:spacing w:before="120" w:after="40"/>
      </w:pPr>
      <w:r>
        <w:rPr>
          <w:rFonts w:ascii="Times New Roman" w:hAnsi="Times New Roman"/>
          <w:sz w:val="24"/>
        </w:rPr>
        <w:t xml:space="preserve">TableÂ 4. Method comparison at NÂ =Â 15 across 30 paired replicates. Î”HV is computed relative to NSGA-II. Wilcoxon signed-rank test (two-sided). Diversity D: mean pairwise Euclidean distance in normalized objective space.</w:t>
      </w:r>
    </w:p>
    <w:tbl>
      <w:tblPr>
        <w:tblW w:w="9360" w:type="dxa"/>
        <w:tblBorders>
          <w:top w:val="single" w:sz="4" w:color="000000"/>
          <w:bottom w:val="single" w:sz="4" w:color="000000"/>
          <w:left w:val="single" w:sz="4" w:color="000000"/>
          <w:right w:val="single" w:sz="4" w:color="000000"/>
          <w:insideH w:val="single" w:sz="4" w:color="000000"/>
          <w:insideV w:val="single" w:sz="4" w:color="000000"/>
        </w:tblBorders>
      </w:tblPr>
      <w:tblGrid>
        <w:gridCol w:w="2160"/>
        <w:gridCol w:w="1440"/>
        <w:gridCol w:w="1440"/>
        <w:gridCol w:w="1200"/>
        <w:gridCol w:w="1440"/>
        <w:gridCol w:w="1680"/>
      </w:tblGrid>
      <w:tr>
        <w:trPr>
          <w:tblHeader/>
        </w:trPr>
        <w:tc>
          <w:tcPr>
            <w:tcW w:w="2160" w:type="dxa"/>
            <w:shd w:val="clear" w:color="auto" w:fill="D9D9D9"/>
          </w:tcPr>
          <w:p>
            <w:pPr>
              <w:jc w:val="left"/>
              <w:spacing w:before="40" w:after="40"/>
            </w:pPr>
            <w:r>
              <w:rPr>
                <w:rFonts w:ascii="Times New Roman" w:hAnsi="Times New Roman"/>
                <w:sz w:val="20"/>
                <w:b/>
              </w:rPr>
              <w:t xml:space="preserve">Method</w:t>
            </w:r>
          </w:p>
        </w:tc>
        <w:tc>
          <w:tcPr>
            <w:tcW w:w="1440" w:type="dxa"/>
            <w:shd w:val="clear" w:color="auto" w:fill="D9D9D9"/>
          </w:tcPr>
          <w:p>
            <w:pPr>
              <w:jc w:val="center"/>
              <w:spacing w:before="40" w:after="40"/>
            </w:pPr>
            <w:r>
              <w:rPr>
                <w:rFonts w:ascii="Times New Roman" w:hAnsi="Times New Roman"/>
                <w:sz w:val="20"/>
                <w:b/>
              </w:rPr>
              <w:t xml:space="preserve">Mean HV</w:t>
            </w:r>
          </w:p>
        </w:tc>
        <w:tc>
          <w:tcPr>
            <w:tcW w:w="1440" w:type="dxa"/>
            <w:shd w:val="clear" w:color="auto" w:fill="D9D9D9"/>
          </w:tcPr>
          <w:p>
            <w:pPr>
              <w:jc w:val="center"/>
              <w:spacing w:before="40" w:after="40"/>
            </w:pPr>
            <w:r>
              <w:rPr>
                <w:rFonts w:ascii="Times New Roman" w:hAnsi="Times New Roman"/>
                <w:sz w:val="20"/>
                <w:b/>
              </w:rPr>
              <w:t xml:space="preserve">Î”HV</w:t>
            </w:r>
          </w:p>
        </w:tc>
        <w:tc>
          <w:tcPr>
            <w:tcW w:w="1200" w:type="dxa"/>
            <w:shd w:val="clear" w:color="auto" w:fill="D9D9D9"/>
          </w:tcPr>
          <w:p>
            <w:pPr>
              <w:jc w:val="center"/>
              <w:spacing w:before="40" w:after="40"/>
            </w:pPr>
            <w:r>
              <w:rPr>
                <w:rFonts w:ascii="Times New Roman" w:hAnsi="Times New Roman"/>
                <w:sz w:val="20"/>
                <w:b/>
              </w:rPr>
              <w:t xml:space="preserve">Improved</w:t>
            </w:r>
          </w:p>
        </w:tc>
        <w:tc>
          <w:tcPr>
            <w:tcW w:w="1440" w:type="dxa"/>
            <w:shd w:val="clear" w:color="auto" w:fill="D9D9D9"/>
          </w:tcPr>
          <w:p>
            <w:pPr>
              <w:jc w:val="center"/>
              <w:spacing w:before="40" w:after="40"/>
            </w:pPr>
            <w:r>
              <w:rPr>
                <w:rFonts w:ascii="Times New Roman" w:hAnsi="Times New Roman"/>
                <w:sz w:val="20"/>
                <w:b/>
              </w:rPr>
              <w:t xml:space="preserve">p</w:t>
            </w:r>
          </w:p>
        </w:tc>
        <w:tc>
          <w:tcPr>
            <w:tcW w:w="1680" w:type="dxa"/>
            <w:shd w:val="clear" w:color="auto" w:fill="D9D9D9"/>
          </w:tcPr>
          <w:p>
            <w:pPr>
              <w:jc w:val="center"/>
              <w:spacing w:before="40" w:after="40"/>
            </w:pPr>
            <w:r>
              <w:rPr>
                <w:rFonts w:ascii="Times New Roman" w:hAnsi="Times New Roman"/>
                <w:sz w:val="20"/>
                <w:b/>
              </w:rPr>
              <w:t xml:space="preserve">Diversity D</w:t>
            </w:r>
          </w:p>
        </w:tc>
      </w:tr>
      <w:tr>
        <w:tc>
          <w:tcPr>
            <w:tcW w:w="2160" w:type="dxa"/>
          </w:tcPr>
          <w:p>
            <w:pPr>
              <w:jc w:val="left"/>
              <w:spacing w:before="40" w:after="40"/>
            </w:pPr>
            <w:r>
              <w:rPr>
                <w:rFonts w:ascii="Times New Roman" w:hAnsi="Times New Roman"/>
                <w:sz w:val="20"/>
              </w:rPr>
              <w:t xml:space="preserve">NSGA-II</w:t>
            </w:r>
          </w:p>
        </w:tc>
        <w:tc>
          <w:tcPr>
            <w:tcW w:w="1440" w:type="dxa"/>
          </w:tcPr>
          <w:p>
            <w:pPr>
              <w:jc w:val="center"/>
              <w:spacing w:before="40" w:after="40"/>
            </w:pPr>
            <w:r>
              <w:rPr>
                <w:rFonts w:ascii="Times New Roman" w:hAnsi="Times New Roman"/>
                <w:sz w:val="20"/>
              </w:rPr>
              <w:t xml:space="preserve">0.780</w:t>
            </w:r>
          </w:p>
        </w:tc>
        <w:tc>
          <w:tcPr>
            <w:tcW w:w="1440" w:type="dxa"/>
          </w:tcPr>
          <w:p>
            <w:pPr>
              <w:jc w:val="center"/>
              <w:spacing w:before="40" w:after="40"/>
            </w:pPr>
            <w:r>
              <w:rPr>
                <w:rFonts w:ascii="Times New Roman" w:hAnsi="Times New Roman"/>
                <w:sz w:val="20"/>
              </w:rPr>
              <w:t xml:space="preserve">â€”</w:t>
            </w:r>
          </w:p>
        </w:tc>
        <w:tc>
          <w:tcPr>
            <w:tcW w:w="1200" w:type="dxa"/>
          </w:tcPr>
          <w:p>
            <w:pPr>
              <w:jc w:val="center"/>
              <w:spacing w:before="40" w:after="40"/>
            </w:pPr>
            <w:r>
              <w:rPr>
                <w:rFonts w:ascii="Times New Roman" w:hAnsi="Times New Roman"/>
                <w:sz w:val="20"/>
              </w:rPr>
              <w:t xml:space="preserve">â€”</w:t>
            </w:r>
          </w:p>
        </w:tc>
        <w:tc>
          <w:tcPr>
            <w:tcW w:w="1440" w:type="dxa"/>
          </w:tcPr>
          <w:p>
            <w:pPr>
              <w:jc w:val="center"/>
              <w:spacing w:before="40" w:after="40"/>
            </w:pPr>
            <w:r>
              <w:rPr>
                <w:rFonts w:ascii="Times New Roman" w:hAnsi="Times New Roman"/>
                <w:sz w:val="20"/>
              </w:rPr>
              <w:t xml:space="preserve">â€”</w:t>
            </w:r>
          </w:p>
        </w:tc>
        <w:tc>
          <w:tcPr>
            <w:tcW w:w="1680" w:type="dxa"/>
          </w:tcPr>
          <w:p>
            <w:pPr>
              <w:jc w:val="center"/>
              <w:spacing w:before="40" w:after="40"/>
            </w:pPr>
            <w:r>
              <w:rPr>
                <w:rFonts w:ascii="Times New Roman" w:hAnsi="Times New Roman"/>
                <w:sz w:val="20"/>
              </w:rPr>
              <w:t xml:space="preserve">0.174Â Â±Â 0.034</w:t>
            </w:r>
          </w:p>
        </w:tc>
      </w:tr>
      <w:tr>
        <w:tc>
          <w:tcPr>
            <w:tcW w:w="2160" w:type="dxa"/>
          </w:tcPr>
          <w:p>
            <w:pPr>
              <w:jc w:val="left"/>
              <w:spacing w:before="40" w:after="40"/>
            </w:pPr>
            <w:r>
              <w:rPr>
                <w:rFonts w:ascii="Times New Roman" w:hAnsi="Times New Roman"/>
                <w:sz w:val="20"/>
              </w:rPr>
              <w:t xml:space="preserve">Pure LLM</w:t>
            </w:r>
          </w:p>
        </w:tc>
        <w:tc>
          <w:tcPr>
            <w:tcW w:w="1440" w:type="dxa"/>
          </w:tcPr>
          <w:p>
            <w:pPr>
              <w:jc w:val="center"/>
              <w:spacing w:before="40" w:after="40"/>
            </w:pPr>
            <w:r>
              <w:rPr>
                <w:rFonts w:ascii="Times New Roman" w:hAnsi="Times New Roman"/>
                <w:sz w:val="20"/>
              </w:rPr>
              <w:t xml:space="preserve">0.599</w:t>
            </w:r>
          </w:p>
        </w:tc>
        <w:tc>
          <w:tcPr>
            <w:tcW w:w="1440" w:type="dxa"/>
          </w:tcPr>
          <w:p>
            <w:pPr>
              <w:jc w:val="center"/>
              <w:spacing w:before="40" w:after="40"/>
            </w:pPr>
            <w:r>
              <w:rPr>
                <w:rFonts w:ascii="Times New Roman" w:hAnsi="Times New Roman"/>
                <w:sz w:val="20"/>
              </w:rPr>
              <w:t xml:space="preserve">âˆ’0.181</w:t>
            </w:r>
          </w:p>
        </w:tc>
        <w:tc>
          <w:tcPr>
            <w:tcW w:w="1200" w:type="dxa"/>
          </w:tcPr>
          <w:p>
            <w:pPr>
              <w:jc w:val="center"/>
              <w:spacing w:before="40" w:after="40"/>
            </w:pPr>
            <w:r>
              <w:rPr>
                <w:rFonts w:ascii="Times New Roman" w:hAnsi="Times New Roman"/>
                <w:sz w:val="20"/>
              </w:rPr>
              <w:t xml:space="preserve">0%</w:t>
            </w:r>
          </w:p>
        </w:tc>
        <w:tc>
          <w:tcPr>
            <w:tcW w:w="1440" w:type="dxa"/>
          </w:tcPr>
          <w:p>
            <w:pPr>
              <w:jc w:val="center"/>
              <w:spacing w:before="40" w:after="40"/>
            </w:pPr>
            <w:r>
              <w:rPr>
                <w:rFonts w:ascii="Times New Roman" w:hAnsi="Times New Roman"/>
                <w:sz w:val="20"/>
              </w:rPr>
              <w:t xml:space="preserve">&lt; 0.001</w:t>
            </w:r>
          </w:p>
        </w:tc>
        <w:tc>
          <w:tcPr>
            <w:tcW w:w="1680" w:type="dxa"/>
          </w:tcPr>
          <w:p>
            <w:pPr>
              <w:jc w:val="center"/>
              <w:spacing w:before="40" w:after="40"/>
            </w:pPr>
            <w:r>
              <w:rPr>
                <w:rFonts w:ascii="Times New Roman" w:hAnsi="Times New Roman"/>
                <w:sz w:val="20"/>
              </w:rPr>
              <w:t xml:space="preserve">0.118Â Â±Â 0.038</w:t>
            </w:r>
          </w:p>
        </w:tc>
      </w:tr>
      <w:tr>
        <w:tc>
          <w:tcPr>
            <w:tcW w:w="2160" w:type="dxa"/>
          </w:tcPr>
          <w:p>
            <w:pPr>
              <w:jc w:val="left"/>
              <w:spacing w:before="40" w:after="40"/>
            </w:pPr>
            <w:r>
              <w:rPr>
                <w:rFonts w:ascii="Times New Roman" w:hAnsi="Times New Roman"/>
                <w:sz w:val="20"/>
              </w:rPr>
              <w:t xml:space="preserve">Luâ€™s method</w:t>
            </w:r>
          </w:p>
        </w:tc>
        <w:tc>
          <w:tcPr>
            <w:tcW w:w="1440" w:type="dxa"/>
          </w:tcPr>
          <w:p>
            <w:pPr>
              <w:jc w:val="center"/>
              <w:spacing w:before="40" w:after="40"/>
            </w:pPr>
            <w:r>
              <w:rPr>
                <w:rFonts w:ascii="Times New Roman" w:hAnsi="Times New Roman"/>
                <w:sz w:val="20"/>
              </w:rPr>
              <w:t xml:space="preserve">0.802</w:t>
            </w:r>
          </w:p>
        </w:tc>
        <w:tc>
          <w:tcPr>
            <w:tcW w:w="1440" w:type="dxa"/>
          </w:tcPr>
          <w:p>
            <w:pPr>
              <w:jc w:val="center"/>
              <w:spacing w:before="40" w:after="40"/>
            </w:pPr>
            <w:r>
              <w:rPr>
                <w:rFonts w:ascii="Times New Roman" w:hAnsi="Times New Roman"/>
                <w:sz w:val="20"/>
              </w:rPr>
              <w:t xml:space="preserve">+0.023</w:t>
            </w:r>
          </w:p>
        </w:tc>
        <w:tc>
          <w:tcPr>
            <w:tcW w:w="1200" w:type="dxa"/>
          </w:tcPr>
          <w:p>
            <w:pPr>
              <w:jc w:val="center"/>
              <w:spacing w:before="40" w:after="40"/>
            </w:pPr>
            <w:r>
              <w:rPr>
                <w:rFonts w:ascii="Times New Roman" w:hAnsi="Times New Roman"/>
                <w:sz w:val="20"/>
              </w:rPr>
              <w:t xml:space="preserve">56%</w:t>
            </w:r>
          </w:p>
        </w:tc>
        <w:tc>
          <w:tcPr>
            <w:tcW w:w="1440" w:type="dxa"/>
          </w:tcPr>
          <w:p>
            <w:pPr>
              <w:jc w:val="center"/>
              <w:spacing w:before="40" w:after="40"/>
            </w:pPr>
            <w:r>
              <w:rPr>
                <w:rFonts w:ascii="Times New Roman" w:hAnsi="Times New Roman"/>
                <w:sz w:val="20"/>
              </w:rPr>
              <w:t xml:space="preserve">0.299 (ns)</w:t>
            </w:r>
          </w:p>
        </w:tc>
        <w:tc>
          <w:tcPr>
            <w:tcW w:w="1680" w:type="dxa"/>
          </w:tcPr>
          <w:p>
            <w:pPr>
              <w:jc w:val="center"/>
              <w:spacing w:before="40" w:after="40"/>
            </w:pPr>
            <w:r>
              <w:rPr>
                <w:rFonts w:ascii="Times New Roman" w:hAnsi="Times New Roman"/>
                <w:sz w:val="20"/>
              </w:rPr>
              <w:t xml:space="preserve">0.190Â Â±Â 0.029</w:t>
            </w:r>
          </w:p>
        </w:tc>
      </w:tr>
      <w:tr>
        <w:tc>
          <w:tcPr>
            <w:tcW w:w="2160" w:type="dxa"/>
          </w:tcPr>
          <w:p>
            <w:pPr>
              <w:jc w:val="left"/>
              <w:spacing w:before="40" w:after="40"/>
            </w:pPr>
            <w:r>
              <w:rPr>
                <w:rFonts w:ascii="Times New Roman" w:hAnsi="Times New Roman"/>
                <w:sz w:val="20"/>
                <w:b/>
              </w:rPr>
              <w:t xml:space="preserve">FLAME</w:t>
            </w:r>
          </w:p>
        </w:tc>
        <w:tc>
          <w:tcPr>
            <w:tcW w:w="1440" w:type="dxa"/>
          </w:tcPr>
          <w:p>
            <w:pPr>
              <w:jc w:val="center"/>
              <w:spacing w:before="40" w:after="40"/>
            </w:pPr>
            <w:r>
              <w:rPr>
                <w:rFonts w:ascii="Times New Roman" w:hAnsi="Times New Roman"/>
                <w:sz w:val="20"/>
                <w:b/>
              </w:rPr>
              <w:t xml:space="preserve">0.862</w:t>
            </w:r>
          </w:p>
        </w:tc>
        <w:tc>
          <w:tcPr>
            <w:tcW w:w="1440" w:type="dxa"/>
          </w:tcPr>
          <w:p>
            <w:pPr>
              <w:jc w:val="center"/>
              <w:spacing w:before="40" w:after="40"/>
            </w:pPr>
            <w:r>
              <w:rPr>
                <w:rFonts w:ascii="Times New Roman" w:hAnsi="Times New Roman"/>
                <w:sz w:val="20"/>
                <w:b/>
              </w:rPr>
              <w:t xml:space="preserve">+0.082</w:t>
            </w:r>
          </w:p>
        </w:tc>
        <w:tc>
          <w:tcPr>
            <w:tcW w:w="1200" w:type="dxa"/>
          </w:tcPr>
          <w:p>
            <w:pPr>
              <w:jc w:val="center"/>
              <w:spacing w:before="40" w:after="40"/>
            </w:pPr>
            <w:r>
              <w:rPr>
                <w:rFonts w:ascii="Times New Roman" w:hAnsi="Times New Roman"/>
                <w:sz w:val="20"/>
                <w:b/>
              </w:rPr>
              <w:t xml:space="preserve">83%</w:t>
            </w:r>
          </w:p>
        </w:tc>
        <w:tc>
          <w:tcPr>
            <w:tcW w:w="1440" w:type="dxa"/>
          </w:tcPr>
          <w:p>
            <w:pPr>
              <w:jc w:val="center"/>
              <w:spacing w:before="40" w:after="40"/>
            </w:pPr>
            <w:r>
              <w:rPr>
                <w:rFonts w:ascii="Times New Roman" w:hAnsi="Times New Roman"/>
                <w:sz w:val="20"/>
                <w:b/>
              </w:rPr>
              <w:t xml:space="preserve">&lt; 0.001</w:t>
            </w:r>
          </w:p>
        </w:tc>
        <w:tc>
          <w:tcPr>
            <w:tcW w:w="1680" w:type="dxa"/>
          </w:tcPr>
          <w:p>
            <w:pPr>
              <w:jc w:val="center"/>
              <w:spacing w:before="40" w:after="40"/>
            </w:pPr>
            <w:r>
              <w:rPr>
                <w:rFonts w:ascii="Times New Roman" w:hAnsi="Times New Roman"/>
                <w:sz w:val="20"/>
                <w:b/>
              </w:rPr>
              <w:t xml:space="preserve">0.218Â Â±Â 0.035</w:t>
            </w:r>
          </w:p>
        </w:tc>
      </w:tr>
    </w:tbl>
    <w:p>
      <w:pPr>
        <w:spacing w:before="0" w:after="80"/>
      </w:pPr>
      <w:r>
        <w:rPr>
          <w:rFonts w:ascii="Times New Roman" w:hAnsi="Times New Roman"/>
          <w:sz w:val="24"/>
        </w:rPr>
        <w:t xml:space="preserve"/>
      </w:r>
    </w:p>
    <w:p>
      <w:pPr>
        <w:spacing w:before="0" w:after="160"/>
      </w:pPr>
      <w:r>
        <w:rPr>
          <w:rFonts w:ascii="Times New Roman" w:hAnsi="Times New Roman"/>
          <w:sz w:val="24"/>
        </w:rPr>
        <w:t xml:space="preserve">FiguresÂ 6 and 7 present the Pareto fronts and HV convergence curves for all four methods.</w:t>
      </w:r>
    </w:p>
    <w:p xmlns:a="http://schemas.openxmlformats.org/drawingml/2006/main" xmlns:pic="http://schemas.openxmlformats.org/drawingml/2006/picture">
      <w:pPr>
        <w:jc w:val="center"/>
        <w:spacing w:before="80" w:after="80"/>
      </w:pPr>
      <w:r>
        <w:drawing>
          <wp:inline distT="0" distB="0" distL="0" distR="0">
            <wp:extent cx="5029200" cy="3352800"/>
            <wp:effectExtent l="0" t="0" r="0" b="0"/>
            <wp:docPr id="60" name="Figure6"/>
            <wp:cNvGraphicFramePr>
              <a:graphicFrameLocks noChangeAspect="1"/>
            </wp:cNvGraphicFramePr>
            <a:graphic>
              <a:graphicData uri="http://schemas.openxmlformats.org/drawingml/2006/picture">
                <pic:pic>
                  <pic:nvPicPr>
                    <pic:cNvPr id="60" name="Figure6"/>
                    <pic:cNvPicPr/>
                  </pic:nvPicPr>
                  <pic:blipFill>
                    <a:blip r:embed="rId41Pareto"/>
                    <a:stretch>
                      <a:fillRect/>
                    </a:stretch>
                  </pic:blipFill>
                  <pic:spPr>
                    <a:xfrm>
                      <a:off x="0" y="0"/>
                      <a:ext cx="5029200" cy="3352800"/>
                    </a:xfrm>
                    <a:prstGeom prst="rect">
                      <a:avLst/>
                    </a:prstGeom>
                  </pic:spPr>
                </pic:pic>
              </a:graphicData>
            </a:graphic>
          </wp:inline>
        </w:drawing>
      </w:r>
    </w:p>
    <w:p>
      <w:pPr>
        <w:jc w:val="center"/>
        <w:spacing w:before="40" w:after="160"/>
      </w:pPr>
      <w:r>
        <w:rPr>
          <w:rFonts w:ascii="Times New Roman" w:hAnsi="Times New Roman"/>
          <w:sz w:val="24"/>
          <w:b/>
        </w:rPr>
        <w:t xml:space="preserve">Figure 6. </w:t>
      </w:r>
      <w:r>
        <w:rPr>
          <w:rFonts w:ascii="Times New Roman" w:hAnsi="Times New Roman"/>
          <w:sz w:val="24"/>
        </w:rPr>
        <w:t xml:space="preserve">Pareto fronts of four methods at NÂ =Â 15 (30 paired replicates). Each curve shows the mean maximum $f_{28}$ per GWP bin; shaded bands indicate Â±1Â SD. FLAME extends the Pareto front at both the low-GWP and high-strength extremes, while differences in the mid-GWP region are modest across all methods.</w:t>
      </w:r>
    </w:p>
    <w:p>
      <w:pPr>
        <w:spacing w:before="0" w:after="160"/>
      </w:pPr>
      <w:r>
        <w:rPr>
          <w:rFonts w:ascii="Times New Roman" w:hAnsi="Times New Roman"/>
          <w:sz w:val="24"/>
        </w:rPr>
        <w:t xml:space="preserve">FigureÂ 6 reveals that the performance gap between FLAME and the other methods is most pronounced at the two extremes of the trade-off curve. In the mid-GWP region (approximately 200â€“260Â kgÂ COâ‚‚/mÂ³), FLAME, Luâ€™s method, and NSGA-II achieve comparable mean $f_{28}$, because NSGA-IIâ€™s crowding-distance selection naturally maintains coverage in this densely populated region. The divergence occurs at the low-carbon extreme (GWPÂ &lt;Â 200Â kgÂ COâ‚‚/mÂ³) and the high-strength extreme (GWPÂ &gt;Â 270Â kgÂ COâ‚‚/mÂ³), where evolutionary search alone lacks the diversity to push into these sparse regions. FLAMEâ€™s LLM augmentation, conditioned on the current Pareto front, directly targets these underexplored frontier areas.</w:t>
      </w:r>
    </w:p>
    <w:p xmlns:a="http://schemas.openxmlformats.org/drawingml/2006/main" xmlns:pic="http://schemas.openxmlformats.org/drawingml/2006/picture">
      <w:pPr>
        <w:jc w:val="center"/>
        <w:spacing w:before="80" w:after="80"/>
      </w:pPr>
      <w:r>
        <w:drawing>
          <wp:inline distT="0" distB="0" distL="0" distR="0">
            <wp:extent cx="5029200" cy="2794000"/>
            <wp:effectExtent l="0" t="0" r="0" b="0"/>
            <wp:docPr id="61" name="Figure7"/>
            <wp:cNvGraphicFramePr>
              <a:graphicFrameLocks noChangeAspect="1"/>
            </wp:cNvGraphicFramePr>
            <a:graphic>
              <a:graphicData uri="http://schemas.openxmlformats.org/drawingml/2006/picture">
                <pic:pic>
                  <pic:nvPicPr>
                    <pic:cNvPr id="61" name="Figure7"/>
                    <pic:cNvPicPr/>
                  </pic:nvPicPr>
                  <pic:blipFill>
                    <a:blip r:embed="rId41Conv"/>
                    <a:stretch>
                      <a:fillRect/>
                    </a:stretch>
                  </pic:blipFill>
                  <pic:spPr>
                    <a:xfrm>
                      <a:off x="0" y="0"/>
                      <a:ext cx="5029200" cy="2794000"/>
                    </a:xfrm>
                    <a:prstGeom prst="rect">
                      <a:avLst/>
                    </a:prstGeom>
                  </pic:spPr>
                </pic:pic>
              </a:graphicData>
            </a:graphic>
          </wp:inline>
        </w:drawing>
      </w:r>
    </w:p>
    <w:p>
      <w:pPr>
        <w:jc w:val="center"/>
        <w:spacing w:before="40" w:after="160"/>
      </w:pPr>
      <w:r>
        <w:rPr>
          <w:rFonts w:ascii="Times New Roman" w:hAnsi="Times New Roman"/>
          <w:sz w:val="24"/>
          <w:b/>
        </w:rPr>
        <w:t xml:space="preserve">Figure 7. </w:t>
      </w:r>
      <w:r>
        <w:rPr>
          <w:rFonts w:ascii="Times New Roman" w:hAnsi="Times New Roman"/>
          <w:sz w:val="24"/>
        </w:rPr>
        <w:t xml:space="preserve">HV convergence of four methods at NÂ =Â 15 (30 paired replicates). Lines show mean HV; shaded bands indicate Â±1Â SD.</w:t>
      </w:r>
    </w:p>
    <w:p>
      <w:pPr>
        <w:spacing w:before="0" w:after="160"/>
      </w:pPr>
      <w:r>
        <w:rPr>
          <w:rFonts w:ascii="Times New Roman" w:hAnsi="Times New Roman"/>
          <w:sz w:val="24"/>
        </w:rPr>
        <w:t xml:space="preserve">FigureÂ 7 highlights three distinct convergence patterns. First, Pure LLM achieves higher HV than NSGA-II in the earliest generations (â‰ˆ1â€“10), as the LLMâ€™s domain knowledge quickly identifies high-quality candidate mixes without requiring iterative evolution. However, without NSGA-IIâ€™s population-wide selection pressure, Pure LLM cannot systematically refine the front and its HV plateaus and declines, falling well below NSGA-II by generationÂ 50. This confirms that evolutionary search is a load-bearing component: LLM generation alone cannot replace it. 
Second, Luâ€™s method tracks FLAME closely in early generations but the gap widens progressively, with Luâ€™s method converging toward the NSGA-II baseline by generationÂ 100. This is explained by a diversity deficit: the final Pareto front diversity of Luâ€™s method (DÂ =Â 0.190Â Â±Â 0.029) is significantly lower than FLAMEâ€™s (DÂ =Â 0.218Â Â±Â 0.035; pÂ =Â 0.002). In replace mode, injected LLM solutions directly displace genetic offspring before NSGA-IIâ€™s selection can act, preventing the diversity-building that augment mode enables. NSGA-IIâ€™s crowding-distance mechanism is designed to operate on the full pool after offspring generation; bypassing this step by pre-replacing offspring disrupts diversity maintenance at scale. 
FLAME avoids both failure modes: by adding LLM proposals alongside, rather than in place of, genetic offspring, it lets NSGA-IIâ€™s selection decide which solutions survive, preserving population diversity while incorporating the LLMâ€™s domain-informed candidates.</w:t>
      </w:r>
    </w:p>
    <w:p>
      <w:pPr>
        <w:spacing w:before="120" w:after="0"/>
      </w:pPr>
      <w:r>
        <w:rPr>
          <w:rFonts w:ascii="Times New Roman" w:hAnsi="Times New Roman"/>
          <w:sz w:val="24"/>
        </w:rPr>
        <w:t xml:space="preserve"/>
      </w:r>
    </w:p>
    <w:p>
      <w:pPr>
        <w:spacing w:before="120" w:after="0"/>
      </w:pPr>
      <w:r>
        <w:rPr>
          <w:rFonts w:ascii="Times New Roman" w:hAnsi="Times New Roman"/>
          <w:sz w:val="24"/>
        </w:rPr>
        <w:t xml:space="preserve"/>
      </w:r>
    </w:p>
    <w:p>
      <w:pPr>
        <w:spacing w:before="240" w:after="80"/>
      </w:pPr>
      <w:r>
        <w:rPr>
          <w:rFonts w:ascii="Times New Roman" w:hAnsi="Times New Roman"/>
          <w:sz w:val="26"/>
          <w:b/>
        </w:rPr>
        <w:t xml:space="preserve">5.6 Prompt Ablation: Elite Solutions and Domain Knowledge</w:t>
      </w:r>
    </w:p>
    <w:p>
      <w:pPr>
        <w:spacing w:before="0" w:after="160"/>
      </w:pPr>
      <w:r>
        <w:rPr>
          <w:rFonts w:ascii="Times New Roman" w:hAnsi="Times New Roman"/>
          <w:sz w:val="24"/>
        </w:rPr>
        <w:t xml:space="preserve">To identify which prompt components are most critical to FLAMEâ€™s performance, we conduct a targeted ablation study focusing on two semantically distinct components: Elite solutions and the Knowledge Table. Removing Elite solutions (w/o Elite) eliminates the few-shot conditioning mechanism, reducing FLAME to a zero-shot mode in which the LLM generates proposals without reference to the current Pareto front. Removing the Knowledge Table (w/o KT) removes injected domain knowledge about concrete formulation practice, leaving the LLM to rely on general training without material-specific priors. Both ablations use NÂ =Â 15 and 30 paired replicates.</w:t>
      </w:r>
    </w:p>
    <w:p>
      <w:pPr>
        <w:spacing w:before="0" w:after="160"/>
      </w:pPr>
      <w:r>
        <w:rPr>
          <w:rFonts w:ascii="Times New Roman" w:hAnsi="Times New Roman"/>
          <w:sz w:val="24"/>
        </w:rPr>
        <w:t xml:space="preserve"/>
      </w:r>
    </w:p>
    <w:p>
      <w:pPr>
        <w:spacing w:before="120" w:after="40"/>
      </w:pPr>
      <w:r>
        <w:rPr>
          <w:rFonts w:ascii="Times New Roman" w:hAnsi="Times New Roman"/>
          <w:sz w:val="24"/>
        </w:rPr>
        <w:t xml:space="preserve">TableÂ 5. Prompt ablation results: mean final HV, mean Î”HV vs. NSGA-II baseline, statistical significance (Wilcoxon two-sided test), and Î”HV loss relative to full prompt (30 paired replicates). Bold row is the full prompt reference. Î”HV loss = full prompt Î”HV âˆ’ ablated Î”HV.</w:t>
      </w:r>
    </w:p>
    <w:tbl>
      <w:tblPr>
        <w:tblW w:w="10080" w:type="dxa"/>
        <w:tblBorders>
          <w:top w:val="single" w:sz="4" w:color="000000"/>
          <w:bottom w:val="single" w:sz="4" w:color="000000"/>
          <w:left w:val="single" w:sz="4" w:color="000000"/>
          <w:right w:val="single" w:sz="4" w:color="000000"/>
          <w:insideH w:val="single" w:sz="4" w:color="000000"/>
          <w:insideV w:val="single" w:sz="4" w:color="000000"/>
        </w:tblBorders>
      </w:tblPr>
      <w:tblGrid>
        <w:gridCol w:w="2520"/>
        <w:gridCol w:w="1800"/>
        <w:gridCol w:w="1800"/>
        <w:gridCol w:w="2160"/>
        <w:gridCol w:w="1800"/>
      </w:tblGrid>
      <w:tr>
        <w:trPr>
          <w:tblHeader/>
        </w:trPr>
        <w:tc>
          <w:tcPr>
            <w:tcW w:w="2520" w:type="dxa"/>
            <w:shd w:val="clear" w:color="auto" w:fill="D9D9D9"/>
          </w:tcPr>
          <w:p>
            <w:pPr>
              <w:jc w:val="center"/>
              <w:spacing w:before="40" w:after="40"/>
            </w:pPr>
            <w:r>
              <w:rPr>
                <w:rFonts w:ascii="Times New Roman" w:hAnsi="Times New Roman"/>
                <w:sz w:val="20"/>
                <w:b/>
              </w:rPr>
              <w:t xml:space="preserve">Prompt condition</w:t>
            </w:r>
          </w:p>
        </w:tc>
        <w:tc>
          <w:tcPr>
            <w:tcW w:w="1800" w:type="dxa"/>
            <w:shd w:val="clear" w:color="auto" w:fill="D9D9D9"/>
          </w:tcPr>
          <w:p>
            <w:pPr>
              <w:jc w:val="center"/>
              <w:spacing w:before="40" w:after="40"/>
            </w:pPr>
            <w:r>
              <w:rPr>
                <w:rFonts w:ascii="Times New Roman" w:hAnsi="Times New Roman"/>
                <w:sz w:val="20"/>
                <w:b/>
              </w:rPr>
              <w:t xml:space="preserve">Mean HV</w:t>
            </w:r>
          </w:p>
        </w:tc>
        <w:tc>
          <w:tcPr>
            <w:tcW w:w="1800" w:type="dxa"/>
            <w:shd w:val="clear" w:color="auto" w:fill="D9D9D9"/>
          </w:tcPr>
          <w:p>
            <w:pPr>
              <w:jc w:val="center"/>
              <w:spacing w:before="40" w:after="40"/>
            </w:pPr>
            <w:r>
              <w:rPr>
                <w:rFonts w:ascii="Times New Roman" w:hAnsi="Times New Roman"/>
                <w:sz w:val="20"/>
                <w:b/>
              </w:rPr>
              <w:t xml:space="preserve">Mean Î”HV</w:t>
            </w:r>
          </w:p>
        </w:tc>
        <w:tc>
          <w:tcPr>
            <w:tcW w:w="2160" w:type="dxa"/>
            <w:shd w:val="clear" w:color="auto" w:fill="D9D9D9"/>
          </w:tcPr>
          <w:p>
            <w:pPr>
              <w:jc w:val="center"/>
              <w:spacing w:before="40" w:after="40"/>
            </w:pPr>
            <w:r>
              <w:rPr>
                <w:rFonts w:ascii="Times New Roman" w:hAnsi="Times New Roman"/>
                <w:sz w:val="20"/>
                <w:b/>
              </w:rPr>
              <w:t xml:space="preserve">p (Wilcoxon)</w:t>
            </w:r>
          </w:p>
        </w:tc>
        <w:tc>
          <w:tcPr>
            <w:tcW w:w="1800" w:type="dxa"/>
            <w:shd w:val="clear" w:color="auto" w:fill="D9D9D9"/>
          </w:tcPr>
          <w:p>
            <w:pPr>
              <w:jc w:val="center"/>
              <w:spacing w:before="40" w:after="40"/>
            </w:pPr>
            <w:r>
              <w:rPr>
                <w:rFonts w:ascii="Times New Roman" w:hAnsi="Times New Roman"/>
                <w:sz w:val="20"/>
                <w:b/>
              </w:rPr>
              <w:t xml:space="preserve">Î”HV loss</w:t>
            </w:r>
          </w:p>
        </w:tc>
      </w:tr>
      <w:tr>
        <w:tc>
          <w:tcPr>
            <w:tcW w:w="2520" w:type="dxa"/>
          </w:tcPr>
          <w:p>
            <w:pPr>
              <w:jc w:val="left"/>
              <w:spacing w:before="40" w:after="40"/>
            </w:pPr>
            <w:r>
              <w:rPr>
                <w:rFonts w:ascii="Times New Roman" w:hAnsi="Times New Roman"/>
                <w:sz w:val="20"/>
              </w:rPr>
              <w:t xml:space="preserve">NSGA-II baseline</w:t>
            </w:r>
          </w:p>
        </w:tc>
        <w:tc>
          <w:tcPr>
            <w:tcW w:w="1800" w:type="dxa"/>
          </w:tcPr>
          <w:p>
            <w:pPr>
              <w:jc w:val="center"/>
              <w:spacing w:before="40" w:after="40"/>
            </w:pPr>
            <w:r>
              <w:rPr>
                <w:rFonts w:ascii="Times New Roman" w:hAnsi="Times New Roman"/>
                <w:sz w:val="20"/>
              </w:rPr>
              <w:t xml:space="preserve">0.7799</w:t>
            </w:r>
          </w:p>
        </w:tc>
        <w:tc>
          <w:tcPr>
            <w:tcW w:w="1800" w:type="dxa"/>
          </w:tcPr>
          <w:p>
            <w:pPr>
              <w:jc w:val="center"/>
              <w:spacing w:before="40" w:after="40"/>
            </w:pPr>
            <w:r>
              <w:rPr>
                <w:rFonts w:ascii="Times New Roman" w:hAnsi="Times New Roman"/>
                <w:sz w:val="20"/>
              </w:rPr>
              <w:t xml:space="preserve">0.000</w:t>
            </w:r>
          </w:p>
        </w:tc>
        <w:tc>
          <w:tcPr>
            <w:tcW w:w="2160" w:type="dxa"/>
          </w:tcPr>
          <w:p>
            <w:pPr>
              <w:jc w:val="center"/>
              <w:spacing w:before="40" w:after="40"/>
            </w:pPr>
            <w:r>
              <w:rPr>
                <w:rFonts w:ascii="Times New Roman" w:hAnsi="Times New Roman"/>
                <w:sz w:val="20"/>
              </w:rPr>
              <w:t xml:space="preserve">â€”</w:t>
            </w:r>
          </w:p>
        </w:tc>
        <w:tc>
          <w:tcPr>
            <w:tcW w:w="1800" w:type="dxa"/>
          </w:tcPr>
          <w:p>
            <w:pPr>
              <w:jc w:val="center"/>
              <w:spacing w:before="40" w:after="40"/>
            </w:pPr>
            <w:r>
              <w:rPr>
                <w:rFonts w:ascii="Times New Roman" w:hAnsi="Times New Roman"/>
                <w:sz w:val="20"/>
              </w:rPr>
              <w:t xml:space="preserve">â€”</w:t>
            </w:r>
          </w:p>
        </w:tc>
      </w:tr>
      <w:tr>
        <w:tc>
          <w:tcPr>
            <w:tcW w:w="2520" w:type="dxa"/>
          </w:tcPr>
          <w:p>
            <w:pPr>
              <w:jc w:val="left"/>
              <w:spacing w:before="40" w:after="40"/>
            </w:pPr>
            <w:r>
              <w:rPr>
                <w:rFonts w:ascii="Times New Roman" w:hAnsi="Times New Roman"/>
                <w:sz w:val="20"/>
                <w:b/>
              </w:rPr>
              <w:t xml:space="preserve">Full prompt</w:t>
            </w:r>
          </w:p>
        </w:tc>
        <w:tc>
          <w:tcPr>
            <w:tcW w:w="1800" w:type="dxa"/>
          </w:tcPr>
          <w:p>
            <w:pPr>
              <w:jc w:val="center"/>
              <w:spacing w:before="40" w:after="40"/>
            </w:pPr>
            <w:r>
              <w:rPr>
                <w:rFonts w:ascii="Times New Roman" w:hAnsi="Times New Roman"/>
                <w:sz w:val="20"/>
                <w:b/>
              </w:rPr>
              <w:t xml:space="preserve">0.8263</w:t>
            </w:r>
          </w:p>
        </w:tc>
        <w:tc>
          <w:tcPr>
            <w:tcW w:w="1800" w:type="dxa"/>
          </w:tcPr>
          <w:p>
            <w:pPr>
              <w:jc w:val="center"/>
              <w:spacing w:before="40" w:after="40"/>
            </w:pPr>
            <w:r>
              <w:rPr>
                <w:rFonts w:ascii="Times New Roman" w:hAnsi="Times New Roman"/>
                <w:sz w:val="20"/>
                <w:b/>
              </w:rPr>
              <w:t xml:space="preserve">+0.0464</w:t>
            </w:r>
          </w:p>
        </w:tc>
        <w:tc>
          <w:tcPr>
            <w:tcW w:w="2160" w:type="dxa"/>
          </w:tcPr>
          <w:p>
            <w:pPr>
              <w:jc w:val="center"/>
              <w:spacing w:before="40" w:after="40"/>
            </w:pPr>
            <w:r>
              <w:rPr>
                <w:rFonts w:ascii="Times New Roman" w:hAnsi="Times New Roman"/>
                <w:sz w:val="20"/>
                <w:b/>
              </w:rPr>
              <w:t xml:space="preserve">pÂ = 0.002Â (**)</w:t>
            </w:r>
          </w:p>
        </w:tc>
        <w:tc>
          <w:tcPr>
            <w:tcW w:w="1800" w:type="dxa"/>
          </w:tcPr>
          <w:p>
            <w:pPr>
              <w:jc w:val="center"/>
              <w:spacing w:before="40" w:after="40"/>
            </w:pPr>
            <w:r>
              <w:rPr>
                <w:rFonts w:ascii="Times New Roman" w:hAnsi="Times New Roman"/>
                <w:sz w:val="20"/>
                <w:b/>
              </w:rPr>
              <w:t xml:space="preserve">â€”</w:t>
            </w:r>
          </w:p>
        </w:tc>
      </w:tr>
      <w:tr>
        <w:tc>
          <w:tcPr>
            <w:tcW w:w="2520" w:type="dxa"/>
          </w:tcPr>
          <w:p>
            <w:pPr>
              <w:jc w:val="left"/>
              <w:spacing w:before="40" w:after="40"/>
            </w:pPr>
            <w:r>
              <w:rPr>
                <w:rFonts w:ascii="Times New Roman" w:hAnsi="Times New Roman"/>
                <w:sz w:val="20"/>
              </w:rPr>
              <w:t xml:space="preserve">w/o Elite solutions</w:t>
            </w:r>
          </w:p>
        </w:tc>
        <w:tc>
          <w:tcPr>
            <w:tcW w:w="1800" w:type="dxa"/>
          </w:tcPr>
          <w:p>
            <w:pPr>
              <w:jc w:val="center"/>
              <w:spacing w:before="40" w:after="40"/>
            </w:pPr>
            <w:r>
              <w:rPr>
                <w:rFonts w:ascii="Times New Roman" w:hAnsi="Times New Roman"/>
                <w:sz w:val="20"/>
              </w:rPr>
              <w:t xml:space="preserve">0.8158</w:t>
            </w:r>
          </w:p>
        </w:tc>
        <w:tc>
          <w:tcPr>
            <w:tcW w:w="1800" w:type="dxa"/>
          </w:tcPr>
          <w:p>
            <w:pPr>
              <w:jc w:val="center"/>
              <w:spacing w:before="40" w:after="40"/>
            </w:pPr>
            <w:r>
              <w:rPr>
                <w:rFonts w:ascii="Times New Roman" w:hAnsi="Times New Roman"/>
                <w:sz w:val="20"/>
              </w:rPr>
              <w:t xml:space="preserve">+0.0360</w:t>
            </w:r>
          </w:p>
        </w:tc>
        <w:tc>
          <w:tcPr>
            <w:tcW w:w="2160" w:type="dxa"/>
          </w:tcPr>
          <w:p>
            <w:pPr>
              <w:jc w:val="center"/>
              <w:spacing w:before="40" w:after="40"/>
            </w:pPr>
            <w:r>
              <w:rPr>
                <w:rFonts w:ascii="Times New Roman" w:hAnsi="Times New Roman"/>
                <w:sz w:val="20"/>
              </w:rPr>
              <w:t xml:space="preserve">pÂ = 0.028Â (*)</w:t>
            </w:r>
          </w:p>
        </w:tc>
        <w:tc>
          <w:tcPr>
            <w:tcW w:w="1800" w:type="dxa"/>
          </w:tcPr>
          <w:p>
            <w:pPr>
              <w:jc w:val="center"/>
              <w:spacing w:before="40" w:after="40"/>
            </w:pPr>
            <w:r>
              <w:rPr>
                <w:rFonts w:ascii="Times New Roman" w:hAnsi="Times New Roman"/>
                <w:sz w:val="20"/>
              </w:rPr>
              <w:t xml:space="preserve">âˆ’0.0104</w:t>
            </w:r>
          </w:p>
        </w:tc>
      </w:tr>
      <w:tr>
        <w:tc>
          <w:tcPr>
            <w:tcW w:w="2520" w:type="dxa"/>
          </w:tcPr>
          <w:p>
            <w:pPr>
              <w:jc w:val="left"/>
              <w:spacing w:before="40" w:after="40"/>
            </w:pPr>
            <w:r>
              <w:rPr>
                <w:rFonts w:ascii="Times New Roman" w:hAnsi="Times New Roman"/>
                <w:sz w:val="20"/>
              </w:rPr>
              <w:t xml:space="preserve">w/o Knowledge Table</w:t>
            </w:r>
          </w:p>
        </w:tc>
        <w:tc>
          <w:tcPr>
            <w:tcW w:w="1800" w:type="dxa"/>
          </w:tcPr>
          <w:p>
            <w:pPr>
              <w:jc w:val="center"/>
              <w:spacing w:before="40" w:after="40"/>
            </w:pPr>
            <w:r>
              <w:rPr>
                <w:rFonts w:ascii="Times New Roman" w:hAnsi="Times New Roman"/>
                <w:sz w:val="20"/>
              </w:rPr>
              <w:t xml:space="preserve">0.8116</w:t>
            </w:r>
          </w:p>
        </w:tc>
        <w:tc>
          <w:tcPr>
            <w:tcW w:w="1800" w:type="dxa"/>
          </w:tcPr>
          <w:p>
            <w:pPr>
              <w:jc w:val="center"/>
              <w:spacing w:before="40" w:after="40"/>
            </w:pPr>
            <w:r>
              <w:rPr>
                <w:rFonts w:ascii="Times New Roman" w:hAnsi="Times New Roman"/>
                <w:sz w:val="20"/>
              </w:rPr>
              <w:t xml:space="preserve">+0.0318</w:t>
            </w:r>
          </w:p>
        </w:tc>
        <w:tc>
          <w:tcPr>
            <w:tcW w:w="2160" w:type="dxa"/>
          </w:tcPr>
          <w:p>
            <w:pPr>
              <w:jc w:val="center"/>
              <w:spacing w:before="40" w:after="40"/>
            </w:pPr>
            <w:r>
              <w:rPr>
                <w:rFonts w:ascii="Times New Roman" w:hAnsi="Times New Roman"/>
                <w:sz w:val="20"/>
              </w:rPr>
              <w:t xml:space="preserve">pÂ = 0.064Â (ns)</w:t>
            </w:r>
          </w:p>
        </w:tc>
        <w:tc>
          <w:tcPr>
            <w:tcW w:w="1800" w:type="dxa"/>
          </w:tcPr>
          <w:p>
            <w:pPr>
              <w:jc w:val="center"/>
              <w:spacing w:before="40" w:after="40"/>
            </w:pPr>
            <w:r>
              <w:rPr>
                <w:rFonts w:ascii="Times New Roman" w:hAnsi="Times New Roman"/>
                <w:sz w:val="20"/>
              </w:rPr>
              <w:t xml:space="preserve">âˆ’0.0146</w:t>
            </w:r>
          </w:p>
        </w:tc>
      </w:tr>
    </w:tbl>
    <w:p>
      <w:pPr>
        <w:spacing w:before="0" w:after="80"/>
      </w:pPr>
      <w:r>
        <w:rPr>
          <w:rFonts w:ascii="Times New Roman" w:hAnsi="Times New Roman"/>
          <w:sz w:val="24"/>
        </w:rPr>
        <w:t xml:space="preserve"/>
      </w:r>
    </w:p>
    <w:p>
      <w:pPr>
        <w:spacing w:before="0" w:after="160"/>
      </w:pPr>
      <w:r>
        <w:rPr>
          <w:rFonts w:ascii="Times New Roman" w:hAnsi="Times New Roman"/>
          <w:sz w:val="24"/>
        </w:rPr>
        <w:t xml:space="preserve">Removing Elite solutions reduces mean Î”HV from 0.046 to 0.036 (p = 0.028, *), a loss of 0.010. Removing the Knowledge Table is more damaging: mean Î”HV drops to 0.032 (p = 0.064, ns), a loss of 0.015 and no longer statistically significant at the 0.05 level. Domain knowledge injection is the more critical component for reliable hypervolume improvement.</w:t>
      </w:r>
    </w:p>
    <w:p>
      <w:pPr>
        <w:spacing w:before="0" w:after="160"/>
      </w:pPr>
      <w:r>
        <w:rPr>
          <w:rFonts w:ascii="Times New Roman" w:hAnsi="Times New Roman"/>
          <w:sz w:val="24"/>
        </w:rPr>
        <w:t xml:space="preserve"/>
      </w:r>
    </w:p>
    <w:p>
      <w:pPr>
        <w:spacing w:before="120" w:after="40"/>
      </w:pPr>
      <w:r>
        <w:rPr>
          <w:rFonts w:ascii="Times New Roman" w:hAnsi="Times New Roman"/>
          <w:sz w:val="24"/>
        </w:rPr>
        <w:t xml:space="preserve">TableÂ 6. Pareto-front material composition under ablation conditions (mean per-replicate binder fractions; w/b = water-to-binder ratio). Significance markers: paired t-test vs. Full prompt (*** pÂ &lt;Â 0.001, ** pÂ &lt;Â 0.01, * pÂ &lt;Â 0.05, ns = not significant). SC = slag cement, FA = fly ash, PC = Portland cement.</w:t>
      </w:r>
    </w:p>
    <w:tbl>
      <w:tblPr>
        <w:tblW w:w="9720" w:type="dxa"/>
        <w:tblBorders>
          <w:top w:val="single" w:sz="4" w:color="000000"/>
          <w:bottom w:val="single" w:sz="4" w:color="000000"/>
          <w:left w:val="single" w:sz="4" w:color="000000"/>
          <w:right w:val="single" w:sz="4" w:color="000000"/>
          <w:insideH w:val="single" w:sz="4" w:color="000000"/>
          <w:insideV w:val="single" w:sz="4" w:color="000000"/>
        </w:tblBorders>
      </w:tblPr>
      <w:tblGrid>
        <w:gridCol w:w="2520"/>
        <w:gridCol w:w="1800"/>
        <w:gridCol w:w="1800"/>
        <w:gridCol w:w="1800"/>
        <w:gridCol w:w="1800"/>
      </w:tblGrid>
      <w:tr>
        <w:trPr>
          <w:tblHeader/>
        </w:trPr>
        <w:tc>
          <w:tcPr>
            <w:tcW w:w="2520" w:type="dxa"/>
            <w:shd w:val="clear" w:color="auto" w:fill="D9D9D9"/>
          </w:tcPr>
          <w:p>
            <w:pPr>
              <w:jc w:val="center"/>
              <w:spacing w:before="40" w:after="40"/>
            </w:pPr>
            <w:r>
              <w:rPr>
                <w:rFonts w:ascii="Times New Roman" w:hAnsi="Times New Roman"/>
                <w:sz w:val="20"/>
                <w:b/>
              </w:rPr>
              <w:t xml:space="preserve">Prompt condition</w:t>
            </w:r>
          </w:p>
        </w:tc>
        <w:tc>
          <w:tcPr>
            <w:tcW w:w="1800" w:type="dxa"/>
            <w:shd w:val="clear" w:color="auto" w:fill="D9D9D9"/>
          </w:tcPr>
          <w:p>
            <w:pPr>
              <w:jc w:val="center"/>
              <w:spacing w:before="40" w:after="40"/>
            </w:pPr>
            <w:r>
              <w:rPr>
                <w:rFonts w:ascii="Times New Roman" w:hAnsi="Times New Roman"/>
                <w:sz w:val="20"/>
                <w:b/>
              </w:rPr>
              <w:t xml:space="preserve">SC (%)</w:t>
            </w:r>
          </w:p>
        </w:tc>
        <w:tc>
          <w:tcPr>
            <w:tcW w:w="1800" w:type="dxa"/>
            <w:shd w:val="clear" w:color="auto" w:fill="D9D9D9"/>
          </w:tcPr>
          <w:p>
            <w:pPr>
              <w:jc w:val="center"/>
              <w:spacing w:before="40" w:after="40"/>
            </w:pPr>
            <w:r>
              <w:rPr>
                <w:rFonts w:ascii="Times New Roman" w:hAnsi="Times New Roman"/>
                <w:sz w:val="20"/>
                <w:b/>
              </w:rPr>
              <w:t xml:space="preserve">FA (%)</w:t>
            </w:r>
          </w:p>
        </w:tc>
        <w:tc>
          <w:tcPr>
            <w:tcW w:w="1800" w:type="dxa"/>
            <w:shd w:val="clear" w:color="auto" w:fill="D9D9D9"/>
          </w:tcPr>
          <w:p>
            <w:pPr>
              <w:jc w:val="center"/>
              <w:spacing w:before="40" w:after="40"/>
            </w:pPr>
            <w:r>
              <w:rPr>
                <w:rFonts w:ascii="Times New Roman" w:hAnsi="Times New Roman"/>
                <w:sz w:val="20"/>
                <w:b/>
              </w:rPr>
              <w:t xml:space="preserve">PC (%)</w:t>
            </w:r>
          </w:p>
        </w:tc>
        <w:tc>
          <w:tcPr>
            <w:tcW w:w="1800" w:type="dxa"/>
            <w:shd w:val="clear" w:color="auto" w:fill="D9D9D9"/>
          </w:tcPr>
          <w:p>
            <w:pPr>
              <w:jc w:val="center"/>
              <w:spacing w:before="40" w:after="40"/>
            </w:pPr>
            <w:r>
              <w:rPr>
                <w:rFonts w:ascii="Times New Roman" w:hAnsi="Times New Roman"/>
                <w:sz w:val="20"/>
                <w:b/>
              </w:rPr>
              <w:t xml:space="preserve">w/b</w:t>
            </w:r>
          </w:p>
        </w:tc>
      </w:tr>
      <w:tr>
        <w:tc>
          <w:tcPr>
            <w:tcW w:w="2520" w:type="dxa"/>
          </w:tcPr>
          <w:p>
            <w:pPr>
              <w:jc w:val="left"/>
              <w:spacing w:before="40" w:after="40"/>
            </w:pPr>
            <w:r>
              <w:rPr>
                <w:rFonts w:ascii="Times New Roman" w:hAnsi="Times New Roman"/>
                <w:sz w:val="20"/>
              </w:rPr>
              <w:t xml:space="preserve">NSGA-II</w:t>
            </w:r>
          </w:p>
        </w:tc>
        <w:tc>
          <w:tcPr>
            <w:tcW w:w="1800" w:type="dxa"/>
          </w:tcPr>
          <w:p>
            <w:pPr>
              <w:jc w:val="center"/>
              <w:spacing w:before="40" w:after="40"/>
            </w:pPr>
            <w:r>
              <w:rPr>
                <w:rFonts w:ascii="Times New Roman" w:hAnsi="Times New Roman"/>
                <w:sz w:val="20"/>
              </w:rPr>
              <w:t xml:space="preserve">60.2</w:t>
            </w:r>
          </w:p>
        </w:tc>
        <w:tc>
          <w:tcPr>
            <w:tcW w:w="1800" w:type="dxa"/>
          </w:tcPr>
          <w:p>
            <w:pPr>
              <w:jc w:val="center"/>
              <w:spacing w:before="40" w:after="40"/>
            </w:pPr>
            <w:r>
              <w:rPr>
                <w:rFonts w:ascii="Times New Roman" w:hAnsi="Times New Roman"/>
                <w:sz w:val="20"/>
              </w:rPr>
              <w:t xml:space="preserve">11.1</w:t>
            </w:r>
          </w:p>
        </w:tc>
        <w:tc>
          <w:tcPr>
            <w:tcW w:w="1800" w:type="dxa"/>
          </w:tcPr>
          <w:p>
            <w:pPr>
              <w:jc w:val="center"/>
              <w:spacing w:before="40" w:after="40"/>
            </w:pPr>
            <w:r>
              <w:rPr>
                <w:rFonts w:ascii="Times New Roman" w:hAnsi="Times New Roman"/>
                <w:sz w:val="20"/>
              </w:rPr>
              <w:t xml:space="preserve">28.7</w:t>
            </w:r>
          </w:p>
        </w:tc>
        <w:tc>
          <w:tcPr>
            <w:tcW w:w="1800" w:type="dxa"/>
          </w:tcPr>
          <w:p>
            <w:pPr>
              <w:jc w:val="center"/>
              <w:spacing w:before="40" w:after="40"/>
            </w:pPr>
            <w:r>
              <w:rPr>
                <w:rFonts w:ascii="Times New Roman" w:hAnsi="Times New Roman"/>
                <w:sz w:val="20"/>
              </w:rPr>
              <w:t xml:space="preserve">0.350</w:t>
            </w:r>
          </w:p>
        </w:tc>
      </w:tr>
      <w:tr>
        <w:tc>
          <w:tcPr>
            <w:tcW w:w="2520" w:type="dxa"/>
          </w:tcPr>
          <w:p>
            <w:pPr>
              <w:jc w:val="left"/>
              <w:spacing w:before="40" w:after="40"/>
            </w:pPr>
            <w:r>
              <w:rPr>
                <w:rFonts w:ascii="Times New Roman" w:hAnsi="Times New Roman"/>
                <w:sz w:val="20"/>
                <w:b/>
              </w:rPr>
              <w:t xml:space="preserve">Full prompt</w:t>
            </w:r>
          </w:p>
        </w:tc>
        <w:tc>
          <w:tcPr>
            <w:tcW w:w="1800" w:type="dxa"/>
          </w:tcPr>
          <w:p>
            <w:pPr>
              <w:jc w:val="center"/>
              <w:spacing w:before="40" w:after="40"/>
            </w:pPr>
            <w:r>
              <w:rPr>
                <w:rFonts w:ascii="Times New Roman" w:hAnsi="Times New Roman"/>
                <w:sz w:val="20"/>
                <w:b/>
              </w:rPr>
              <w:t xml:space="preserve">58.8</w:t>
            </w:r>
          </w:p>
        </w:tc>
        <w:tc>
          <w:tcPr>
            <w:tcW w:w="1800" w:type="dxa"/>
          </w:tcPr>
          <w:p>
            <w:pPr>
              <w:jc w:val="center"/>
              <w:spacing w:before="40" w:after="40"/>
            </w:pPr>
            <w:r>
              <w:rPr>
                <w:rFonts w:ascii="Times New Roman" w:hAnsi="Times New Roman"/>
                <w:sz w:val="20"/>
                <w:b/>
              </w:rPr>
              <w:t xml:space="preserve">11.7</w:t>
            </w:r>
          </w:p>
        </w:tc>
        <w:tc>
          <w:tcPr>
            <w:tcW w:w="1800" w:type="dxa"/>
          </w:tcPr>
          <w:p>
            <w:pPr>
              <w:jc w:val="center"/>
              <w:spacing w:before="40" w:after="40"/>
            </w:pPr>
            <w:r>
              <w:rPr>
                <w:rFonts w:ascii="Times New Roman" w:hAnsi="Times New Roman"/>
                <w:sz w:val="20"/>
                <w:b/>
              </w:rPr>
              <w:t xml:space="preserve">29.5</w:t>
            </w:r>
          </w:p>
        </w:tc>
        <w:tc>
          <w:tcPr>
            <w:tcW w:w="1800" w:type="dxa"/>
          </w:tcPr>
          <w:p>
            <w:pPr>
              <w:jc w:val="center"/>
              <w:spacing w:before="40" w:after="40"/>
            </w:pPr>
            <w:r>
              <w:rPr>
                <w:rFonts w:ascii="Times New Roman" w:hAnsi="Times New Roman"/>
                <w:sz w:val="20"/>
                <w:b/>
              </w:rPr>
              <w:t xml:space="preserve">0.334</w:t>
            </w:r>
          </w:p>
        </w:tc>
      </w:tr>
      <w:tr>
        <w:tc>
          <w:tcPr>
            <w:tcW w:w="2520" w:type="dxa"/>
          </w:tcPr>
          <w:p>
            <w:pPr>
              <w:jc w:val="left"/>
              <w:spacing w:before="40" w:after="40"/>
            </w:pPr>
            <w:r>
              <w:rPr>
                <w:rFonts w:ascii="Times New Roman" w:hAnsi="Times New Roman"/>
                <w:sz w:val="20"/>
              </w:rPr>
              <w:t xml:space="preserve">w/o Knowledge Table</w:t>
            </w:r>
          </w:p>
        </w:tc>
        <w:tc>
          <w:tcPr>
            <w:tcW w:w="1800" w:type="dxa"/>
          </w:tcPr>
          <w:p>
            <w:pPr>
              <w:jc w:val="center"/>
              <w:spacing w:before="40" w:after="40"/>
            </w:pPr>
            <w:r>
              <w:rPr>
                <w:rFonts w:ascii="Times New Roman" w:hAnsi="Times New Roman"/>
                <w:sz w:val="20"/>
              </w:rPr>
              <w:t xml:space="preserve">53.0 (***)</w:t>
            </w:r>
          </w:p>
        </w:tc>
        <w:tc>
          <w:tcPr>
            <w:tcW w:w="1800" w:type="dxa"/>
          </w:tcPr>
          <w:p>
            <w:pPr>
              <w:jc w:val="center"/>
              <w:spacing w:before="40" w:after="40"/>
            </w:pPr>
            <w:r>
              <w:rPr>
                <w:rFonts w:ascii="Times New Roman" w:hAnsi="Times New Roman"/>
                <w:sz w:val="20"/>
              </w:rPr>
              <w:t xml:space="preserve">16.4 (**)</w:t>
            </w:r>
          </w:p>
        </w:tc>
        <w:tc>
          <w:tcPr>
            <w:tcW w:w="1800" w:type="dxa"/>
          </w:tcPr>
          <w:p>
            <w:pPr>
              <w:jc w:val="center"/>
              <w:spacing w:before="40" w:after="40"/>
            </w:pPr>
            <w:r>
              <w:rPr>
                <w:rFonts w:ascii="Times New Roman" w:hAnsi="Times New Roman"/>
                <w:sz w:val="20"/>
              </w:rPr>
              <w:t xml:space="preserve">30.6 (***)</w:t>
            </w:r>
          </w:p>
        </w:tc>
        <w:tc>
          <w:tcPr>
            <w:tcW w:w="1800" w:type="dxa"/>
          </w:tcPr>
          <w:p>
            <w:pPr>
              <w:jc w:val="center"/>
              <w:spacing w:before="40" w:after="40"/>
            </w:pPr>
            <w:r>
              <w:rPr>
                <w:rFonts w:ascii="Times New Roman" w:hAnsi="Times New Roman"/>
                <w:sz w:val="20"/>
              </w:rPr>
              <w:t xml:space="preserve">0.355 (**)</w:t>
            </w:r>
          </w:p>
        </w:tc>
      </w:tr>
      <w:tr>
        <w:tc>
          <w:tcPr>
            <w:tcW w:w="2520" w:type="dxa"/>
          </w:tcPr>
          <w:p>
            <w:pPr>
              <w:jc w:val="left"/>
              <w:spacing w:before="40" w:after="40"/>
            </w:pPr>
            <w:r>
              <w:rPr>
                <w:rFonts w:ascii="Times New Roman" w:hAnsi="Times New Roman"/>
                <w:sz w:val="20"/>
              </w:rPr>
              <w:t xml:space="preserve">w/o Elite</w:t>
            </w:r>
          </w:p>
        </w:tc>
        <w:tc>
          <w:tcPr>
            <w:tcW w:w="1800" w:type="dxa"/>
          </w:tcPr>
          <w:p>
            <w:pPr>
              <w:jc w:val="center"/>
              <w:spacing w:before="40" w:after="40"/>
            </w:pPr>
            <w:r>
              <w:rPr>
                <w:rFonts w:ascii="Times New Roman" w:hAnsi="Times New Roman"/>
                <w:sz w:val="20"/>
              </w:rPr>
              <w:t xml:space="preserve">58.0 (ns)</w:t>
            </w:r>
          </w:p>
        </w:tc>
        <w:tc>
          <w:tcPr>
            <w:tcW w:w="1800" w:type="dxa"/>
          </w:tcPr>
          <w:p>
            <w:pPr>
              <w:jc w:val="center"/>
              <w:spacing w:before="40" w:after="40"/>
            </w:pPr>
            <w:r>
              <w:rPr>
                <w:rFonts w:ascii="Times New Roman" w:hAnsi="Times New Roman"/>
                <w:sz w:val="20"/>
              </w:rPr>
              <w:t xml:space="preserve">11.5 (ns)</w:t>
            </w:r>
          </w:p>
        </w:tc>
        <w:tc>
          <w:tcPr>
            <w:tcW w:w="1800" w:type="dxa"/>
          </w:tcPr>
          <w:p>
            <w:pPr>
              <w:jc w:val="center"/>
              <w:spacing w:before="40" w:after="40"/>
            </w:pPr>
            <w:r>
              <w:rPr>
                <w:rFonts w:ascii="Times New Roman" w:hAnsi="Times New Roman"/>
                <w:sz w:val="20"/>
              </w:rPr>
              <w:t xml:space="preserve">30.4 (*)</w:t>
            </w:r>
          </w:p>
        </w:tc>
        <w:tc>
          <w:tcPr>
            <w:tcW w:w="1800" w:type="dxa"/>
          </w:tcPr>
          <w:p>
            <w:pPr>
              <w:jc w:val="center"/>
              <w:spacing w:before="40" w:after="40"/>
            </w:pPr>
            <w:r>
              <w:rPr>
                <w:rFonts w:ascii="Times New Roman" w:hAnsi="Times New Roman"/>
                <w:sz w:val="20"/>
              </w:rPr>
              <w:t xml:space="preserve">0.342 (ns)</w:t>
            </w:r>
          </w:p>
        </w:tc>
      </w:tr>
    </w:tbl>
    <w:p>
      <w:pPr>
        <w:spacing w:before="0" w:after="80"/>
      </w:pPr>
      <w:r>
        <w:rPr>
          <w:rFonts w:ascii="Times New Roman" w:hAnsi="Times New Roman"/>
          <w:sz w:val="24"/>
        </w:rPr>
        <w:t xml:space="preserve"/>
      </w:r>
    </w:p>
    <w:p>
      <w:pPr>
        <w:spacing w:before="0" w:after="160"/>
      </w:pPr>
      <w:r>
        <w:rPr>
          <w:rFonts w:ascii="Times New Roman" w:hAnsi="Times New Roman"/>
          <w:sz w:val="24"/>
        </w:rPr>
        <w:t xml:space="preserve">Removing the Knowledge Table is the only condition that significantly shifts binder strategy: SC% drops 5.8Â percentage points (***), FA% rises 4.7Â pp (**), and w/b increases 0.021 (**). The Knowledge Table encodes a two-path optimization strategy (high slag for low GWP; low w/b for high strength), which the LLM cannot infer from objectives or constraints alone. Removing Elite solutions leaves the binder composition largely unchanged (most comparisons non-significant), confirming that few-shot examples guide proposal competitiveness rather than mix-design direction.</w:t>
      </w:r>
    </w:p>
    <w:p>
      <w:pPr>
        <w:spacing w:before="0" w:after="160"/>
      </w:pPr>
      <w:r>
        <w:rPr>
          <w:rFonts w:ascii="Times New Roman" w:hAnsi="Times New Roman"/>
          <w:sz w:val="24"/>
        </w:rPr>
        <w:t xml:space="preserve"/>
      </w:r>
    </w:p>
    <w:p>
      <w:pPr>
        <w:spacing w:before="120" w:after="40"/>
      </w:pPr>
      <w:r>
        <w:rPr>
          <w:rFonts w:ascii="Times New Roman" w:hAnsi="Times New Roman"/>
          <w:sz w:val="24"/>
        </w:rPr>
        <w:t xml:space="preserve">TableÂ 7. Effect of Elite solutions on LLM proposal quality and Pareto front diversity (30 paired replicates; Wilcoxon signed-rank test). Useful = feasible and non-dominated.</w:t>
      </w:r>
    </w:p>
    <w:tbl>
      <w:tblPr>
        <w:tblW w:w="10440" w:type="dxa"/>
        <w:tblBorders>
          <w:top w:val="single" w:sz="4" w:color="000000"/>
          <w:bottom w:val="single" w:sz="4" w:color="000000"/>
          <w:left w:val="single" w:sz="4" w:color="000000"/>
          <w:right w:val="single" w:sz="4" w:color="000000"/>
          <w:insideH w:val="single" w:sz="4" w:color="000000"/>
          <w:insideV w:val="single" w:sz="4" w:color="000000"/>
        </w:tblBorders>
      </w:tblPr>
      <w:tblGrid>
        <w:gridCol w:w="3600"/>
        <w:gridCol w:w="1800"/>
        <w:gridCol w:w="1800"/>
        <w:gridCol w:w="1440"/>
        <w:gridCol w:w="1800"/>
      </w:tblGrid>
      <w:tr>
        <w:trPr>
          <w:tblHeader/>
        </w:trPr>
        <w:tc>
          <w:tcPr>
            <w:tcW w:w="3600" w:type="dxa"/>
            <w:shd w:val="clear" w:color="auto" w:fill="D9D9D9"/>
          </w:tcPr>
          <w:p>
            <w:pPr>
              <w:jc w:val="center"/>
              <w:spacing w:before="40" w:after="40"/>
            </w:pPr>
            <w:r>
              <w:rPr>
                <w:rFonts w:ascii="Times New Roman" w:hAnsi="Times New Roman"/>
                <w:sz w:val="20"/>
                <w:b/>
              </w:rPr>
              <w:t xml:space="preserve">Metric</w:t>
            </w:r>
          </w:p>
        </w:tc>
        <w:tc>
          <w:tcPr>
            <w:tcW w:w="1800" w:type="dxa"/>
            <w:shd w:val="clear" w:color="auto" w:fill="D9D9D9"/>
          </w:tcPr>
          <w:p>
            <w:pPr>
              <w:jc w:val="center"/>
              <w:spacing w:before="40" w:after="40"/>
            </w:pPr>
            <w:r>
              <w:rPr>
                <w:rFonts w:ascii="Times New Roman" w:hAnsi="Times New Roman"/>
                <w:sz w:val="20"/>
                <w:b/>
              </w:rPr>
              <w:t xml:space="preserve">Full prompt</w:t>
            </w:r>
          </w:p>
        </w:tc>
        <w:tc>
          <w:tcPr>
            <w:tcW w:w="1800" w:type="dxa"/>
            <w:shd w:val="clear" w:color="auto" w:fill="D9D9D9"/>
          </w:tcPr>
          <w:p>
            <w:pPr>
              <w:jc w:val="center"/>
              <w:spacing w:before="40" w:after="40"/>
            </w:pPr>
            <w:r>
              <w:rPr>
                <w:rFonts w:ascii="Times New Roman" w:hAnsi="Times New Roman"/>
                <w:sz w:val="20"/>
                <w:b/>
              </w:rPr>
              <w:t xml:space="preserve">w/o Elite</w:t>
            </w:r>
          </w:p>
        </w:tc>
        <w:tc>
          <w:tcPr>
            <w:tcW w:w="1440" w:type="dxa"/>
            <w:shd w:val="clear" w:color="auto" w:fill="D9D9D9"/>
          </w:tcPr>
          <w:p>
            <w:pPr>
              <w:jc w:val="center"/>
              <w:spacing w:before="40" w:after="40"/>
            </w:pPr>
            <w:r>
              <w:rPr>
                <w:rFonts w:ascii="Times New Roman" w:hAnsi="Times New Roman"/>
                <w:sz w:val="20"/>
                <w:b/>
              </w:rPr>
              <w:t xml:space="preserve">Î”</w:t>
            </w:r>
          </w:p>
        </w:tc>
        <w:tc>
          <w:tcPr>
            <w:tcW w:w="1800" w:type="dxa"/>
            <w:shd w:val="clear" w:color="auto" w:fill="D9D9D9"/>
          </w:tcPr>
          <w:p>
            <w:pPr>
              <w:jc w:val="center"/>
              <w:spacing w:before="40" w:after="40"/>
            </w:pPr>
            <w:r>
              <w:rPr>
                <w:rFonts w:ascii="Times New Roman" w:hAnsi="Times New Roman"/>
                <w:sz w:val="20"/>
                <w:b/>
              </w:rPr>
              <w:t xml:space="preserve">p</w:t>
            </w:r>
          </w:p>
        </w:tc>
      </w:tr>
      <w:tr>
        <w:tc>
          <w:tcPr>
            <w:tcW w:w="3600" w:type="dxa"/>
          </w:tcPr>
          <w:p>
            <w:pPr>
              <w:jc w:val="left"/>
              <w:spacing w:before="40" w:after="40"/>
            </w:pPr>
            <w:r>
              <w:rPr>
                <w:rFonts w:ascii="Times New Roman" w:hAnsi="Times New Roman"/>
                <w:sz w:val="20"/>
              </w:rPr>
              <w:t xml:space="preserve">Fraction of useful LLM proposals</w:t>
            </w:r>
          </w:p>
        </w:tc>
        <w:tc>
          <w:tcPr>
            <w:tcW w:w="1800" w:type="dxa"/>
          </w:tcPr>
          <w:p>
            <w:pPr>
              <w:jc w:val="center"/>
              <w:spacing w:before="40" w:after="40"/>
            </w:pPr>
            <w:r>
              <w:rPr>
                <w:rFonts w:ascii="Times New Roman" w:hAnsi="Times New Roman"/>
                <w:sz w:val="20"/>
              </w:rPr>
              <w:t xml:space="preserve">13.8%</w:t>
            </w:r>
          </w:p>
        </w:tc>
        <w:tc>
          <w:tcPr>
            <w:tcW w:w="1800" w:type="dxa"/>
          </w:tcPr>
          <w:p>
            <w:pPr>
              <w:jc w:val="center"/>
              <w:spacing w:before="40" w:after="40"/>
            </w:pPr>
            <w:r>
              <w:rPr>
                <w:rFonts w:ascii="Times New Roman" w:hAnsi="Times New Roman"/>
                <w:sz w:val="20"/>
              </w:rPr>
              <w:t xml:space="preserve">0.59%</w:t>
            </w:r>
          </w:p>
        </w:tc>
        <w:tc>
          <w:tcPr>
            <w:tcW w:w="1440" w:type="dxa"/>
          </w:tcPr>
          <w:p>
            <w:pPr>
              <w:jc w:val="center"/>
              <w:spacing w:before="40" w:after="40"/>
            </w:pPr>
            <w:r>
              <w:rPr>
                <w:rFonts w:ascii="Times New Roman" w:hAnsi="Times New Roman"/>
                <w:sz w:val="20"/>
              </w:rPr>
              <w:t xml:space="preserve">-13.23Â pp</w:t>
            </w:r>
          </w:p>
        </w:tc>
        <w:tc>
          <w:tcPr>
            <w:tcW w:w="1800" w:type="dxa"/>
          </w:tcPr>
          <w:p>
            <w:pPr>
              <w:jc w:val="center"/>
              <w:spacing w:before="40" w:after="40"/>
            </w:pPr>
            <w:r>
              <w:rPr>
                <w:rFonts w:ascii="Times New Roman" w:hAnsi="Times New Roman"/>
                <w:sz w:val="20"/>
              </w:rPr>
              <w:t xml:space="preserve">pÂ &lt; 0.001Â (***)</w:t>
            </w:r>
          </w:p>
        </w:tc>
      </w:tr>
      <w:tr>
        <w:tc>
          <w:tcPr>
            <w:tcW w:w="3600" w:type="dxa"/>
          </w:tcPr>
          <w:p>
            <w:pPr>
              <w:jc w:val="left"/>
              <w:spacing w:before="40" w:after="40"/>
            </w:pPr>
            <w:r>
              <w:rPr>
                <w:rFonts w:ascii="Times New Roman" w:hAnsi="Times New Roman"/>
                <w:sz w:val="20"/>
              </w:rPr>
              <w:t xml:space="preserve">Pareto front diversity</w:t>
            </w:r>
          </w:p>
        </w:tc>
        <w:tc>
          <w:tcPr>
            <w:tcW w:w="1800" w:type="dxa"/>
          </w:tcPr>
          <w:p>
            <w:pPr>
              <w:jc w:val="center"/>
              <w:spacing w:before="40" w:after="40"/>
            </w:pPr>
            <w:r>
              <w:rPr>
                <w:rFonts w:ascii="Times New Roman" w:hAnsi="Times New Roman"/>
                <w:sz w:val="20"/>
              </w:rPr>
              <w:t xml:space="preserve">0.198</w:t>
            </w:r>
          </w:p>
        </w:tc>
        <w:tc>
          <w:tcPr>
            <w:tcW w:w="1800" w:type="dxa"/>
          </w:tcPr>
          <w:p>
            <w:pPr>
              <w:jc w:val="center"/>
              <w:spacing w:before="40" w:after="40"/>
            </w:pPr>
            <w:r>
              <w:rPr>
                <w:rFonts w:ascii="Times New Roman" w:hAnsi="Times New Roman"/>
                <w:sz w:val="20"/>
              </w:rPr>
              <w:t xml:space="preserve">0.202</w:t>
            </w:r>
          </w:p>
        </w:tc>
        <w:tc>
          <w:tcPr>
            <w:tcW w:w="1440" w:type="dxa"/>
          </w:tcPr>
          <w:p>
            <w:pPr>
              <w:jc w:val="center"/>
              <w:spacing w:before="40" w:after="40"/>
            </w:pPr>
            <w:r>
              <w:rPr>
                <w:rFonts w:ascii="Times New Roman" w:hAnsi="Times New Roman"/>
                <w:sz w:val="20"/>
              </w:rPr>
              <w:t xml:space="preserve">+0.005</w:t>
            </w:r>
          </w:p>
        </w:tc>
        <w:tc>
          <w:tcPr>
            <w:tcW w:w="1800" w:type="dxa"/>
          </w:tcPr>
          <w:p>
            <w:pPr>
              <w:jc w:val="center"/>
              <w:spacing w:before="40" w:after="40"/>
            </w:pPr>
            <w:r>
              <w:rPr>
                <w:rFonts w:ascii="Times New Roman" w:hAnsi="Times New Roman"/>
                <w:sz w:val="20"/>
              </w:rPr>
              <w:t xml:space="preserve">pÂ = 0.299Â (ns)</w:t>
            </w:r>
          </w:p>
        </w:tc>
      </w:tr>
    </w:tbl>
    <w:p>
      <w:pPr>
        <w:spacing w:before="0" w:after="80"/>
      </w:pPr>
      <w:r>
        <w:rPr>
          <w:rFonts w:ascii="Times New Roman" w:hAnsi="Times New Roman"/>
          <w:sz w:val="24"/>
        </w:rPr>
        <w:t xml:space="preserve"/>
      </w:r>
    </w:p>
    <w:p>
      <w:pPr>
        <w:jc w:val="center"/>
        <w:spacing w:before="160" w:after="80"/>
      </w:pPr>
      <w:r>
        <w:drawing>
          <wp:inline distT="0" distB="0" distL="0" distR="0">
            <wp:extent cx="5029200" cy="3481200"/>
            <wp:effectExtent l="0" t="0" r="0" b="0"/>
            <wp:docPr id="802" name="Fig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Fig8"/>
                    <ns4:cNvPicPr/>
                  </ns4:nvPicPr>
                  <ns4:blipFill>
                    <ns3:blip r:embed="rId42"/>
                    <ns3:stretch>
                      <ns3:fillRect/>
                    </ns3:stretch>
                  </ns4:blipFill>
                  <ns4:spPr>
                    <ns3:xfrm>
                      <ns3:off x="0" y="0"/>
                      <ns3:ext cx="5029200" cy="3481200"/>
                    </ns3:xfrm>
                    <ns3:prstGeom prst="rect">
                      <ns3:avLst/>
                    </ns3:prstGeom>
                  </ns4:spPr>
                </ns4:pic>
              </ns3:graphicData>
            </ns3:graphic>
          </wp:inline>
        </w:drawing>
      </w:r>
    </w:p>
    <w:p>
      <w:pPr>
        <w:spacing w:before="60" w:after="40"/>
      </w:pPr>
      <w:r>
        <w:rPr>
          <w:rFonts w:ascii="Times New Roman" w:hAnsi="Times New Roman"/>
          <w:sz w:val="24"/>
          <w:i/>
        </w:rPr>
        <w:t xml:space="preserve">FigureÂ 8. Useful LLM proposal fraction across 30 replicates for three prompt conditions. Removing Elite solutions (w/o Elite) collapses proposal quality to near zero (***), while removing the Knowledge Table has no significant effect on useful fraction (ns). Significance: Wilcoxon signed-rank test vs. Full prompt.</w:t>
      </w:r>
    </w:p>
    <w:p>
      <w:pPr>
        <w:spacing w:before="0" w:after="160"/>
      </w:pPr>
      <w:r>
        <w:rPr>
          <w:rFonts w:ascii="Times New Roman" w:hAnsi="Times New Roman"/>
          <w:sz w:val="24"/>
        </w:rPr>
        <w:t xml:space="preserve">Without Elite solutions, only 0.59% of LLM proposals are useful per replicate â€” a 96% reduction (p &lt; 0.001, ***). In zero-shot mode the LLM cannot condition on the current Pareto front, so its proposals land far from the frontier and fail to contribute to hypervolume improvement. By contrast, removing the Knowledge Table has no significant effect on useful fraction (p = 0.127, ns), confirming that domain knowledge shapes the direction of search rather than the immediate competitiveness of individual proposals.</w:t>
      </w:r>
    </w:p>
    <w:p>
      <w:pPr>
        <w:spacing w:before="120" w:after="0"/>
      </w:pPr>
      <w:r>
        <w:rPr>
          <w:rFonts w:ascii="Times New Roman" w:hAnsi="Times New Roman"/>
          <w:sz w:val="24"/>
        </w:rPr>
        <w:t xml:space="preserve"/>
      </w:r>
    </w:p>
    <w:p>
      <w:pPr>
        <w:spacing w:before="120" w:after="0"/>
      </w:pPr>
      <w:r>
        <w:rPr>
          <w:rFonts w:ascii="Times New Roman" w:hAnsi="Times New Roman"/>
          <w:sz w:val="24"/>
        </w:rPr>
        <w:t xml:space="preserve"/>
      </w:r>
    </w:p>
    <w:p>
      <w:pPr>
        <w:spacing w:before="240" w:after="80"/>
      </w:pPr>
      <w:r>
        <w:rPr>
          <w:rFonts w:ascii="Times New Roman" w:hAnsi="Times New Roman"/>
          <w:sz w:val="28"/>
          <w:b/>
        </w:rPr>
        <w:t xml:space="preserve">6. Discussion</w:t>
      </w:r>
    </w:p>
    <w:p>
      <w:pPr>
        <w:spacing w:before="0" w:after="160"/>
      </w:pPr>
      <w:r>
        <w:rPr>
          <w:rFonts w:ascii="Times New Roman" w:hAnsi="Times New Roman"/>
          <w:sz w:val="24"/>
        </w:rPr>
        <w:t xml:space="preserve"/>
      </w:r>
    </w:p>
    <w:p>
      <w:pPr>
        <w:spacing w:before="240" w:after="80"/>
      </w:pPr>
      <w:r>
        <w:rPr>
          <w:rFonts w:ascii="Times New Roman" w:hAnsi="Times New Roman"/>
          <w:sz w:val="26"/>
          <w:b/>
        </w:rPr>
        <w:t xml:space="preserve">6.1 Physical Interpretation of the Pareto Front</w:t>
      </w:r>
    </w:p>
    <w:p>
      <w:pPr>
        <w:spacing w:before="0" w:after="160"/>
      </w:pPr>
      <w:r>
        <w:rPr>
          <w:rFonts w:ascii="Times New Roman" w:hAnsi="Times New Roman"/>
          <w:sz w:val="24"/>
        </w:rPr>
        <w:t xml:space="preserve">To interpret the physical significance of the optimised Pareto front, we pooled all 30 FLAME replicates into a global non-dominated set of 85Â solutions spanning GWPÂ 137â€“278Â kgÂ COâ‚‚/mÂ³ and 28-day compressive strength 46â€“103Â MPa, and examined the statistical drivers of GWP variation across this full set.</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The dominant finding is that total binder content (Portland cementÂ +Â slagÂ +Â fly ash, kg/mÂ³) is the overwhelming driver of GWP variation along the front. The Spearman rank correlation between GWP and binder content is râ‚›Â =Â +0.994 (pÂ &lt;Â 0.001), approaching a perfect monotonic relationship (FigureÂ 9a). Ordinary-least-squares regression confirms that binder content alone explains 86% of GWP variance (RÂ²Â =Â 0.862), whereas the effective binder GWP factor (the carbon-intensity-weighted average over PC, SC, and FA, which captures how much SCM substitution has occurred) explains only 32% alone (RÂ²Â =Â 0.317). In the joint model their standardised coefficients are Î²(binder)Â =Â 1.43 versus Î²(eff.Â GWPÂ factor)Â =Â 0.61 (joint RÂ²Â =Â 0.983), confirming that binder quantity dominates binder quality as a GWP lever across the full trade-off range.</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The SC substitution rate shows a moderate positive Spearman correlation with GWP (râ‚›Â =Â +0.367, pÂ &lt;Â 0.001, FigureÂ 9b) â€” apparently paradoxical given that SC has a far lower carbon intensity than PC (0.052 vs.Â 0.82Â kgÂ COâ‚‚/kg). This positive association is an indirect effect of the Pareto trade-off structure: high-strength designs require both greater total binder content (raising GWP) and a higher SC fraction (to enable the low w/b ratios needed for strength), so SC% and GWP rise together at the high-strength end of the front. Conversely, the effective binder GWP factor is negatively correlated with total GWP (râ‚›Â =Â âˆ’0.623, pÂ &lt;Â 0.001): high-GWP, high-strength solutions actually carry a greener per-kilogram binder profile, but the substantially larger binder mass overwhelms this substitution benefit. The lean-binder insight follows directly: at moderate to high strength targets, the most effective GWP reduction strategy is to minimise total cementitious content â€” through higher w/b, workability optimisation, or aggregate grading â€” rather than to maximise SC substitution rate. Maximising SC% is appropriate only when very high strength is required and a low w/b is unavoidable; otherwise it confounds the more powerful binder-mass lever.</w:t>
      </w:r>
    </w:p>
    <w:p>
      <w:pPr>
        <w:spacing w:before="0" w:after="160"/>
      </w:pPr>
      <w:r>
        <w:rPr>
          <w:rFonts w:ascii="Times New Roman" w:hAnsi="Times New Roman"/>
          <w:sz w:val="24"/>
        </w:rPr>
        <w:t xml:space="preserve"/>
      </w:r>
    </w:p>
    <w:p>
      <w:pPr>
        <w:spacing w:before="120" w:after="40"/>
      </w:pPr>
      <w:r>
        <w:rPr>
          <w:rFonts w:ascii="Times New Roman" w:hAnsi="Times New Roman"/>
          <w:sz w:val="20"/>
          <w:i/>
        </w:rPr>
        <w:t xml:space="preserve">FigureÂ 9. GWP vs.Â total binder content across the 85-solution aggregate FLAME Pareto front (râ‚›Â =Â +0.994, pÂ &lt;Â 0.001). Points are coloured by SC substitution rate. The near-perfect rank correlation confirms that total binder mass is the dominant GWP lever: binder content alone accounts for 86% of GWP variance across the trade-off curve (OLS RÂ²Â =Â 0.862), versus 32% for the effective binder GWP factor (which captures SCM substitution rate). The dashed line shows the OLS fit.</w:t>
      </w:r>
    </w:p>
    <w:p>
      <w:pPr>
        <w:jc w:val="center"/>
        <w:spacing w:before="0" w:after="160"/>
      </w:pPr>
      <w:r>
        <w:drawing>
          <wp:inline distT="0" distB="114300" distL="0" distR="0">
            <wp:extent cx="5400000" cy="2408553"/>
            <wp:docPr id="9" name="Figure 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 name="fig9_9.png"/>
                    <ns4:cNvPicPr/>
                  </ns4:nvPicPr>
                  <ns4:blipFill>
                    <ns3:blip r:embed="rId43"/>
                    <ns3:stretch>
                      <ns3:fillRect/>
                    </ns3:stretch>
                  </ns4:blipFill>
                  <ns4:spPr>
                    <ns3:xfrm>
                      <ns3:off x="0" y="0"/>
                      <ns3:ext cx="5400000" cy="2408553"/>
                    </ns3:xfrm>
                    <ns3:prstGeom prst="rect">
                      <ns3:avLst/>
                    </ns3:prstGeom>
                  </ns4:spPr>
                </ns4:pic>
              </ns3:graphicData>
            </ns3:graphic>
          </wp:inline>
        </w:drawing>
      </w:r>
    </w:p>
    <w:p>
      <w:pPr>
        <w:spacing w:before="0" w:after="160"/>
      </w:pPr>
      <w:r>
        <w:rPr>
          <w:rFonts w:ascii="Times New Roman" w:hAnsi="Times New Roman"/>
          <w:sz w:val="24"/>
        </w:rPr>
        <w:t xml:space="preserve"/>
      </w:r>
    </w:p>
    <w:p>
      <w:pPr>
        <w:spacing w:before="240" w:after="80"/>
      </w:pPr>
      <w:r>
        <w:rPr>
          <w:rFonts w:ascii="Times New Roman" w:hAnsi="Times New Roman"/>
          <w:sz w:val="26"/>
          <w:b/>
        </w:rPr>
        <w:t xml:space="preserve">6.2 FLAME Coverage of the High-Strength Region</w:t>
      </w:r>
    </w:p>
    <w:p>
      <w:pPr>
        <w:spacing w:before="0" w:after="160"/>
      </w:pPr>
      <w:r>
        <w:rPr>
          <w:rFonts w:ascii="Times New Roman" w:hAnsi="Times New Roman"/>
          <w:sz w:val="24"/>
        </w:rPr>
        <w:t xml:space="preserve">FLAME discovers 38 non-dominated designs with fâ‚‚â‚ˆÂ &gt;Â 80Â MPa against 19 for NSGA-II alone â€” a 2.0Ã— advantage. More importantly, the minimum GWP among these high-strength designs is 193.3Â kgÂ COâ‚‚/mÂ³ for FLAME versus 201.5Â kgÂ COâ‚‚/mÂ³ for NSGA-II, a saving of 8.2Â kgÂ COâ‚‚/mÂ³ at equivalent performance. The maximum achievable strength also increases from 99.7Â MPa (NSGA-II) to 103.3Â MPa (FLAME), extending the frontier by 3.6Â MPa. At the low-GWP extreme, both methods reach comparable minima (FLAMEÂ 136.8 vs.Â NSGA-IIÂ 137.3Â kgÂ COâ‚‚/mÂ³), suggesting that the lean-binder low-carbon designs are accessible through genetic search alone given sufficient generations.</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The high-strength advantage can be attributed to the LLMâ€™s ability to propose mixes with very low w/b and high binder content â€” designs that occupy a narrow, hard-to-discover region of the search space. NSGA-IIâ€™s crossover and mutation operators explore this region slowly because the feasibility constraints (admixture dosage limits, aggregate proportions) become tight at high binder content, and randomly sampled mutations are frequently infeasible. The LLM, conditioned on elite solutions that already approach this region and guided by domain knowledge of the low-w/b strategy, proposes targeted mixes that pass feasibility checks at a substantially higher rate and land non-dominated, extending the front into the high-strength zone.</w:t>
      </w:r>
    </w:p>
    <w:p>
      <w:pPr>
        <w:spacing w:before="0" w:after="160"/>
      </w:pPr>
      <w:r>
        <w:rPr>
          <w:rFonts w:ascii="Times New Roman" w:hAnsi="Times New Roman"/>
          <w:sz w:val="24"/>
        </w:rPr>
        <w:t xml:space="preserve"/>
      </w:r>
    </w:p>
    <w:p>
      <w:pPr>
        <w:spacing w:before="240" w:after="80"/>
      </w:pPr>
      <w:r>
        <w:rPr>
          <w:rFonts w:ascii="Times New Roman" w:hAnsi="Times New Roman"/>
          <w:sz w:val="26"/>
          <w:b/>
        </w:rPr>
        <w:t xml:space="preserve">6.3 Limitations and Future Work</w:t>
      </w:r>
    </w:p>
    <w:p>
      <w:pPr>
        <w:spacing w:before="0" w:after="160"/>
      </w:pPr>
      <w:r>
        <w:rPr>
          <w:rFonts w:ascii="Times New Roman" w:hAnsi="Times New Roman"/>
          <w:sz w:val="24"/>
        </w:rPr>
        <w:t xml:space="preserve">Several limitations warrant attention. First, all results rely on a surrogate strength model trained on historical mix data; predictions at the high-strength extreme (fâ‚‚â‚ˆÂ &gt;Â 90Â MPa) may carry higher uncertainty and should be verified through laboratory trials. Second, each FLAME run requires approximately 15 LLM API calls per generation (1,500 calls per replicate at NÂ =Â 15, 100 generations), which imposes a non-trivial computational cost relative to pure NSGA-II; practical deployment would benefit from caching or batching strategies. Third, the promptâ€™s Knowledge Table was manually curated for this specific material system; adapting FLAME to a new concrete type or a different multi-objective problem requires re-engineering the domain knowledge component. Future work could explore automated knowledge extraction from literature, extension to three or more objectives (e.g., cost, durability, workability), and integration with active-learning experimental campaigns to close the loop between simulation-based optimization and physical validation.</w:t>
      </w:r>
    </w:p>
    <w:p>
      <w:pPr>
        <w:spacing w:before="0" w:after="160"/>
      </w:pPr>
    </w:p>
    <w:p>
      <w:pPr>
        <w:spacing w:before="0" w:after="160"/>
        <w:jc w:val="center"/>
      </w:pPr>
      <w:r>
        <w:drawing>
          <wp:inline distT="0" distB="0" distL="0" distR="0">
            <wp:extent cx="4855464" cy="3721608"/>
            <wp:effectExtent l="0" t="0" r="0" b="0"/>
            <wp:docPr id="24" name="gwp_strength_ratio_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GWPStr"/>
                    <a:srcRect/>
                    <a:stretch>
                      <a:fillRect/>
                    </a:stretch>
                  </pic:blipFill>
                  <pic:spPr bwMode="auto">
                    <a:xfrm>
                      <a:off x="0" y="0"/>
                      <a:ext cx="4855464" cy="3721608"/>
                    </a:xfrm>
                    <a:prstGeom prst="rect">
                      <a:avLst/>
                    </a:prstGeom>
                  </pic:spPr>
                </pic:pic>
              </a:graphicData>
            </a:graphic>
          </wp:inline>
        </w:drawing>
      </w:r>
    </w:p>
    <w:p>
      <w:pPr>
        <w:spacing w:before="0" w:after="160"/>
        <w:jc w:val="center"/>
      </w:pPr>
      <w:r>
        <w:drawing>
          <wp:inline distT="0" distB="0" distL="0" distR="0">
            <wp:extent cx="5029200" cy="3629950"/>
            <wp:effectExtent l="0" t="0" r="0" b="0"/>
            <wp:docPr id="20" name="conv_part1_h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ConvHV"/>
                    <a:srcRect/>
                    <a:stretch>
                      <a:fillRect/>
                    </a:stretch>
                  </pic:blipFill>
                  <pic:spPr bwMode="auto">
                    <a:xfrm>
                      <a:off x="0" y="0"/>
                      <a:ext cx="5029200" cy="3629950"/>
                    </a:xfrm>
                    <a:prstGeom prst="rect">
                      <a:avLst/>
                    </a:prstGeom>
                  </pic:spPr>
                </pic:pic>
              </a:graphicData>
            </a:graphic>
          </wp:inline>
        </w:drawing>
      </w:r>
    </w:p>
    <w:p>
      <w:pPr>
        <w:spacing w:before="0" w:after="160"/>
      </w:pPr>
    </w:p>
    <w:p>
      <w:pPr>
        <w:spacing w:before="0" w:after="160"/>
        <w:jc w:val="center"/>
      </w:pPr>
      <w:r>
        <w:drawing>
          <wp:inline distT="0" distB="0" distL="0" distR="0">
            <wp:extent cx="5029200" cy="3606627"/>
            <wp:effectExtent l="0" t="0" r="0" b="0"/>
            <wp:docPr id="21" name="conv_part1_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ConvPF"/>
                    <a:srcRect/>
                    <a:stretch>
                      <a:fillRect/>
                    </a:stretch>
                  </pic:blipFill>
                  <pic:spPr bwMode="auto">
                    <a:xfrm>
                      <a:off x="0" y="0"/>
                      <a:ext cx="5029200" cy="3606627"/>
                    </a:xfrm>
                    <a:prstGeom prst="rect">
                      <a:avLst/>
                    </a:prstGeom>
                  </pic:spPr>
                </pic:pic>
              </a:graphicData>
            </a:graphic>
          </wp:inline>
        </w:drawing>
      </w:r>
    </w:p>
    <w:p>
      <w:pPr>
        <w:spacing w:before="0" w:after="160"/>
        <w:jc w:val="center"/>
      </w:pPr>
      <w:r>
        <w:drawing>
          <wp:inline distT="0" distB="0" distL="0" distR="0">
            <wp:extent cx="4933188" cy="3557016"/>
            <wp:effectExtent l="0" t="0" r="0" b="0"/>
            <wp:docPr id="22" name="conv_4way_h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wayHV"/>
                    <a:srcRect/>
                    <a:stretch>
                      <a:fillRect/>
                    </a:stretch>
                  </pic:blipFill>
                  <pic:spPr bwMode="auto">
                    <a:xfrm>
                      <a:off x="0" y="0"/>
                      <a:ext cx="4933188" cy="3557016"/>
                    </a:xfrm>
                    <a:prstGeom prst="rect">
                      <a:avLst/>
                    </a:prstGeom>
                  </pic:spPr>
                </pic:pic>
              </a:graphicData>
            </a:graphic>
          </wp:inline>
        </w:drawing>
      </w:r>
    </w:p>
    <w:p>
      <w:pPr>
        <w:spacing w:before="0" w:after="160"/>
        <w:jc w:val="center"/>
      </w:pPr>
      <w:r>
        <w:drawing>
          <wp:inline distT="0" distB="0" distL="0" distR="0">
            <wp:extent cx="4933188" cy="3538728"/>
            <wp:effectExtent l="0" t="0" r="0" b="0"/>
            <wp:docPr id="23" name="conv_4way_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wayPF"/>
                    <a:srcRect/>
                    <a:stretch>
                      <a:fillRect/>
                    </a:stretch>
                  </pic:blipFill>
                  <pic:spPr bwMode="auto">
                    <a:xfrm>
                      <a:off x="0" y="0"/>
                      <a:ext cx="4933188" cy="3538728"/>
                    </a:xfrm>
                    <a:prstGeom prst="rect">
                      <a:avLst/>
                    </a:prstGeom>
                  </pic:spPr>
                </pic:pic>
              </a:graphicData>
            </a:graphic>
          </wp:inline>
        </w:drawing>
      </w:r>
    </w:p>
    <w:p>
      <w:pPr>
        <w:spacing w:before="0" w:after="160"/>
      </w:pPr>
    </w:p>
    <w:sectPr w:rsidR="00AE4894">
      <w:pgSz w:w="12240" w:h="15840"/>
      <w:pgMar w:top="1440" w:right="180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3026F4"/>
    <w:multiLevelType w:val="hybridMultilevel"/>
    <w:tmpl w:val="1A4AF9EC"/>
    <w:lvl w:ilvl="0" w:tplc="6EE47FD8">
      <w:start w:val="1"/>
      <w:numFmt w:val="bullet"/>
      <w:lvlText w:val="●"/>
      <w:lvlJc w:val="left"/>
      <w:pPr>
        <w:ind w:left="720" w:hanging="360"/>
      </w:pPr>
    </w:lvl>
    <w:lvl w:ilvl="1" w:tplc="18B058D4">
      <w:start w:val="1"/>
      <w:numFmt w:val="bullet"/>
      <w:lvlText w:val="○"/>
      <w:lvlJc w:val="left"/>
      <w:pPr>
        <w:ind w:left="1440" w:hanging="360"/>
      </w:pPr>
    </w:lvl>
    <w:lvl w:ilvl="2" w:tplc="37F40BC2">
      <w:start w:val="1"/>
      <w:numFmt w:val="bullet"/>
      <w:lvlText w:val="■"/>
      <w:lvlJc w:val="left"/>
      <w:pPr>
        <w:ind w:left="2160" w:hanging="360"/>
      </w:pPr>
    </w:lvl>
    <w:lvl w:ilvl="3" w:tplc="60BEEC7E">
      <w:start w:val="1"/>
      <w:numFmt w:val="bullet"/>
      <w:lvlText w:val="●"/>
      <w:lvlJc w:val="left"/>
      <w:pPr>
        <w:ind w:left="2880" w:hanging="360"/>
      </w:pPr>
    </w:lvl>
    <w:lvl w:ilvl="4" w:tplc="1D42D07E">
      <w:start w:val="1"/>
      <w:numFmt w:val="bullet"/>
      <w:lvlText w:val="○"/>
      <w:lvlJc w:val="left"/>
      <w:pPr>
        <w:ind w:left="3600" w:hanging="360"/>
      </w:pPr>
    </w:lvl>
    <w:lvl w:ilvl="5" w:tplc="F0324616">
      <w:start w:val="1"/>
      <w:numFmt w:val="bullet"/>
      <w:lvlText w:val="■"/>
      <w:lvlJc w:val="left"/>
      <w:pPr>
        <w:ind w:left="4320" w:hanging="360"/>
      </w:pPr>
    </w:lvl>
    <w:lvl w:ilvl="6" w:tplc="3CB4448E">
      <w:start w:val="1"/>
      <w:numFmt w:val="bullet"/>
      <w:lvlText w:val="●"/>
      <w:lvlJc w:val="left"/>
      <w:pPr>
        <w:ind w:left="5040" w:hanging="360"/>
      </w:pPr>
    </w:lvl>
    <w:lvl w:ilvl="7" w:tplc="606C6632">
      <w:start w:val="1"/>
      <w:numFmt w:val="bullet"/>
      <w:lvlText w:val="●"/>
      <w:lvlJc w:val="left"/>
      <w:pPr>
        <w:ind w:left="5760" w:hanging="360"/>
      </w:pPr>
    </w:lvl>
    <w:lvl w:ilvl="8" w:tplc="E64A45B4">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E4894"/>
    <w:rsid w:val="00AE4894"/>
    <w:rsid w:val="00BE68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795839A-4F4F-453D-9899-422C5EC9F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zh-CN"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&#65279;<?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ConvFig" Type="http://schemas.openxmlformats.org/officeDocument/2006/relationships/image" Target="media/convergence_everyg.png"/><Relationship Id="rIdDeltaHV" Type="http://schemas.openxmlformats.org/officeDocument/2006/relationships/image" Target="media/delta_hv_incremental_everyg.png"/><Relationship Id="rIdStep2Area" Type="http://schemas.openxmlformats.org/officeDocument/2006/relationships/image" Target="media/step2_area.png"/><Relationship Id="rIdStep3Div" Type="http://schemas.openxmlformats.org/officeDocument/2006/relationships/image" Target="media/step3_paired.png"/><Relationship Id="rId41Pareto" Type="http://schemas.openxmlformats.org/officeDocument/2006/relationships/image" Target="media/step41_pareto.png"/><Relationship Id="rId41Conv" Type="http://schemas.openxmlformats.org/officeDocument/2006/relationships/image" Target="media/step41_convergence.png"/><Relationship Id="rId42" Type="http://schemas.openxmlformats.org/officeDocument/2006/relationships/image" Target="media/image_fig8.png"/><Relationship Id="rId43" Type="http://schemas.openxmlformats.org/officeDocument/2006/relationships/image" Target="media/fig9_pareto_gwp.png"/><Relationship Id="rId44" Type="http://schemas.openxmlformats.org/officeDocument/2006/relationships/image" Target="media/fig9_pareto_gwp.png"/><Relationship Id="rIdConvHV" Type="http://schemas.openxmlformats.org/officeDocument/2006/relationships/image" Target="media/conv_part1_hv.png"/><Relationship Id="rIdConvPF" Type="http://schemas.openxmlformats.org/officeDocument/2006/relationships/image" Target="media/conv_part1_pf.png"/><Relationship Id="rIdGWPStr" Type="http://schemas.openxmlformats.org/officeDocument/2006/relationships/image" Target="media/gwp_strength_ratio_pf.png"/><Relationship Id="rId4wayHV" Type="http://schemas.openxmlformats.org/officeDocument/2006/relationships/image" Target="media/conv_4way_hv.png"/><Relationship Id="rId4wayPF" Type="http://schemas.openxmlformats.org/officeDocument/2006/relationships/image" Target="media/conv_4way_pf.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7</Pages>
  <Words>1897</Words>
  <Characters>10818</Characters>
  <Application>Microsoft Office Word</Application>
  <DocSecurity>0</DocSecurity>
  <Lines>90</Lines>
  <Paragraphs>25</Paragraphs>
  <ScaleCrop>false</ScaleCrop>
  <Company/>
  <LinksUpToDate>false</LinksUpToDate>
  <CharactersWithSpaces>12690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Tianjie Zhang</cp:lastModifiedBy>
  <cp:revision>2</cp:revision>
  <dcterms:created xsi:type="dcterms:W3CDTF">2026-08-29T16:19:00Z</dcterms:created>
  <dcterms:modified xsi:type="dcterms:W3CDTF">2026-08-29T16:22:00Z</dcterms:modified>
</cp:coreProperties>
</file>