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jc w:val="center"/>
        <w:spacing w:before="0" w:after="240"/>
      </w:pPr>
      <w:r>
        <w:rPr>
          <w:rFonts w:ascii="Times New Roman" w:hAnsi="Times New Roman"/>
          <w:sz w:val="32"/>
          <w:b/>
        </w:rPr>
        <w:t xml:space="preserve">FLAME: Front-Guided LLM-Augmented Multi-Objective Evolution for Sustainable Concrete Mix Design</w:t>
      </w:r>
    </w:p>
    <w:p>
      <w:pPr>
        <w:spacing w:before="0" w:after="80"/>
      </w:pPr>
      <w:r>
        <w:rPr>
          <w:rFonts w:ascii="Times New Roman" w:hAnsi="Times New Roman"/>
          <w:sz w:val="24"/>
        </w:rPr>
        <w:t xml:space="preserve"/>
      </w:r>
    </w:p>
    <w:p>
      <w:pPr>
        <w:spacing w:before="0" w:after="80"/>
      </w:pPr>
      <w:r>
        <w:rPr>
          <w:rFonts w:ascii="Times New Roman" w:hAnsi="Times New Roman"/>
          <w:sz w:val="24"/>
          <w:b/>
        </w:rPr>
        <w:t xml:space="preserve">Abstract</w:t>
      </w:r>
    </w:p>
    <w:p>
      <w:pPr>
        <w:spacing w:before="0" w:after="160"/>
      </w:pPr>
      <w:r>
        <w:rPr>
          <w:rFonts w:ascii="Times New Roman" w:hAnsi="Times New Roman"/>
          <w:sz w:val="24"/>
        </w:rPr>
        <w:t xml:space="preserve">Optimising concrete mix design for simultaneously low embodied carbon and high 28-day compressive strength is a high-dimensional, multi-objective problem for which conventional genetic algorithms lack targeted domain guidance. We propose FLAME (Front-guided LLM-Augmented Multi-objective Evolution), a hybrid framework that integrates a large language model (LLM) into the offspring generation stage of NSGA-II in augment mode: NÂ =Â 15 LLM-proposed concrete mixes are added to the offspring pool each generation alongside genetic offspring, conditioned on a Knowledge Table of domain expertise and the current Pareto-elite solutions as few-shot examples. Across 30 paired replicates, FLAME achieves a mean hypervolume improvement of Î”HVÂ =Â +0.082 relative to NSGA-II (83% of replicates improved, pÂ &lt;Â 0.001, Wilcoxon signed-rank test). A systematic N-sweep confirms NÂ =Â 15 as optimal; at this injection count, augment mode significantly outperforms the replace-mode hybrid of Lu et al.Â (pÂ =Â 0.299, not significant) because augmentation preserves NSGA-IIâ€™s crowding-distance diversity maintenance. Prompt ablation identifies the Knowledge Table as the critical component: removing it eliminates statistical significance and shifts binder strategy significantly (slag-cement fraction âˆ’Â 5.8 percentage points, pÂ &lt;Â 0.001), whereas removing elite solutions collapses the useful proposal rate from 13.8% to 0.59% but leaves binder composition unchanged. Analysis of the aggregate Pareto front reveals that FLAME discovers twice as many high-strength solutions (fâ‚‚â‚ˆÂ &gt;Â 80Â MPa) as NSGA-II (38 vs.Â 19), at a lower minimum GWP. Furthermore, low-carbon designs are achieved primarily by reducing total binder content rather than by maximising slag substitution rateÂ â€” a counter-intuitive finding with practical implications for green concrete design. FLAME provides a reusable template for augmenting evolutionary multi-objective optimisers with domain-aware LLM guidance in any materials system with a formulable knowledge base.</w:t>
      </w:r>
    </w:p>
    <w:p>
      <w:pPr>
        <w:spacing w:before="80" w:after="240"/>
      </w:pPr>
      <w:r>
        <w:rPr>
          <w:rFonts w:ascii="Times New Roman" w:hAnsi="Times New Roman"/>
          <w:sz w:val="24"/>
          <w:b/>
        </w:rPr>
        <w:t xml:space="preserve">Keywords: </w:t>
      </w:r>
      <w:r>
        <w:rPr>
          <w:rFonts w:ascii="Times New Roman" w:hAnsi="Times New Roman"/>
          <w:sz w:val="24"/>
        </w:rPr>
        <w:t xml:space="preserve">multi-objective optimisation; concrete mix design; large language model; NSGA-II; Pareto front; hypervolume; supplementary cementitious materials; prompt engineering</w:t>
      </w:r>
    </w:p>
    <w:p>
      <w:pPr>
        <w:spacing w:before="240" w:after="80"/>
      </w:pPr>
      <w:r>
        <w:rPr>
          <w:rFonts w:ascii="Times New Roman" w:hAnsi="Times New Roman"/>
          <w:sz w:val="28"/>
          <w:b/>
        </w:rPr>
        <w:t xml:space="preserve">1. Introduction</w:t>
      </w:r>
    </w:p>
    <w:p>
      <w:pPr>
        <w:spacing w:before="0" w:after="160"/>
      </w:pPr>
      <w:r>
        <w:rPr>
          <w:rFonts w:ascii="Times New Roman" w:hAnsi="Times New Roman"/>
          <w:sz w:val="24"/>
        </w:rPr>
        <w:t xml:space="preserve">Concrete is the most widely manufactured material on Earth, with annual production exceeding 10Â billion tonnes [CITE]. Ordinary Portland cement (OPC), the primary binder, is responsible for approximately 8% of global COâ‚‚ emissions, owing to the calcination of limestone and the high-temperature kiln process required for clinker production [CITE]. Supplementary cementitious materials (SCMs) such as ground granulated blast-furnace slag (GGBS) and fly ash can partially replace OPC, substantially reducing the embodied carbon of concrete while preserving or enhancing mechanical performance [CITE]. Designing a concrete mix that simultaneously minimises greenhouse gas impact and maximises 28-day compressive strength is therefore a practically important but technically challenging problem: the two objectives conflict (lower-carbon binders generally increase water demand and can reduce early strength), and the design space is high-dimensional, comprising binder type and content, aggregate proportions, water-to-binder ratio, and chemical admixture dosages.</w:t>
      </w:r>
    </w:p>
    <w:p>
      <w:pPr>
        <w:spacing w:before="0" w:after="160"/>
      </w:pPr>
      <w:r>
        <w:rPr>
          <w:rFonts w:ascii="Times New Roman" w:hAnsi="Times New Roman"/>
          <w:sz w:val="24"/>
        </w:rPr>
        <w:t xml:space="preserve"/>
      </w:r>
    </w:p>
    <w:p>
      <w:pPr>
        <w:spacing w:before="0" w:after="160"/>
      </w:pPr>
      <w:r>
        <w:rPr>
          <w:rFonts w:ascii="Times New Roman" w:hAnsi="Times New Roman"/>
          <w:sz w:val="24"/>
        </w:rPr>
        <w:t xml:space="preserve">Multi-objective evolutionary algorithms (MOEAs), particularly NSGA-II [CITE], have become the standard tool for Pareto-based concrete mix optimisation [CITE]. Paired with machine-learning surrogate models trained on historical mix data, they can explore large design spaces without costly physical experiments [CITE]. Yet MOEAs rely entirely on crossover and mutation operators to generate candidate solutions: these operators are domain-agnostic and sample the search space uniformly, making it slow to discover narrow, constraint-tight regions â€” such as ultra-low w/b, high-binder mixes â€” that are physically motivated but rarely reached by random recombination.</w:t>
      </w:r>
    </w:p>
    <w:p>
      <w:pPr>
        <w:spacing w:before="0" w:after="160"/>
      </w:pPr>
      <w:r>
        <w:rPr>
          <w:rFonts w:ascii="Times New Roman" w:hAnsi="Times New Roman"/>
          <w:sz w:val="24"/>
        </w:rPr>
        <w:t xml:space="preserve"/>
      </w:r>
    </w:p>
    <w:p>
      <w:pPr>
        <w:spacing w:before="0" w:after="160"/>
      </w:pPr>
      <w:r>
        <w:rPr>
          <w:rFonts w:ascii="Times New Roman" w:hAnsi="Times New Roman"/>
          <w:sz w:val="24"/>
        </w:rPr>
        <w:t xml:space="preserve">Large language models (LLMs) have recently demonstrated remarkable capability in scientific and engineering domains, including materials property prediction, crystal structure generation, and inverse design [CITE]. Their strength lies in encoding broad domain knowledge from the training corpus and reasoning about structureâ€“property relationships in natural language. Several recent studies have explored LLM-assisted optimisation: OPRO [CITE] uses an LLM as an optimiser for combinatorial problems; FunSearch [CITE] applies LLMs to mathematical discovery; and domain-specific work has shown that LLMs can propose chemically plausible candidates when conditioned on prior experimental results [CITE]. In the concrete domain, Lu et al.Â [CITE] proposed a hybrid approach in which LLM-generated solutions replace a fraction of NSGA-II offspring each generation, demonstrating proof-of-concept improvement at small injection counts.</w:t>
      </w:r>
    </w:p>
    <w:p>
      <w:pPr>
        <w:spacing w:before="0" w:after="160"/>
      </w:pPr>
      <w:r>
        <w:rPr>
          <w:rFonts w:ascii="Times New Roman" w:hAnsi="Times New Roman"/>
          <w:sz w:val="24"/>
        </w:rPr>
        <w:t xml:space="preserve"/>
      </w:r>
    </w:p>
    <w:p>
      <w:pPr>
        <w:spacing w:before="0" w:after="160"/>
      </w:pPr>
      <w:r>
        <w:rPr>
          <w:rFonts w:ascii="Times New Roman" w:hAnsi="Times New Roman"/>
          <w:sz w:val="24"/>
        </w:rPr>
        <w:t xml:space="preserve">However, two gaps remain. First, the replace-mode hybrid â€” in which LLM solutions substitute for genetic offspring â€” is inherently limited in scalability: at higher injection counts, displaced offspring reduce the genetic diversity that NSGA-IIâ€™s crowding-distance mechanism relies upon, ultimately degrading rather than improving the Pareto front. Second, the relative contribution of different prompt components (domain knowledge, few-shot elite examples, objective specification) has not been systematically characterised, leaving it unclear which elements of the prompt actually drive performance. Without this understanding, extending LLM-hybrid methods to new material systems requires trial-and-error prompt engineering rather than principled design.</w:t>
      </w:r>
    </w:p>
    <w:p>
      <w:pPr>
        <w:spacing w:before="0" w:after="160"/>
      </w:pPr>
      <w:r>
        <w:rPr>
          <w:rFonts w:ascii="Times New Roman" w:hAnsi="Times New Roman"/>
          <w:sz w:val="24"/>
        </w:rPr>
        <w:t xml:space="preserve"/>
      </w:r>
    </w:p>
    <w:p>
      <w:pPr>
        <w:spacing w:before="0" w:after="160"/>
      </w:pPr>
      <w:r>
        <w:rPr>
          <w:rFonts w:ascii="Times New Roman" w:hAnsi="Times New Roman"/>
          <w:sz w:val="24"/>
        </w:rPr>
        <w:t xml:space="preserve">This paper addresses both gaps with FLAME (Front-guided LLM-Augmented Multi-objective Evolution), a hybrid framework that injects LLM-proposed concrete mixes into the offspring pool of NSGA-II in augment mode: LLM candidates are added alongside genetic offspring rather than replacing them, letting NSGA-IIâ€™s selection decide their fate. FLAMEâ€™s prompt conditions the LLM on the current Pareto front (elite solutions) and a curated Knowledge Table encoding domain expertise on binder GWP factors, strength mechanisms, and mix-design strategy. We evaluate FLAME across 30 paired replicates against a common NSGA-II baseline and conduct a systematic study of injection count N, mode (augment vs. replace), and prompt component ablation. The main findings are: (i) FLAME achieves a statistically significant hypervolume improvement of Î”HVÂ =Â +0.082 (pÂ &lt;Â 0.001, Wilcoxon signed-rank) with NÂ =Â 15 proposals per generation; (ii) augment mode outperforms replace mode because it preserves genetic diversity; (iii) the Knowledge Table is the most critical prompt component, driving a measurable shift in binder strategy; and (iv) analysis of the aggregate Pareto front reveals that low-carbon designs are achieved primarily by reducing total binder content rather than by maximising slag substitution rate, a counter-intuitive finding with practical design implications.</w:t>
      </w:r>
    </w:p>
    <w:p>
      <w:pPr>
        <w:spacing w:before="0" w:after="160"/>
      </w:pPr>
      <w:r>
        <w:rPr>
          <w:rFonts w:ascii="Times New Roman" w:hAnsi="Times New Roman"/>
          <w:sz w:val="24"/>
        </w:rPr>
        <w:t xml:space="preserve"/>
      </w:r>
    </w:p>
    <w:p>
      <w:pPr>
        <w:spacing w:before="0" w:after="160"/>
      </w:pPr>
      <w:r>
        <w:rPr>
          <w:rFonts w:ascii="Times New Roman" w:hAnsi="Times New Roman"/>
          <w:sz w:val="24"/>
        </w:rPr>
        <w:t xml:space="preserve">The remainder of this paper is organised as follows. SectionÂ 2 describes the dataset, problem formulation, and surrogate model. SectionÂ 3 presents the FLAME framework, including prompt design and key architectural decisions. SectionÂ 4 details the experimental setup. SectionÂ 5 reports the results across five analyses: main HV comparison, LLM proposal quality, Pareto front diversity, N-sweep, method comparison, and prompt ablation. SectionÂ 6 discusses physical implications and method limitations. SectionÂ 7 concludes.</w:t>
      </w:r>
    </w:p>
    <w:p>
      <w:pPr>
        <w:spacing w:before="120" w:after="0"/>
      </w:pPr>
      <w:r>
        <w:rPr>
          <w:rFonts w:ascii="Times New Roman" w:hAnsi="Times New Roman"/>
          <w:sz w:val="24"/>
        </w:rPr>
        <w:t xml:space="preserve"/>
      </w:r>
    </w:p>
    <w:p w:rsidR="00AE4894" w:rsidRDefault="00BE6831">
      <w:pPr>
        <w:pStyle w:val="Heading1"/>
        <w:spacing w:before="360" w:after="120"/>
      </w:pPr>
      <w:r>
        <w:rPr>
          <w:b/>
          <w:bCs/>
        </w:rPr>
        <w:t>2. Dataset, Problem Formulation, and Surrogate Model</w:t>
      </w:r>
    </w:p>
    <w:p w:rsidR="00AE4894" w:rsidRDefault="00BE6831">
      <w:pPr>
        <w:pStyle w:val="Heading2"/>
        <w:spacing w:before="240" w:after="100"/>
      </w:pPr>
      <w:r>
        <w:rPr>
          <w:b/>
          <w:bCs/>
          <w:sz w:val="28"/>
          <w:szCs w:val="28"/>
        </w:rPr>
        <w:t>2.1 Dataset and Preprocessing</w:t>
      </w:r>
    </w:p>
    <w:p w:rsidR="00AE4894" w:rsidRDefault="00BE6831">
      <w:pPr>
        <w:spacing w:after="120"/>
      </w:pPr>
      <w:r>
        <w:t xml:space="preserve">The training dataset for the surrogate model was compiled from publicly available literature on supplementary cementitious material (SCM) concrete, aggregating </w:t>
      </w:r>
      <w:r>
        <w:rPr>
          <w:b/>
          <w:bCs/>
        </w:rPr>
        <w:t>756 mix designs</w:t>
      </w:r>
      <w:r>
        <w:t xml:space="preserve"> that represent a broad range of North American concrete practice. The source data were recorded in Imperial units (</w:t>
      </w:r>
      <w:proofErr w:type="spellStart"/>
      <w:r>
        <w:t>lb</w:t>
      </w:r>
      <w:proofErr w:type="spellEnd"/>
      <w:r>
        <w:t xml:space="preserve">/ydÂ³ for bulk materials; </w:t>
      </w:r>
      <w:proofErr w:type="spellStart"/>
      <w:r>
        <w:t>oz</w:t>
      </w:r>
      <w:proofErr w:type="spellEnd"/>
      <w:r>
        <w:t xml:space="preserve">/ydÂ³ for liquid admixtures). All quantities were converted to SI (kg/mÂ³) using the unit factors </w:t>
      </w:r>
      <w:r>
        <w:t>1Â </w:t>
      </w:r>
      <w:proofErr w:type="spellStart"/>
      <w:r>
        <w:t>lb</w:t>
      </w:r>
      <w:proofErr w:type="spellEnd"/>
      <w:r>
        <w:t>/ydÂ³Â =Â 0.5933Â kg/mÂ³ and 1Â </w:t>
      </w:r>
      <w:proofErr w:type="spellStart"/>
      <w:r>
        <w:t>oz</w:t>
      </w:r>
      <w:proofErr w:type="spellEnd"/>
      <w:r>
        <w:t>/ydÂ³Â =Â 0.03708Â kg/mÂ³, yielding consistent mass-per-unit-volume quantities for model training and constraint enforcement.</w:t>
      </w:r>
    </w:p>
    <w:p w:rsidR="00AE4894" w:rsidRDefault="00BE6831">
      <w:pPr>
        <w:spacing w:after="120"/>
      </w:pPr>
      <w:r>
        <w:t>For each converted mix, a global warming potential (GWP) was computed analytically as:</w:t>
      </w:r>
    </w:p>
    <w:p w:rsidR="00AE4894" w:rsidRDefault="00BE6831">
      <w:pPr>
        <w:spacing w:before="80" w:after="80"/>
        <w:jc w:val="center"/>
      </w:pPr>
      <w:r>
        <w:rPr>
          <w:rFonts w:ascii="Courier New" w:eastAsia="Courier New" w:hAnsi="Courier New" w:cs="Courier New"/>
        </w:rPr>
        <w:t>GWP = 1.048Â·PC +</w:t>
      </w:r>
      <w:r>
        <w:rPr>
          <w:rFonts w:ascii="Courier New" w:eastAsia="Courier New" w:hAnsi="Courier New" w:cs="Courier New"/>
        </w:rPr>
        <w:t xml:space="preserve"> 0.328Â·FA + 0.264Â·SC + 0.0037Â·CAGG + 0.0026Â·FAGG</w:t>
      </w:r>
      <w:proofErr w:type="gramStart"/>
      <w:r>
        <w:rPr>
          <w:rFonts w:ascii="Courier New" w:eastAsia="Courier New" w:hAnsi="Courier New" w:cs="Courier New"/>
        </w:rPr>
        <w:t xml:space="preserve">   (</w:t>
      </w:r>
      <w:proofErr w:type="gramEnd"/>
      <w:r>
        <w:rPr>
          <w:rFonts w:ascii="Courier New" w:eastAsia="Courier New" w:hAnsi="Courier New" w:cs="Courier New"/>
        </w:rPr>
        <w:t>kg COâ‚‚-</w:t>
      </w:r>
      <w:proofErr w:type="spellStart"/>
      <w:r>
        <w:rPr>
          <w:rFonts w:ascii="Courier New" w:eastAsia="Courier New" w:hAnsi="Courier New" w:cs="Courier New"/>
        </w:rPr>
        <w:t>eq</w:t>
      </w:r>
      <w:proofErr w:type="spellEnd"/>
      <w:r>
        <w:rPr>
          <w:rFonts w:ascii="Courier New" w:eastAsia="Courier New" w:hAnsi="Courier New" w:cs="Courier New"/>
        </w:rPr>
        <w:t>/mÂ³)</w:t>
      </w:r>
    </w:p>
    <w:p w:rsidR="00AE4894" w:rsidRDefault="00BE6831">
      <w:pPr>
        <w:spacing w:after="120"/>
      </w:pPr>
      <w:r>
        <w:t>where the emission factors (kgÂ COâ‚‚-</w:t>
      </w:r>
      <w:proofErr w:type="spellStart"/>
      <w:r>
        <w:t>eq</w:t>
      </w:r>
      <w:proofErr w:type="spellEnd"/>
      <w:r>
        <w:t xml:space="preserve"> per kg material) are based on NRMCA industry average life-cycle inventory data [CITATION]. Admixtures and water carry negligible GWP and are excluded. T</w:t>
      </w:r>
      <w:r>
        <w:t xml:space="preserve">he resulting dataset spans GWP from </w:t>
      </w:r>
      <w:r>
        <w:rPr>
          <w:b/>
          <w:bCs/>
        </w:rPr>
        <w:t>169.0 to 534.5Â kgÂ COâ‚‚-</w:t>
      </w:r>
      <w:proofErr w:type="spellStart"/>
      <w:r>
        <w:rPr>
          <w:b/>
          <w:bCs/>
        </w:rPr>
        <w:t>eq</w:t>
      </w:r>
      <w:proofErr w:type="spellEnd"/>
      <w:r>
        <w:rPr>
          <w:b/>
          <w:bCs/>
        </w:rPr>
        <w:t>/mÂ³</w:t>
      </w:r>
      <w:r>
        <w:t xml:space="preserve"> and 28-day compressive strength from </w:t>
      </w:r>
      <w:r>
        <w:rPr>
          <w:b/>
          <w:bCs/>
        </w:rPr>
        <w:t>17.4 to 106.1Â MPa</w:t>
      </w:r>
      <w:r>
        <w:t xml:space="preserve"> (median 44.2Â MPa), covering a wide objective space for surrogate-based Pareto optimization. TableÂ 1 summarizes the dataset statistics.</w:t>
      </w:r>
    </w:p>
    <w:p w:rsidR="00AE4894" w:rsidRDefault="00BE6831">
      <w:pPr>
        <w:spacing w:before="160" w:after="60"/>
      </w:pPr>
      <w:r>
        <w:rPr>
          <w:b/>
          <w:bCs/>
        </w:rPr>
        <w:t>Ta</w:t>
      </w:r>
      <w:r>
        <w:rPr>
          <w:b/>
          <w:bCs/>
        </w:rPr>
        <w:t>ble 1. Dataset summary (nÂ = 756 mix designs, SI units)</w:t>
      </w:r>
    </w:p>
    <w:tbl>
      <w:tblPr>
        <w:tblW w:w="6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700"/>
        <w:gridCol w:w="1700"/>
        <w:gridCol w:w="700"/>
        <w:gridCol w:w="700"/>
        <w:gridCol w:w="700"/>
        <w:gridCol w:w="900"/>
      </w:tblGrid>
      <w:tr w:rsidR="00AE4894">
        <w:tblPrEx>
          <w:tblCellMar>
            <w:top w:w="0" w:type="dxa"/>
            <w:bottom w:w="0" w:type="dxa"/>
          </w:tblCellMar>
        </w:tblPrEx>
        <w:trPr>
          <w:tblHeader/>
        </w:trPr>
        <w:tc>
          <w:tcPr>
            <w:tcW w:w="1700" w:type="dxa"/>
            <w:tcBorders>
              <w:top w:val="single" w:sz="4" w:space="0" w:color="AAAAAA"/>
              <w:left w:val="single" w:sz="4" w:space="0" w:color="AAAAAA"/>
              <w:bottom w:val="single" w:sz="4" w:space="0" w:color="AAAAAA"/>
              <w:right w:val="single" w:sz="4" w:space="0" w:color="AAAAAA"/>
            </w:tcBorders>
            <w:shd w:val="clear" w:color="2F5597" w:fill="2F5597"/>
          </w:tcPr>
          <w:p w:rsidR="00AE4894" w:rsidRDefault="00BE6831">
            <w:pPr>
              <w:spacing w:before="40" w:after="40"/>
              <w:jc w:val="center"/>
            </w:pPr>
            <w:r>
              <w:rPr>
                <w:b/>
                <w:bCs/>
                <w:color w:val="FFFFFF"/>
                <w:sz w:val="20"/>
                <w:szCs w:val="20"/>
              </w:rPr>
              <w:t>Component</w:t>
            </w:r>
          </w:p>
        </w:tc>
        <w:tc>
          <w:tcPr>
            <w:tcW w:w="1700" w:type="dxa"/>
            <w:tcBorders>
              <w:top w:val="single" w:sz="4" w:space="0" w:color="AAAAAA"/>
              <w:left w:val="single" w:sz="4" w:space="0" w:color="AAAAAA"/>
              <w:bottom w:val="single" w:sz="4" w:space="0" w:color="AAAAAA"/>
              <w:right w:val="single" w:sz="4" w:space="0" w:color="AAAAAA"/>
            </w:tcBorders>
            <w:shd w:val="clear" w:color="2F5597" w:fill="2F5597"/>
          </w:tcPr>
          <w:p w:rsidR="00AE4894" w:rsidRDefault="00BE6831">
            <w:pPr>
              <w:spacing w:before="40" w:after="40"/>
              <w:jc w:val="center"/>
            </w:pPr>
            <w:r>
              <w:rPr>
                <w:b/>
                <w:bCs/>
                <w:color w:val="FFFFFF"/>
                <w:sz w:val="20"/>
                <w:szCs w:val="20"/>
              </w:rPr>
              <w:t>Role</w:t>
            </w:r>
          </w:p>
        </w:tc>
        <w:tc>
          <w:tcPr>
            <w:tcW w:w="700" w:type="dxa"/>
            <w:tcBorders>
              <w:top w:val="single" w:sz="4" w:space="0" w:color="AAAAAA"/>
              <w:left w:val="single" w:sz="4" w:space="0" w:color="AAAAAA"/>
              <w:bottom w:val="single" w:sz="4" w:space="0" w:color="AAAAAA"/>
              <w:right w:val="single" w:sz="4" w:space="0" w:color="AAAAAA"/>
            </w:tcBorders>
            <w:shd w:val="clear" w:color="2F5597" w:fill="2F5597"/>
          </w:tcPr>
          <w:p w:rsidR="00AE4894" w:rsidRDefault="00BE6831">
            <w:pPr>
              <w:spacing w:before="40" w:after="40"/>
              <w:jc w:val="center"/>
            </w:pPr>
            <w:r>
              <w:rPr>
                <w:b/>
                <w:bCs/>
                <w:color w:val="FFFFFF"/>
                <w:sz w:val="20"/>
                <w:szCs w:val="20"/>
              </w:rPr>
              <w:t>Min</w:t>
            </w:r>
          </w:p>
        </w:tc>
        <w:tc>
          <w:tcPr>
            <w:tcW w:w="700" w:type="dxa"/>
            <w:tcBorders>
              <w:top w:val="single" w:sz="4" w:space="0" w:color="AAAAAA"/>
              <w:left w:val="single" w:sz="4" w:space="0" w:color="AAAAAA"/>
              <w:bottom w:val="single" w:sz="4" w:space="0" w:color="AAAAAA"/>
              <w:right w:val="single" w:sz="4" w:space="0" w:color="AAAAAA"/>
            </w:tcBorders>
            <w:shd w:val="clear" w:color="2F5597" w:fill="2F5597"/>
          </w:tcPr>
          <w:p w:rsidR="00AE4894" w:rsidRDefault="00BE6831">
            <w:pPr>
              <w:spacing w:before="40" w:after="40"/>
              <w:jc w:val="center"/>
            </w:pPr>
            <w:r>
              <w:rPr>
                <w:b/>
                <w:bCs/>
                <w:color w:val="FFFFFF"/>
                <w:sz w:val="20"/>
                <w:szCs w:val="20"/>
              </w:rPr>
              <w:t>Mean</w:t>
            </w:r>
          </w:p>
        </w:tc>
        <w:tc>
          <w:tcPr>
            <w:tcW w:w="700" w:type="dxa"/>
            <w:tcBorders>
              <w:top w:val="single" w:sz="4" w:space="0" w:color="AAAAAA"/>
              <w:left w:val="single" w:sz="4" w:space="0" w:color="AAAAAA"/>
              <w:bottom w:val="single" w:sz="4" w:space="0" w:color="AAAAAA"/>
              <w:right w:val="single" w:sz="4" w:space="0" w:color="AAAAAA"/>
            </w:tcBorders>
            <w:shd w:val="clear" w:color="2F5597" w:fill="2F5597"/>
          </w:tcPr>
          <w:p w:rsidR="00AE4894" w:rsidRDefault="00BE6831">
            <w:pPr>
              <w:spacing w:before="40" w:after="40"/>
              <w:jc w:val="center"/>
            </w:pPr>
            <w:r>
              <w:rPr>
                <w:b/>
                <w:bCs/>
                <w:color w:val="FFFFFF"/>
                <w:sz w:val="20"/>
                <w:szCs w:val="20"/>
              </w:rPr>
              <w:t>Max</w:t>
            </w:r>
          </w:p>
        </w:tc>
        <w:tc>
          <w:tcPr>
            <w:tcW w:w="900" w:type="dxa"/>
            <w:tcBorders>
              <w:top w:val="single" w:sz="4" w:space="0" w:color="AAAAAA"/>
              <w:left w:val="single" w:sz="4" w:space="0" w:color="AAAAAA"/>
              <w:bottom w:val="single" w:sz="4" w:space="0" w:color="AAAAAA"/>
              <w:right w:val="single" w:sz="4" w:space="0" w:color="AAAAAA"/>
            </w:tcBorders>
            <w:shd w:val="clear" w:color="2F5597" w:fill="2F5597"/>
          </w:tcPr>
          <w:p w:rsidR="00AE4894" w:rsidRDefault="00BE6831">
            <w:pPr>
              <w:spacing w:before="40" w:after="40"/>
              <w:jc w:val="center"/>
            </w:pPr>
            <w:r>
              <w:rPr>
                <w:b/>
                <w:bCs/>
                <w:color w:val="FFFFFF"/>
                <w:sz w:val="20"/>
                <w:szCs w:val="20"/>
              </w:rPr>
              <w:t>Unit</w:t>
            </w:r>
          </w:p>
        </w:tc>
      </w:tr>
      <w:tr w:rsidR="00AE4894">
        <w:tblPrEx>
          <w:tblCellMar>
            <w:top w:w="0" w:type="dxa"/>
            <w:bottom w:w="0" w:type="dxa"/>
          </w:tblCellMar>
        </w:tblPrEx>
        <w:tc>
          <w:tcPr>
            <w:tcW w:w="1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PC (Portland cement)</w:t>
            </w:r>
          </w:p>
        </w:tc>
        <w:tc>
          <w:tcPr>
            <w:tcW w:w="1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Primary binder</w:t>
            </w:r>
          </w:p>
        </w:tc>
        <w:tc>
          <w:tcPr>
            <w:tcW w:w="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97.3</w:t>
            </w:r>
          </w:p>
        </w:tc>
        <w:tc>
          <w:tcPr>
            <w:tcW w:w="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278.4</w:t>
            </w:r>
          </w:p>
        </w:tc>
        <w:tc>
          <w:tcPr>
            <w:tcW w:w="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504.3</w:t>
            </w:r>
          </w:p>
        </w:tc>
        <w:tc>
          <w:tcPr>
            <w:tcW w:w="9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kg/mÂ³</w:t>
            </w:r>
          </w:p>
        </w:tc>
      </w:tr>
      <w:tr w:rsidR="00AE4894">
        <w:tblPrEx>
          <w:tblCellMar>
            <w:top w:w="0" w:type="dxa"/>
            <w:bottom w:w="0" w:type="dxa"/>
          </w:tblCellMar>
        </w:tblPrEx>
        <w:tc>
          <w:tcPr>
            <w:tcW w:w="1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FA (fly ash)</w:t>
            </w:r>
          </w:p>
        </w:tc>
        <w:tc>
          <w:tcPr>
            <w:tcW w:w="1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SCM</w:t>
            </w:r>
          </w:p>
        </w:tc>
        <w:tc>
          <w:tcPr>
            <w:tcW w:w="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0.0</w:t>
            </w:r>
          </w:p>
        </w:tc>
        <w:tc>
          <w:tcPr>
            <w:tcW w:w="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45.7</w:t>
            </w:r>
          </w:p>
        </w:tc>
        <w:tc>
          <w:tcPr>
            <w:tcW w:w="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162.0</w:t>
            </w:r>
          </w:p>
        </w:tc>
        <w:tc>
          <w:tcPr>
            <w:tcW w:w="9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kg/mÂ³</w:t>
            </w:r>
          </w:p>
        </w:tc>
      </w:tr>
      <w:tr w:rsidR="00AE4894">
        <w:tblPrEx>
          <w:tblCellMar>
            <w:top w:w="0" w:type="dxa"/>
            <w:bottom w:w="0" w:type="dxa"/>
          </w:tblCellMar>
        </w:tblPrEx>
        <w:tc>
          <w:tcPr>
            <w:tcW w:w="1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SC (GGBS)</w:t>
            </w:r>
          </w:p>
        </w:tc>
        <w:tc>
          <w:tcPr>
            <w:tcW w:w="1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SCM</w:t>
            </w:r>
          </w:p>
        </w:tc>
        <w:tc>
          <w:tcPr>
            <w:tcW w:w="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0.0</w:t>
            </w:r>
          </w:p>
        </w:tc>
        <w:tc>
          <w:tcPr>
            <w:tcW w:w="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72.1</w:t>
            </w:r>
          </w:p>
        </w:tc>
        <w:tc>
          <w:tcPr>
            <w:tcW w:w="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332.3</w:t>
            </w:r>
          </w:p>
        </w:tc>
        <w:tc>
          <w:tcPr>
            <w:tcW w:w="9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kg/mÂ³</w:t>
            </w:r>
          </w:p>
        </w:tc>
      </w:tr>
      <w:tr w:rsidR="00AE4894">
        <w:tblPrEx>
          <w:tblCellMar>
            <w:top w:w="0" w:type="dxa"/>
            <w:bottom w:w="0" w:type="dxa"/>
          </w:tblCellMar>
        </w:tblPrEx>
        <w:tc>
          <w:tcPr>
            <w:tcW w:w="1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Fine aggregate (FAGG)</w:t>
            </w:r>
          </w:p>
        </w:tc>
        <w:tc>
          <w:tcPr>
            <w:tcW w:w="1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Inert filler</w:t>
            </w:r>
          </w:p>
        </w:tc>
        <w:tc>
          <w:tcPr>
            <w:tcW w:w="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473.5</w:t>
            </w:r>
          </w:p>
        </w:tc>
        <w:tc>
          <w:tcPr>
            <w:tcW w:w="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734.9</w:t>
            </w:r>
          </w:p>
        </w:tc>
        <w:tc>
          <w:tcPr>
            <w:tcW w:w="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1067.9</w:t>
            </w:r>
          </w:p>
        </w:tc>
        <w:tc>
          <w:tcPr>
            <w:tcW w:w="9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kg/mÂ³</w:t>
            </w:r>
          </w:p>
        </w:tc>
      </w:tr>
      <w:tr w:rsidR="00AE4894">
        <w:tblPrEx>
          <w:tblCellMar>
            <w:top w:w="0" w:type="dxa"/>
            <w:bottom w:w="0" w:type="dxa"/>
          </w:tblCellMar>
        </w:tblPrEx>
        <w:tc>
          <w:tcPr>
            <w:tcW w:w="1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Coarse aggregate (CAGG)</w:t>
            </w:r>
          </w:p>
        </w:tc>
        <w:tc>
          <w:tcPr>
            <w:tcW w:w="1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Inert filler</w:t>
            </w:r>
          </w:p>
        </w:tc>
        <w:tc>
          <w:tcPr>
            <w:tcW w:w="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400.5</w:t>
            </w:r>
          </w:p>
        </w:tc>
        <w:tc>
          <w:tcPr>
            <w:tcW w:w="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1024.0</w:t>
            </w:r>
          </w:p>
        </w:tc>
        <w:tc>
          <w:tcPr>
            <w:tcW w:w="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1364.6</w:t>
            </w:r>
          </w:p>
        </w:tc>
        <w:tc>
          <w:tcPr>
            <w:tcW w:w="9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kg/mÂ³</w:t>
            </w:r>
          </w:p>
        </w:tc>
      </w:tr>
      <w:tr w:rsidR="00AE4894">
        <w:tblPrEx>
          <w:tblCellMar>
            <w:top w:w="0" w:type="dxa"/>
            <w:bottom w:w="0" w:type="dxa"/>
          </w:tblCellMar>
        </w:tblPrEx>
        <w:tc>
          <w:tcPr>
            <w:tcW w:w="1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Water</w:t>
            </w:r>
          </w:p>
        </w:tc>
        <w:tc>
          <w:tcPr>
            <w:tcW w:w="1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Mixing water</w:t>
            </w:r>
          </w:p>
        </w:tc>
        <w:tc>
          <w:tcPr>
            <w:tcW w:w="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90.8</w:t>
            </w:r>
          </w:p>
        </w:tc>
        <w:tc>
          <w:tcPr>
            <w:tcW w:w="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154.3</w:t>
            </w:r>
          </w:p>
        </w:tc>
        <w:tc>
          <w:tcPr>
            <w:tcW w:w="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214.8</w:t>
            </w:r>
          </w:p>
        </w:tc>
        <w:tc>
          <w:tcPr>
            <w:tcW w:w="9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kg/mÂ³</w:t>
            </w:r>
          </w:p>
        </w:tc>
      </w:tr>
      <w:tr w:rsidR="00AE4894">
        <w:tblPrEx>
          <w:tblCellMar>
            <w:top w:w="0" w:type="dxa"/>
            <w:bottom w:w="0" w:type="dxa"/>
          </w:tblCellMar>
        </w:tblPrEx>
        <w:tc>
          <w:tcPr>
            <w:tcW w:w="1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AEA</w:t>
            </w:r>
          </w:p>
        </w:tc>
        <w:tc>
          <w:tcPr>
            <w:tcW w:w="1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Air-entraining agent</w:t>
            </w:r>
          </w:p>
        </w:tc>
        <w:tc>
          <w:tcPr>
            <w:tcW w:w="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0.0</w:t>
            </w:r>
          </w:p>
        </w:tc>
        <w:tc>
          <w:tcPr>
            <w:tcW w:w="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0.22</w:t>
            </w:r>
          </w:p>
        </w:tc>
        <w:tc>
          <w:tcPr>
            <w:tcW w:w="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1.48</w:t>
            </w:r>
          </w:p>
        </w:tc>
        <w:tc>
          <w:tcPr>
            <w:tcW w:w="9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kg/mÂ³</w:t>
            </w:r>
          </w:p>
        </w:tc>
      </w:tr>
      <w:tr w:rsidR="00AE4894">
        <w:tblPrEx>
          <w:tblCellMar>
            <w:top w:w="0" w:type="dxa"/>
            <w:bottom w:w="0" w:type="dxa"/>
          </w:tblCellMar>
        </w:tblPrEx>
        <w:tc>
          <w:tcPr>
            <w:tcW w:w="1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HRWR</w:t>
            </w:r>
          </w:p>
        </w:tc>
        <w:tc>
          <w:tcPr>
            <w:tcW w:w="1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High-range WR</w:t>
            </w:r>
          </w:p>
        </w:tc>
        <w:tc>
          <w:tcPr>
            <w:tcW w:w="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0.0</w:t>
            </w:r>
          </w:p>
        </w:tc>
        <w:tc>
          <w:tcPr>
            <w:tcW w:w="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0.38</w:t>
            </w:r>
          </w:p>
        </w:tc>
        <w:tc>
          <w:tcPr>
            <w:tcW w:w="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4.71</w:t>
            </w:r>
          </w:p>
        </w:tc>
        <w:tc>
          <w:tcPr>
            <w:tcW w:w="9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kg/mÂ³</w:t>
            </w:r>
          </w:p>
        </w:tc>
      </w:tr>
      <w:tr w:rsidR="00AE4894">
        <w:tblPrEx>
          <w:tblCellMar>
            <w:top w:w="0" w:type="dxa"/>
            <w:bottom w:w="0" w:type="dxa"/>
          </w:tblCellMar>
        </w:tblPrEx>
        <w:tc>
          <w:tcPr>
            <w:tcW w:w="1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WR</w:t>
            </w:r>
          </w:p>
        </w:tc>
        <w:tc>
          <w:tcPr>
            <w:tcW w:w="1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Water reducer</w:t>
            </w:r>
          </w:p>
        </w:tc>
        <w:tc>
          <w:tcPr>
            <w:tcW w:w="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0.0</w:t>
            </w:r>
          </w:p>
        </w:tc>
        <w:tc>
          <w:tcPr>
            <w:tcW w:w="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1.38</w:t>
            </w:r>
          </w:p>
        </w:tc>
        <w:tc>
          <w:tcPr>
            <w:tcW w:w="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7.82</w:t>
            </w:r>
          </w:p>
        </w:tc>
        <w:tc>
          <w:tcPr>
            <w:tcW w:w="9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kg/mÂ³</w:t>
            </w:r>
          </w:p>
        </w:tc>
      </w:tr>
      <w:tr w:rsidR="00AE4894">
        <w:tblPrEx>
          <w:tblCellMar>
            <w:top w:w="0" w:type="dxa"/>
            <w:bottom w:w="0" w:type="dxa"/>
          </w:tblCellMar>
        </w:tblPrEx>
        <w:tc>
          <w:tcPr>
            <w:tcW w:w="1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ACC (accelerator)</w:t>
            </w:r>
          </w:p>
        </w:tc>
        <w:tc>
          <w:tcPr>
            <w:tcW w:w="1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Admixture</w:t>
            </w:r>
          </w:p>
        </w:tc>
        <w:tc>
          <w:tcPr>
            <w:tcW w:w="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0.0</w:t>
            </w:r>
          </w:p>
        </w:tc>
        <w:tc>
          <w:tcPr>
            <w:tcW w:w="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2.09</w:t>
            </w:r>
          </w:p>
        </w:tc>
        <w:tc>
          <w:tcPr>
            <w:tcW w:w="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28.5</w:t>
            </w:r>
          </w:p>
        </w:tc>
        <w:tc>
          <w:tcPr>
            <w:tcW w:w="9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kg/mÂ³</w:t>
            </w:r>
          </w:p>
        </w:tc>
      </w:tr>
      <w:tr w:rsidR="00AE4894">
        <w:tblPrEx>
          <w:tblCellMar>
            <w:top w:w="0" w:type="dxa"/>
            <w:bottom w:w="0" w:type="dxa"/>
          </w:tblCellMar>
        </w:tblPrEx>
        <w:tc>
          <w:tcPr>
            <w:tcW w:w="1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GWP</w:t>
            </w:r>
          </w:p>
        </w:tc>
        <w:tc>
          <w:tcPr>
            <w:tcW w:w="1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Objective 1</w:t>
            </w:r>
          </w:p>
        </w:tc>
        <w:tc>
          <w:tcPr>
            <w:tcW w:w="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169.0</w:t>
            </w:r>
          </w:p>
        </w:tc>
        <w:tc>
          <w:tcPr>
            <w:tcW w:w="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331.5</w:t>
            </w:r>
          </w:p>
        </w:tc>
        <w:tc>
          <w:tcPr>
            <w:tcW w:w="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534.5</w:t>
            </w:r>
          </w:p>
        </w:tc>
        <w:tc>
          <w:tcPr>
            <w:tcW w:w="9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kg COâ‚‚-</w:t>
            </w:r>
            <w:proofErr w:type="spellStart"/>
            <w:r>
              <w:rPr>
                <w:sz w:val="20"/>
                <w:szCs w:val="20"/>
              </w:rPr>
              <w:t>eq</w:t>
            </w:r>
            <w:proofErr w:type="spellEnd"/>
            <w:r>
              <w:rPr>
                <w:sz w:val="20"/>
                <w:szCs w:val="20"/>
              </w:rPr>
              <w:t>/mÂ³</w:t>
            </w:r>
          </w:p>
        </w:tc>
      </w:tr>
      <w:tr w:rsidR="00AE4894">
        <w:tblPrEx>
          <w:tblCellMar>
            <w:top w:w="0" w:type="dxa"/>
            <w:bottom w:w="0" w:type="dxa"/>
          </w:tblCellMar>
        </w:tblPrEx>
        <w:tc>
          <w:tcPr>
            <w:tcW w:w="1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lastRenderedPageBreak/>
              <w:t>28-day strength</w:t>
            </w:r>
          </w:p>
        </w:tc>
        <w:tc>
          <w:tcPr>
            <w:tcW w:w="1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Objective 2</w:t>
            </w:r>
          </w:p>
        </w:tc>
        <w:tc>
          <w:tcPr>
            <w:tcW w:w="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17.4</w:t>
            </w:r>
          </w:p>
        </w:tc>
        <w:tc>
          <w:tcPr>
            <w:tcW w:w="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46.1</w:t>
            </w:r>
          </w:p>
        </w:tc>
        <w:tc>
          <w:tcPr>
            <w:tcW w:w="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106.1</w:t>
            </w:r>
          </w:p>
        </w:tc>
        <w:tc>
          <w:tcPr>
            <w:tcW w:w="9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MPa</w:t>
            </w:r>
          </w:p>
        </w:tc>
      </w:tr>
    </w:tbl>
    <w:p w:rsidR="00AE4894" w:rsidRDefault="00BE6831">
      <w:pPr>
        <w:spacing w:before="120" w:after="120"/>
      </w:pPr>
      <w:r>
        <w:t xml:space="preserve">In terms of binder composition, 100 of the 756 mixes use Portland cement alone (no SCM); 380 incorporate fly ash, 377 incorporate GGBS, and 101 use both simultaneously. On average, the binder is </w:t>
      </w:r>
      <w:r>
        <w:rPr>
          <w:b/>
          <w:bCs/>
        </w:rPr>
        <w:t>70.1% PC, 11.5% FA, and 18.4% SC</w:t>
      </w:r>
      <w:r>
        <w:t xml:space="preserve"> by mass, reflecting typical </w:t>
      </w:r>
      <w:r>
        <w:t>North American practice of moderate SCM substitution. Admixture use is common: air-entraining admixture (AEA) in 86% of mixes, water reducer (WR) in 76%, high-range WR in 37%, and accelerator in 16%.</w:t>
      </w:r>
    </w:p>
    <w:p w:rsidR="00AE4894" w:rsidRDefault="00BE6831">
      <w:pPr>
        <w:pStyle w:val="Heading2"/>
        <w:spacing w:before="240" w:after="100"/>
      </w:pPr>
      <w:r>
        <w:rPr>
          <w:b/>
          <w:bCs/>
          <w:sz w:val="28"/>
          <w:szCs w:val="28"/>
        </w:rPr>
        <w:t>2.2 Design Variables</w:t>
      </w:r>
    </w:p>
    <w:p w:rsidR="00AE4894" w:rsidRDefault="00BE6831">
      <w:pPr>
        <w:spacing w:after="120"/>
      </w:pPr>
      <w:r>
        <w:t xml:space="preserve">The optimization operates over ten </w:t>
      </w:r>
      <w:r>
        <w:t xml:space="preserve">mix design variables </w:t>
      </w:r>
      <w:r>
        <w:rPr>
          <w:i/>
          <w:iCs/>
        </w:rPr>
        <w:t>x</w:t>
      </w:r>
      <w:r>
        <w:t>Â = [PC, FA, SC, FAGG, CAGG, WATER, AEA, HRWR, WR, ACC] (all in kg/mÂ³), corresponding to the primary decisions a concrete technologist controls when proportioning a mix. Variable bounds are set to the observed minimum and maximum of ea</w:t>
      </w:r>
      <w:r>
        <w:t>ch component in the dataset (TableÂ 1), ensuring all candidate solutions lie within the surrogateâ€™s training domain.</w:t>
      </w:r>
    </w:p>
    <w:p w:rsidR="00AE4894" w:rsidRDefault="00BE6831">
      <w:pPr>
        <w:pStyle w:val="Heading2"/>
        <w:spacing w:before="240" w:after="100"/>
      </w:pPr>
      <w:r>
        <w:rPr>
          <w:b/>
          <w:bCs/>
          <w:sz w:val="28"/>
          <w:szCs w:val="28"/>
        </w:rPr>
        <w:t>2.3 Objectives</w:t>
      </w:r>
    </w:p>
    <w:p w:rsidR="00AE4894" w:rsidRDefault="00BE6831">
      <w:pPr>
        <w:spacing w:after="120"/>
      </w:pPr>
      <w:r>
        <w:t>Two conflicting objectives are optimized simultaneously:</w:t>
      </w:r>
    </w:p>
    <w:p w:rsidR="00AE4894" w:rsidRDefault="00BE6831">
      <w:pPr>
        <w:spacing w:after="80"/>
        <w:ind w:left="360"/>
      </w:pPr>
      <w:r>
        <w:rPr>
          <w:b/>
          <w:bCs/>
        </w:rPr>
        <w:t>(1) Minimize GWP</w:t>
      </w:r>
      <w:r>
        <w:t xml:space="preserve"> (kgÂ COâ‚‚-</w:t>
      </w:r>
      <w:proofErr w:type="spellStart"/>
      <w:r>
        <w:t>eq</w:t>
      </w:r>
      <w:proofErr w:type="spellEnd"/>
      <w:r>
        <w:t>/mÂ³): computed analytically. GWP is domin</w:t>
      </w:r>
      <w:r>
        <w:t>ated by the cementitious paste (â‰¥97% of total GWP) and is controlled jointly by total binder content and the PC-to-SCM substitution ratio.</w:t>
      </w:r>
    </w:p>
    <w:p w:rsidR="00AE4894" w:rsidRDefault="00BE6831">
      <w:pPr>
        <w:spacing w:after="120"/>
        <w:ind w:left="360"/>
      </w:pPr>
      <w:r>
        <w:rPr>
          <w:b/>
          <w:bCs/>
        </w:rPr>
        <w:t>(2) Maximize 28-day compressive strength</w:t>
      </w:r>
      <w:r>
        <w:t xml:space="preserve"> (MPa): predicted by the surrogate model (SectionÂ 2.5). Strength increases wi</w:t>
      </w:r>
      <w:r>
        <w:t>th binder content, decreasing w/b, and increasing PC proportionâ€”all of which simultaneously raise GWP, creating an inherent trade-off.</w:t>
      </w:r>
    </w:p>
    <w:p w:rsidR="00AE4894" w:rsidRDefault="00BE6831">
      <w:pPr>
        <w:spacing w:after="120"/>
      </w:pPr>
      <w:r>
        <w:t xml:space="preserve">The two objectives are normalized to [0,â€¯1] using the dataset-wide ranges for computing </w:t>
      </w:r>
      <w:proofErr w:type="spellStart"/>
      <w:r>
        <w:t>hypervolume</w:t>
      </w:r>
      <w:proofErr w:type="spellEnd"/>
      <w:r>
        <w:t xml:space="preserve"> (HV):</w:t>
      </w:r>
    </w:p>
    <w:p w:rsidR="00AE4894" w:rsidRDefault="00BE6831">
      <w:pPr>
        <w:spacing w:before="80" w:after="80"/>
        <w:jc w:val="center"/>
      </w:pPr>
      <w:proofErr w:type="spellStart"/>
      <w:r>
        <w:rPr>
          <w:rFonts w:ascii="Courier New" w:eastAsia="Courier New" w:hAnsi="Courier New" w:cs="Courier New"/>
        </w:rPr>
        <w:t>GWP_norm</w:t>
      </w:r>
      <w:proofErr w:type="spellEnd"/>
      <w:r>
        <w:rPr>
          <w:rFonts w:ascii="Courier New" w:eastAsia="Courier New" w:hAnsi="Courier New" w:cs="Courier New"/>
        </w:rPr>
        <w:t xml:space="preserve"> = (GWP âˆ’ 169.0) / (534.5 âˆ’ 169.0)</w:t>
      </w:r>
    </w:p>
    <w:p w:rsidR="00AE4894" w:rsidRDefault="00BE6831">
      <w:pPr>
        <w:spacing w:before="80" w:after="80"/>
        <w:jc w:val="center"/>
      </w:pPr>
      <w:proofErr w:type="spellStart"/>
      <w:r>
        <w:rPr>
          <w:rFonts w:ascii="Courier New" w:eastAsia="Courier New" w:hAnsi="Courier New" w:cs="Courier New"/>
        </w:rPr>
        <w:t>str_</w:t>
      </w:r>
      <w:proofErr w:type="gramStart"/>
      <w:r>
        <w:rPr>
          <w:rFonts w:ascii="Courier New" w:eastAsia="Courier New" w:hAnsi="Courier New" w:cs="Courier New"/>
        </w:rPr>
        <w:t>norm</w:t>
      </w:r>
      <w:proofErr w:type="spellEnd"/>
      <w:r>
        <w:rPr>
          <w:rFonts w:ascii="Courier New" w:eastAsia="Courier New" w:hAnsi="Courier New" w:cs="Courier New"/>
        </w:rPr>
        <w:t xml:space="preserve">  =</w:t>
      </w:r>
      <w:proofErr w:type="gramEnd"/>
      <w:r>
        <w:rPr>
          <w:rFonts w:ascii="Courier New" w:eastAsia="Courier New" w:hAnsi="Courier New" w:cs="Courier New"/>
        </w:rPr>
        <w:t xml:space="preserve"> (106.1 âˆ’ </w:t>
      </w:r>
      <w:proofErr w:type="spellStart"/>
      <w:r>
        <w:rPr>
          <w:rFonts w:ascii="Courier New" w:eastAsia="Courier New" w:hAnsi="Courier New" w:cs="Courier New"/>
        </w:rPr>
        <w:t>fâ€²c</w:t>
      </w:r>
      <w:proofErr w:type="spellEnd"/>
      <w:r>
        <w:rPr>
          <w:rFonts w:ascii="Courier New" w:eastAsia="Courier New" w:hAnsi="Courier New" w:cs="Courier New"/>
        </w:rPr>
        <w:t>) / (106.1 âˆ’ 17.4)</w:t>
      </w:r>
    </w:p>
    <w:p w:rsidR="00AE4894" w:rsidRDefault="00BE6831">
      <w:pPr>
        <w:spacing w:after="120"/>
      </w:pPr>
      <w:r>
        <w:t>Both are minimized; the HV reference point is [1,â€¯1] (worst feasible corner). A larger HV indicates a solution set dominating more of the normalized objective space.</w:t>
      </w:r>
    </w:p>
    <w:p w:rsidR="00AE4894" w:rsidRDefault="00BE6831">
      <w:pPr>
        <w:pStyle w:val="Heading2"/>
        <w:spacing w:before="240" w:after="100"/>
      </w:pPr>
      <w:r>
        <w:rPr>
          <w:b/>
          <w:bCs/>
          <w:sz w:val="28"/>
          <w:szCs w:val="28"/>
        </w:rPr>
        <w:t>2.4 Constraints</w:t>
      </w:r>
    </w:p>
    <w:p w:rsidR="00AE4894" w:rsidRDefault="00BE6831">
      <w:pPr>
        <w:spacing w:after="120"/>
      </w:pPr>
      <w:r>
        <w:t>Feasibility is enforced through three layers of constraints, each grounded in concrete engineering practice.</w:t>
      </w:r>
    </w:p>
    <w:p w:rsidR="00AE4894" w:rsidRDefault="00BE6831">
      <w:pPr>
        <w:spacing w:after="80"/>
      </w:pPr>
      <w:r>
        <w:rPr>
          <w:b/>
          <w:bCs/>
        </w:rPr>
        <w:t xml:space="preserve">Layer 1 â€” Raw variable bounds. </w:t>
      </w:r>
      <w:r>
        <w:t>Each design variable is bounded by its dataset range (TableÂ 1) to keep the surrogate within its trai</w:t>
      </w:r>
      <w:r>
        <w:t>ning domain.</w:t>
      </w:r>
    </w:p>
    <w:p w:rsidR="00AE4894" w:rsidRDefault="00BE6831">
      <w:pPr>
        <w:spacing w:after="80"/>
      </w:pPr>
      <w:r>
        <w:rPr>
          <w:b/>
          <w:bCs/>
        </w:rPr>
        <w:lastRenderedPageBreak/>
        <w:t xml:space="preserve">Layer 2 â€” Derived ratio constraints. </w:t>
      </w:r>
      <w:r>
        <w:t>Five mix proportioning ratios are constrained to their dataset-observed ranges. TableÂ 2 lists each ratio with its formula, bounds, and engineering rationale.</w:t>
      </w:r>
    </w:p>
    <w:p w:rsidR="00AE4894" w:rsidRDefault="00BE6831">
      <w:pPr>
        <w:spacing w:before="160" w:after="60"/>
      </w:pPr>
      <w:r>
        <w:rPr>
          <w:b/>
          <w:bCs/>
        </w:rPr>
        <w:t>Table 2. Derived ratio constraints and their eng</w:t>
      </w:r>
      <w:r>
        <w:rPr>
          <w:b/>
          <w:bCs/>
        </w:rPr>
        <w:t>ineering basis</w:t>
      </w:r>
    </w:p>
    <w:tbl>
      <w:tblPr>
        <w:tblW w:w="6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0"/>
        <w:gridCol w:w="2100"/>
        <w:gridCol w:w="650"/>
        <w:gridCol w:w="650"/>
        <w:gridCol w:w="2100"/>
      </w:tblGrid>
      <w:tr w:rsidR="00AE4894">
        <w:tblPrEx>
          <w:tblCellMar>
            <w:top w:w="0" w:type="dxa"/>
            <w:bottom w:w="0" w:type="dxa"/>
          </w:tblCellMar>
        </w:tblPrEx>
        <w:trPr>
          <w:tblHeader/>
        </w:trPr>
        <w:tc>
          <w:tcPr>
            <w:tcW w:w="900" w:type="dxa"/>
            <w:tcBorders>
              <w:top w:val="single" w:sz="4" w:space="0" w:color="AAAAAA"/>
              <w:left w:val="single" w:sz="4" w:space="0" w:color="AAAAAA"/>
              <w:bottom w:val="single" w:sz="4" w:space="0" w:color="AAAAAA"/>
              <w:right w:val="single" w:sz="4" w:space="0" w:color="AAAAAA"/>
            </w:tcBorders>
            <w:shd w:val="clear" w:color="2F5597" w:fill="2F5597"/>
          </w:tcPr>
          <w:p w:rsidR="00AE4894" w:rsidRDefault="00BE6831">
            <w:pPr>
              <w:spacing w:before="40" w:after="40"/>
              <w:jc w:val="center"/>
            </w:pPr>
            <w:r>
              <w:rPr>
                <w:b/>
                <w:bCs/>
                <w:color w:val="FFFFFF"/>
                <w:sz w:val="20"/>
                <w:szCs w:val="20"/>
              </w:rPr>
              <w:t>Ratio</w:t>
            </w:r>
          </w:p>
        </w:tc>
        <w:tc>
          <w:tcPr>
            <w:tcW w:w="2100" w:type="dxa"/>
            <w:tcBorders>
              <w:top w:val="single" w:sz="4" w:space="0" w:color="AAAAAA"/>
              <w:left w:val="single" w:sz="4" w:space="0" w:color="AAAAAA"/>
              <w:bottom w:val="single" w:sz="4" w:space="0" w:color="AAAAAA"/>
              <w:right w:val="single" w:sz="4" w:space="0" w:color="AAAAAA"/>
            </w:tcBorders>
            <w:shd w:val="clear" w:color="2F5597" w:fill="2F5597"/>
          </w:tcPr>
          <w:p w:rsidR="00AE4894" w:rsidRDefault="00BE6831">
            <w:pPr>
              <w:spacing w:before="40" w:after="40"/>
              <w:jc w:val="center"/>
            </w:pPr>
            <w:r>
              <w:rPr>
                <w:b/>
                <w:bCs/>
                <w:color w:val="FFFFFF"/>
                <w:sz w:val="20"/>
                <w:szCs w:val="20"/>
              </w:rPr>
              <w:t>Formula</w:t>
            </w:r>
          </w:p>
        </w:tc>
        <w:tc>
          <w:tcPr>
            <w:tcW w:w="650" w:type="dxa"/>
            <w:tcBorders>
              <w:top w:val="single" w:sz="4" w:space="0" w:color="AAAAAA"/>
              <w:left w:val="single" w:sz="4" w:space="0" w:color="AAAAAA"/>
              <w:bottom w:val="single" w:sz="4" w:space="0" w:color="AAAAAA"/>
              <w:right w:val="single" w:sz="4" w:space="0" w:color="AAAAAA"/>
            </w:tcBorders>
            <w:shd w:val="clear" w:color="2F5597" w:fill="2F5597"/>
          </w:tcPr>
          <w:p w:rsidR="00AE4894" w:rsidRDefault="00BE6831">
            <w:pPr>
              <w:spacing w:before="40" w:after="40"/>
              <w:jc w:val="center"/>
            </w:pPr>
            <w:r>
              <w:rPr>
                <w:b/>
                <w:bCs/>
                <w:color w:val="FFFFFF"/>
                <w:sz w:val="20"/>
                <w:szCs w:val="20"/>
              </w:rPr>
              <w:t>Min</w:t>
            </w:r>
          </w:p>
        </w:tc>
        <w:tc>
          <w:tcPr>
            <w:tcW w:w="650" w:type="dxa"/>
            <w:tcBorders>
              <w:top w:val="single" w:sz="4" w:space="0" w:color="AAAAAA"/>
              <w:left w:val="single" w:sz="4" w:space="0" w:color="AAAAAA"/>
              <w:bottom w:val="single" w:sz="4" w:space="0" w:color="AAAAAA"/>
              <w:right w:val="single" w:sz="4" w:space="0" w:color="AAAAAA"/>
            </w:tcBorders>
            <w:shd w:val="clear" w:color="2F5597" w:fill="2F5597"/>
          </w:tcPr>
          <w:p w:rsidR="00AE4894" w:rsidRDefault="00BE6831">
            <w:pPr>
              <w:spacing w:before="40" w:after="40"/>
              <w:jc w:val="center"/>
            </w:pPr>
            <w:r>
              <w:rPr>
                <w:b/>
                <w:bCs/>
                <w:color w:val="FFFFFF"/>
                <w:sz w:val="20"/>
                <w:szCs w:val="20"/>
              </w:rPr>
              <w:t>Max</w:t>
            </w:r>
          </w:p>
        </w:tc>
        <w:tc>
          <w:tcPr>
            <w:tcW w:w="2100" w:type="dxa"/>
            <w:tcBorders>
              <w:top w:val="single" w:sz="4" w:space="0" w:color="AAAAAA"/>
              <w:left w:val="single" w:sz="4" w:space="0" w:color="AAAAAA"/>
              <w:bottom w:val="single" w:sz="4" w:space="0" w:color="AAAAAA"/>
              <w:right w:val="single" w:sz="4" w:space="0" w:color="AAAAAA"/>
            </w:tcBorders>
            <w:shd w:val="clear" w:color="2F5597" w:fill="2F5597"/>
          </w:tcPr>
          <w:p w:rsidR="00AE4894" w:rsidRDefault="00BE6831">
            <w:pPr>
              <w:spacing w:before="40" w:after="40"/>
              <w:jc w:val="center"/>
            </w:pPr>
            <w:r>
              <w:rPr>
                <w:b/>
                <w:bCs/>
                <w:color w:val="FFFFFF"/>
                <w:sz w:val="20"/>
                <w:szCs w:val="20"/>
              </w:rPr>
              <w:t>Engineering rationale</w:t>
            </w:r>
          </w:p>
        </w:tc>
      </w:tr>
      <w:tr w:rsidR="00AE4894">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w/b</w:t>
            </w:r>
          </w:p>
        </w:tc>
        <w:tc>
          <w:tcPr>
            <w:tcW w:w="21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WATER / (PC+FA+SC)</w:t>
            </w:r>
          </w:p>
        </w:tc>
        <w:tc>
          <w:tcPr>
            <w:tcW w:w="65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0.235</w:t>
            </w:r>
          </w:p>
        </w:tc>
        <w:tc>
          <w:tcPr>
            <w:tcW w:w="65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0.714</w:t>
            </w:r>
          </w:p>
        </w:tc>
        <w:tc>
          <w:tcPr>
            <w:tcW w:w="21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Controls capillary porosity and strength (Abrams' law). Below ~0.23 complete hydration is geometrically impossible; above ~0.70 workability and strength collapse.</w:t>
            </w:r>
          </w:p>
        </w:tc>
      </w:tr>
      <w:tr w:rsidR="00AE4894">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b/a</w:t>
            </w:r>
          </w:p>
        </w:tc>
        <w:tc>
          <w:tcPr>
            <w:tcW w:w="21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(PC+FA+SC) / (FAGG+CAGG)</w:t>
            </w:r>
          </w:p>
        </w:tc>
        <w:tc>
          <w:tcPr>
            <w:tcW w:w="65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0.105</w:t>
            </w:r>
          </w:p>
        </w:tc>
        <w:tc>
          <w:tcPr>
            <w:tcW w:w="65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0.488</w:t>
            </w:r>
          </w:p>
        </w:tc>
        <w:tc>
          <w:tcPr>
            <w:tcW w:w="21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Paste-to-aggregate ratio. Insufficient paste impairs cohesion; excess paste increases shrinkage and cost.</w:t>
            </w:r>
          </w:p>
        </w:tc>
      </w:tr>
      <w:tr w:rsidR="00AE4894">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SCM%</w:t>
            </w:r>
          </w:p>
        </w:tc>
        <w:tc>
          <w:tcPr>
            <w:tcW w:w="21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(FA+SC) / (PC+FA+SC)</w:t>
            </w:r>
          </w:p>
        </w:tc>
        <w:tc>
          <w:tcPr>
            <w:tcW w:w="65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0.000</w:t>
            </w:r>
          </w:p>
        </w:tc>
        <w:tc>
          <w:tcPr>
            <w:tcW w:w="65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0.765</w:t>
            </w:r>
          </w:p>
        </w:tc>
        <w:tc>
          <w:tcPr>
            <w:tcW w:w="21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Max SCM substitution. Both FA and GGBS dilute PC clinker; at high replacement 28-day strength is sensitive to reduced early hydration rate.</w:t>
            </w:r>
          </w:p>
        </w:tc>
      </w:tr>
      <w:tr w:rsidR="00AE4894">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CAGG%</w:t>
            </w:r>
          </w:p>
        </w:tc>
        <w:tc>
          <w:tcPr>
            <w:tcW w:w="21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CAGG / (FAGG+CAGG)</w:t>
            </w:r>
          </w:p>
        </w:tc>
        <w:tc>
          <w:tcPr>
            <w:tcW w:w="65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0.222</w:t>
            </w:r>
          </w:p>
        </w:tc>
        <w:tc>
          <w:tcPr>
            <w:tcW w:w="65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0.744</w:t>
            </w:r>
          </w:p>
        </w:tc>
        <w:tc>
          <w:tcPr>
            <w:tcW w:w="21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Coarse-to-fine aggregate ratio; affects workability, bleeding, and segregation.</w:t>
            </w:r>
          </w:p>
        </w:tc>
      </w:tr>
      <w:tr w:rsidR="00AE4894">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FAGG%</w:t>
            </w:r>
          </w:p>
        </w:tc>
        <w:tc>
          <w:tcPr>
            <w:tcW w:w="21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FAGG / (FAGG+CAGG)</w:t>
            </w:r>
          </w:p>
        </w:tc>
        <w:tc>
          <w:tcPr>
            <w:tcW w:w="65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0.256</w:t>
            </w:r>
          </w:p>
        </w:tc>
        <w:tc>
          <w:tcPr>
            <w:tcW w:w="65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0.778</w:t>
            </w:r>
          </w:p>
        </w:tc>
        <w:tc>
          <w:tcPr>
            <w:tcW w:w="21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Complement of CAGG%; enforced simultaneously.</w:t>
            </w:r>
          </w:p>
        </w:tc>
      </w:tr>
    </w:tbl>
    <w:p w:rsidR="00AE4894" w:rsidRDefault="00BE6831">
      <w:pPr>
        <w:spacing w:before="120" w:after="80"/>
      </w:pPr>
      <w:r>
        <w:t>These ratios encode established concrete mix design rules (ACIÂ 211.1 [CITATION]; NevilleÂ 2011 [CITATION]) and can be verified analytically for any proposed mix without calling the surrogate.</w:t>
      </w:r>
    </w:p>
    <w:p w:rsidR="00AE4894" w:rsidRDefault="00BE6831">
      <w:pPr>
        <w:spacing w:after="80"/>
      </w:pPr>
      <w:r>
        <w:rPr>
          <w:b/>
          <w:bCs/>
        </w:rPr>
        <w:t xml:space="preserve">Layer 3 â€” Absolute volume constraint. </w:t>
      </w:r>
      <w:r>
        <w:t xml:space="preserve">A physics-based constraint </w:t>
      </w:r>
      <w:r>
        <w:t>ensures the sum of ingredient volumes plus entrapped air equals approximately 1Â mÂ³:</w:t>
      </w:r>
    </w:p>
    <w:p w:rsidR="00AE4894" w:rsidRDefault="00BE6831">
      <w:pPr>
        <w:spacing w:before="80" w:after="80"/>
        <w:jc w:val="center"/>
      </w:pPr>
      <w:proofErr w:type="spellStart"/>
      <w:r>
        <w:rPr>
          <w:rFonts w:ascii="Courier New" w:eastAsia="Courier New" w:hAnsi="Courier New" w:cs="Courier New"/>
        </w:rPr>
        <w:t>V_solid</w:t>
      </w:r>
      <w:proofErr w:type="spellEnd"/>
      <w:r>
        <w:rPr>
          <w:rFonts w:ascii="Courier New" w:eastAsia="Courier New" w:hAnsi="Courier New" w:cs="Courier New"/>
        </w:rPr>
        <w:t xml:space="preserve"> = Î£ (</w:t>
      </w:r>
      <w:proofErr w:type="spellStart"/>
      <w:r>
        <w:rPr>
          <w:rFonts w:ascii="Courier New" w:eastAsia="Courier New" w:hAnsi="Courier New" w:cs="Courier New"/>
        </w:rPr>
        <w:t>m_i</w:t>
      </w:r>
      <w:proofErr w:type="spellEnd"/>
      <w:r>
        <w:rPr>
          <w:rFonts w:ascii="Courier New" w:eastAsia="Courier New" w:hAnsi="Courier New" w:cs="Courier New"/>
        </w:rPr>
        <w:t xml:space="preserve"> / </w:t>
      </w:r>
      <w:proofErr w:type="spellStart"/>
      <w:r>
        <w:rPr>
          <w:rFonts w:ascii="Courier New" w:eastAsia="Courier New" w:hAnsi="Courier New" w:cs="Courier New"/>
        </w:rPr>
        <w:t>Ï_i</w:t>
      </w:r>
      <w:proofErr w:type="spellEnd"/>
      <w:r>
        <w:rPr>
          <w:rFonts w:ascii="Courier New" w:eastAsia="Courier New" w:hAnsi="Courier New" w:cs="Courier New"/>
        </w:rPr>
        <w:t>)</w:t>
      </w:r>
    </w:p>
    <w:p w:rsidR="00AE4894" w:rsidRDefault="00BE6831">
      <w:pPr>
        <w:spacing w:before="80" w:after="80"/>
        <w:jc w:val="center"/>
      </w:pPr>
      <w:proofErr w:type="spellStart"/>
      <w:r>
        <w:rPr>
          <w:rFonts w:ascii="Courier New" w:eastAsia="Courier New" w:hAnsi="Courier New" w:cs="Courier New"/>
        </w:rPr>
        <w:t>V_final</w:t>
      </w:r>
      <w:proofErr w:type="spellEnd"/>
      <w:r>
        <w:rPr>
          <w:rFonts w:ascii="Courier New" w:eastAsia="Courier New" w:hAnsi="Courier New" w:cs="Courier New"/>
        </w:rPr>
        <w:t xml:space="preserve"> = </w:t>
      </w:r>
      <w:proofErr w:type="spellStart"/>
      <w:r>
        <w:rPr>
          <w:rFonts w:ascii="Courier New" w:eastAsia="Courier New" w:hAnsi="Courier New" w:cs="Courier New"/>
        </w:rPr>
        <w:t>V_solid</w:t>
      </w:r>
      <w:proofErr w:type="spellEnd"/>
      <w:r>
        <w:rPr>
          <w:rFonts w:ascii="Courier New" w:eastAsia="Courier New" w:hAnsi="Courier New" w:cs="Courier New"/>
        </w:rPr>
        <w:t xml:space="preserve"> + </w:t>
      </w:r>
      <w:proofErr w:type="spellStart"/>
      <w:r>
        <w:rPr>
          <w:rFonts w:ascii="Courier New" w:eastAsia="Courier New" w:hAnsi="Courier New" w:cs="Courier New"/>
        </w:rPr>
        <w:t>V_</w:t>
      </w:r>
      <w:proofErr w:type="gramStart"/>
      <w:r>
        <w:rPr>
          <w:rFonts w:ascii="Courier New" w:eastAsia="Courier New" w:hAnsi="Courier New" w:cs="Courier New"/>
        </w:rPr>
        <w:t>air</w:t>
      </w:r>
      <w:proofErr w:type="spellEnd"/>
      <w:r>
        <w:rPr>
          <w:rFonts w:ascii="Courier New" w:eastAsia="Courier New" w:hAnsi="Courier New" w:cs="Courier New"/>
        </w:rPr>
        <w:t xml:space="preserve">  âˆˆ</w:t>
      </w:r>
      <w:proofErr w:type="gramEnd"/>
      <w:r>
        <w:rPr>
          <w:rFonts w:ascii="Courier New" w:eastAsia="Courier New" w:hAnsi="Courier New" w:cs="Courier New"/>
        </w:rPr>
        <w:t xml:space="preserve">  [0.95, 1.05]  mÂ³/mÂ³</w:t>
      </w:r>
    </w:p>
    <w:p w:rsidR="00AE4894" w:rsidRDefault="00BE6831">
      <w:pPr>
        <w:spacing w:after="120"/>
      </w:pPr>
      <w:r>
        <w:t xml:space="preserve">where </w:t>
      </w:r>
      <w:proofErr w:type="spellStart"/>
      <w:r>
        <w:t>Ï_i</w:t>
      </w:r>
      <w:proofErr w:type="spellEnd"/>
      <w:r>
        <w:t xml:space="preserve"> are material particle densities (PCÂ =Â 3150, FAÂ =Â 2200, SCÂ =Â 2900, FAGGÂ =Â 2630, CAGGÂ =Â 27</w:t>
      </w:r>
      <w:r>
        <w:t xml:space="preserve">10, WATERÂ =Â 1000Â kg/mÂ³; admixtures 1010â€“1340Â kg/mÂ³ [CITATION: Pfeiffer et al.Â 2024]), and </w:t>
      </w:r>
      <w:proofErr w:type="spellStart"/>
      <w:r>
        <w:t>V_air</w:t>
      </w:r>
      <w:proofErr w:type="spellEnd"/>
      <w:r>
        <w:t xml:space="preserve">Â = 0.07Â mÂ³ for air-entrained mixes </w:t>
      </w:r>
      <w:r>
        <w:lastRenderedPageBreak/>
        <w:t>(AEA/PCÂ â‰¥Â 0.000244) or 0.03Â mÂ³ otherwise. The Â±0.05Â mÂ³ tolerance encompasses 88% of dataset mixes while excluding physically u</w:t>
      </w:r>
      <w:r>
        <w:t>nreasonable compositions.</w:t>
      </w:r>
    </w:p>
    <w:p w:rsidR="00AE4894" w:rsidRDefault="00BE6831">
      <w:pPr>
        <w:pStyle w:val="Heading2"/>
        <w:spacing w:before="240" w:after="100"/>
      </w:pPr>
      <w:r>
        <w:rPr>
          <w:b/>
          <w:bCs/>
          <w:sz w:val="28"/>
          <w:szCs w:val="28"/>
        </w:rPr>
        <w:t>2.5 Surrogate Model</w:t>
      </w:r>
    </w:p>
    <w:p w:rsidR="00AE4894" w:rsidRDefault="00BE6831">
      <w:pPr>
        <w:spacing w:after="120"/>
      </w:pPr>
      <w:r>
        <w:t xml:space="preserve">Direct evaluation of 28-day strength requires a 28-day curing cycle and is infeasible within an evolutionary loop. A pre-trained </w:t>
      </w:r>
      <w:proofErr w:type="spellStart"/>
      <w:r>
        <w:rPr>
          <w:b/>
          <w:bCs/>
        </w:rPr>
        <w:t>CatBoost</w:t>
      </w:r>
      <w:proofErr w:type="spellEnd"/>
      <w:r>
        <w:rPr>
          <w:b/>
          <w:bCs/>
        </w:rPr>
        <w:t>-Chain</w:t>
      </w:r>
      <w:r>
        <w:t xml:space="preserve"> surrogate is used instead, predicting 7-day, 28-day, and 56-day st</w:t>
      </w:r>
      <w:r>
        <w:t>rengths sequentially: the 7-day prediction becomes a feature for the 28-day model, and the 28-day prediction for the 56-day model [CITATION]. This chaining captures the autocorrelation structure of strength development across curing ages. Trained on the 75</w:t>
      </w:r>
      <w:r>
        <w:t xml:space="preserve">6-mix SI dataset (10 raw variables plus 12 engineered derived ratios), it achieves a cross-validated RÂ² of </w:t>
      </w:r>
      <w:r>
        <w:rPr>
          <w:b/>
          <w:bCs/>
        </w:rPr>
        <w:t>0.869 (SDÂ =Â 0.017)</w:t>
      </w:r>
      <w:r>
        <w:t xml:space="preserve"> for 28-day strengthâ€”substantially higher than a standard (non-chained) </w:t>
      </w:r>
      <w:proofErr w:type="spellStart"/>
      <w:r>
        <w:t>CatBoost</w:t>
      </w:r>
      <w:proofErr w:type="spellEnd"/>
      <w:r>
        <w:t xml:space="preserve"> model (RÂ²Â =Â 0.589). GWP is computed analytically; </w:t>
      </w:r>
      <w:r>
        <w:t>all candidate solutions are evaluated through the surrogate without physical testing.</w:t>
      </w:r>
    </w:p>
    <w:p w:rsidR="00AE4894" w:rsidRDefault="00AE4894"/>
    <w:p w:rsidR="00AE4894" w:rsidRDefault="00BE6831">
      <w:pPr>
        <w:pStyle w:val="Heading1"/>
        <w:spacing w:before="360" w:after="120"/>
      </w:pPr>
      <w:r>
        <w:rPr>
          <w:b/>
          <w:bCs/>
        </w:rPr>
        <w:t>3. FLAME: Front-guided LLM-Augmented Multi-</w:t>
      </w:r>
      <w:proofErr w:type="gramStart"/>
      <w:r>
        <w:rPr>
          <w:b/>
          <w:bCs/>
        </w:rPr>
        <w:t>objective</w:t>
      </w:r>
      <w:proofErr w:type="gramEnd"/>
      <w:r>
        <w:rPr>
          <w:b/>
          <w:bCs/>
        </w:rPr>
        <w:t xml:space="preserve"> Evolution</w:t>
      </w:r>
    </w:p>
    <w:p w:rsidR="00AE4894" w:rsidRDefault="00BE6831">
      <w:pPr>
        <w:spacing w:after="120"/>
      </w:pPr>
      <w:r>
        <w:t xml:space="preserve">We propose </w:t>
      </w:r>
      <w:r>
        <w:rPr>
          <w:b/>
          <w:bCs/>
        </w:rPr>
        <w:t>FLAME</w:t>
      </w:r>
      <w:r>
        <w:t xml:space="preserve"> (</w:t>
      </w:r>
      <w:r>
        <w:rPr>
          <w:b/>
          <w:bCs/>
        </w:rPr>
        <w:t>F</w:t>
      </w:r>
      <w:r>
        <w:t xml:space="preserve">ront-guided </w:t>
      </w:r>
      <w:r>
        <w:rPr>
          <w:b/>
          <w:bCs/>
        </w:rPr>
        <w:t>L</w:t>
      </w:r>
      <w:r>
        <w:t>LM-</w:t>
      </w:r>
      <w:r>
        <w:rPr>
          <w:b/>
          <w:bCs/>
        </w:rPr>
        <w:t>A</w:t>
      </w:r>
      <w:r>
        <w:t xml:space="preserve">ugmented </w:t>
      </w:r>
      <w:r>
        <w:rPr>
          <w:b/>
          <w:bCs/>
        </w:rPr>
        <w:t>M</w:t>
      </w:r>
      <w:r>
        <w:t>ulti-</w:t>
      </w:r>
      <w:proofErr w:type="gramStart"/>
      <w:r>
        <w:t>objective</w:t>
      </w:r>
      <w:proofErr w:type="gramEnd"/>
      <w:r>
        <w:t xml:space="preserve"> </w:t>
      </w:r>
      <w:r>
        <w:rPr>
          <w:b/>
          <w:bCs/>
        </w:rPr>
        <w:t>E</w:t>
      </w:r>
      <w:r>
        <w:t xml:space="preserve">volution), a hybrid optimization framework that integrates a large language model (LLM) as a domain-aware proposal generator within the NSGA-II multi-objective evolutionary loop. The key design principle is that LLM-generated candidates </w:t>
      </w:r>
      <w:r>
        <w:rPr>
          <w:i/>
          <w:iCs/>
        </w:rPr>
        <w:t>augment</w:t>
      </w:r>
      <w:r>
        <w:t xml:space="preserve"> the offspri</w:t>
      </w:r>
      <w:r>
        <w:t>ng pool and compete under NSGA-IIâ€™s evolutionary pressure, rather than replacing or bypassing it.</w:t>
      </w:r>
    </w:p>
    <w:p w:rsidR="00AE4894" w:rsidRDefault="00BE6831">
      <w:pPr>
        <w:pStyle w:val="Heading2"/>
        <w:spacing w:before="240" w:after="100"/>
      </w:pPr>
      <w:r>
        <w:rPr>
          <w:b/>
          <w:bCs/>
          <w:sz w:val="28"/>
          <w:szCs w:val="28"/>
        </w:rPr>
        <w:t>3.1 Framework Architecture</w:t>
      </w:r>
    </w:p>
    <w:p w:rsidR="00AE4894" w:rsidRDefault="00BE6831">
      <w:pPr>
        <w:spacing w:after="120"/>
      </w:pPr>
      <w:r>
        <w:t xml:space="preserve">FigureÂ 1 illustrates the FLAME framework. Let </w:t>
      </w:r>
      <w:r>
        <w:rPr>
          <w:i/>
          <w:iCs/>
        </w:rPr>
        <w:t>P</w:t>
      </w:r>
      <w:r>
        <w:t xml:space="preserve">â‚œ denote the population at generation </w:t>
      </w:r>
      <w:r>
        <w:rPr>
          <w:i/>
          <w:iCs/>
        </w:rPr>
        <w:t>t</w:t>
      </w:r>
      <w:r>
        <w:t xml:space="preserve"> (size </w:t>
      </w:r>
      <w:r>
        <w:rPr>
          <w:i/>
          <w:iCs/>
        </w:rPr>
        <w:t>N</w:t>
      </w:r>
      <w:r>
        <w:t xml:space="preserve">â‚šâ‚’â‚š = 50), and </w:t>
      </w:r>
      <w:r>
        <w:rPr>
          <w:i/>
          <w:iCs/>
        </w:rPr>
        <w:t>Q</w:t>
      </w:r>
      <w:r>
        <w:t xml:space="preserve">â‚œ the offspring generated by NSGA-IIâ€™s simulated binary crossover (SBX) and polynomial mutation (PM) operators. In standard NSGA-II, </w:t>
      </w:r>
      <w:r>
        <w:rPr>
          <w:i/>
          <w:iCs/>
        </w:rPr>
        <w:t>P</w:t>
      </w:r>
      <w:r>
        <w:t xml:space="preserve">â‚œâ‚Šâ‚ is selected from </w:t>
      </w:r>
      <w:r>
        <w:rPr>
          <w:i/>
          <w:iCs/>
        </w:rPr>
        <w:t>P</w:t>
      </w:r>
      <w:r>
        <w:t xml:space="preserve">â‚œ âˆª </w:t>
      </w:r>
      <w:r>
        <w:rPr>
          <w:i/>
          <w:iCs/>
        </w:rPr>
        <w:t>Q</w:t>
      </w:r>
      <w:r>
        <w:t>â‚œ through fast non-dominated sorting and crowding-distance ranking [CITATION: Deb 2002]. In FLA</w:t>
      </w:r>
      <w:r>
        <w:t xml:space="preserve">ME, a set of </w:t>
      </w:r>
      <w:r>
        <w:rPr>
          <w:i/>
          <w:iCs/>
        </w:rPr>
        <w:t>N</w:t>
      </w:r>
      <w:r>
        <w:t xml:space="preserve">Â = 15 candidate concrete mix designs </w:t>
      </w:r>
      <w:r>
        <w:rPr>
          <w:i/>
          <w:iCs/>
        </w:rPr>
        <w:t>L</w:t>
      </w:r>
      <w:r>
        <w:t xml:space="preserve">â‚œ is additionally generated by the LLM at every generation, and the combined pool </w:t>
      </w:r>
      <w:r>
        <w:rPr>
          <w:i/>
          <w:iCs/>
        </w:rPr>
        <w:t>P</w:t>
      </w:r>
      <w:r>
        <w:t xml:space="preserve">â‚œ âˆª </w:t>
      </w:r>
      <w:r>
        <w:rPr>
          <w:i/>
          <w:iCs/>
        </w:rPr>
        <w:t>Q</w:t>
      </w:r>
      <w:r>
        <w:t xml:space="preserve">â‚œ âˆª </w:t>
      </w:r>
      <w:r>
        <w:rPr>
          <w:i/>
          <w:iCs/>
        </w:rPr>
        <w:t>L</w:t>
      </w:r>
      <w:r>
        <w:t xml:space="preserve">â‚œ is submitted to the NSGA-II selection step. LLM proposals thus compete against crossover-generated offspring </w:t>
      </w:r>
      <w:r>
        <w:t xml:space="preserve">on equal terms; only proposals that are non-dominated and contribute to front diversity survive into </w:t>
      </w:r>
      <w:r>
        <w:rPr>
          <w:i/>
          <w:iCs/>
        </w:rPr>
        <w:t>P</w:t>
      </w:r>
      <w:r>
        <w:t xml:space="preserve">â‚œâ‚Šâ‚. The LLM acts as a </w:t>
      </w:r>
      <w:r>
        <w:rPr>
          <w:i/>
          <w:iCs/>
        </w:rPr>
        <w:t>domain-informed proposal generator</w:t>
      </w:r>
      <w:r>
        <w:t xml:space="preserve"> whose suggestions are filtered by evolutionary pressure rather than accepted unconditionally.</w:t>
      </w:r>
    </w:p>
    <w:p w:rsidR="00AE4894" w:rsidRDefault="00BE6831">
      <w:pPr>
        <w:spacing w:after="120"/>
      </w:pPr>
      <w:r>
        <w:rPr>
          <w:i/>
          <w:iCs/>
          <w:color w:val="888888"/>
        </w:rPr>
        <w:lastRenderedPageBreak/>
        <w:t>[F</w:t>
      </w:r>
      <w:r>
        <w:rPr>
          <w:i/>
          <w:iCs/>
          <w:color w:val="888888"/>
        </w:rPr>
        <w:t>igure 1: FLAME framework architecture. Left: standard NSGA-II loop. Right: LLM augmentation â€” at each generation the LLM receives the current Pareto front (elite examples) and a structured prompt, returns N candidate mixes, which are appended to the offspr</w:t>
      </w:r>
      <w:r>
        <w:rPr>
          <w:i/>
          <w:iCs/>
          <w:color w:val="888888"/>
        </w:rPr>
        <w:t>ing pool before selection.]</w:t>
      </w:r>
    </w:p>
    <w:p w:rsidR="00AE4894" w:rsidRDefault="00BE6831">
      <w:pPr>
        <w:pStyle w:val="Heading2"/>
        <w:spacing w:before="240" w:after="100"/>
      </w:pPr>
      <w:r>
        <w:rPr>
          <w:b/>
          <w:bCs/>
          <w:sz w:val="28"/>
          <w:szCs w:val="28"/>
        </w:rPr>
        <w:t>3.2 Prompt Design</w:t>
      </w:r>
    </w:p>
    <w:p w:rsidR="00AE4894" w:rsidRDefault="00BE6831">
      <w:pPr>
        <w:spacing w:after="120"/>
      </w:pPr>
      <w:r>
        <w:t>The LLM (Google Gemini-2.5-Flash-Lite) receives a structured prompt at each generation comprising five components (TableÂ 3). Together they supply the LLM with the optimization objective, the feasibility envelop</w:t>
      </w:r>
      <w:r>
        <w:t>e, and â€” critically â€” cement chemistry knowledge that would not be derivable from objective function evaluations alone.</w:t>
      </w:r>
    </w:p>
    <w:p w:rsidR="00AE4894" w:rsidRDefault="00BE6831">
      <w:pPr>
        <w:spacing w:before="160" w:after="60"/>
      </w:pPr>
      <w:r>
        <w:rPr>
          <w:b/>
          <w:bCs/>
        </w:rPr>
        <w:t>Table 3. FLAME prompt components and their roles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13"/>
        <w:gridCol w:w="1619"/>
        <w:gridCol w:w="5798"/>
      </w:tblGrid>
      <w:tr w:rsidR="00AE4894" w:rsidTr="00BE6831">
        <w:tblPrEx>
          <w:tblCellMar>
            <w:top w:w="0" w:type="dxa"/>
            <w:bottom w:w="0" w:type="dxa"/>
          </w:tblCellMar>
        </w:tblPrEx>
        <w:trPr>
          <w:tblHeader/>
        </w:trPr>
        <w:tc>
          <w:tcPr>
            <w:tcW w:w="703" w:type="pct"/>
            <w:tcBorders>
              <w:top w:val="single" w:sz="4" w:space="0" w:color="AAAAAA"/>
              <w:left w:val="single" w:sz="4" w:space="0" w:color="AAAAAA"/>
              <w:bottom w:val="single" w:sz="4" w:space="0" w:color="AAAAAA"/>
              <w:right w:val="single" w:sz="4" w:space="0" w:color="AAAAAA"/>
            </w:tcBorders>
            <w:shd w:val="clear" w:color="2F5597" w:fill="2F5597"/>
            <w:vAlign w:val="center"/>
          </w:tcPr>
          <w:p w:rsidR="00AE4894" w:rsidRDefault="00BE6831" w:rsidP="00BE6831">
            <w:pPr>
              <w:spacing w:before="40" w:after="40"/>
              <w:jc w:val="center"/>
            </w:pPr>
            <w:bookmarkStart w:id="0" w:name="_GoBack"/>
            <w:r>
              <w:rPr>
                <w:b/>
                <w:bCs/>
                <w:color w:val="FFFFFF"/>
                <w:sz w:val="20"/>
                <w:szCs w:val="20"/>
              </w:rPr>
              <w:t>Component</w:t>
            </w:r>
          </w:p>
        </w:tc>
        <w:tc>
          <w:tcPr>
            <w:tcW w:w="938" w:type="pct"/>
            <w:tcBorders>
              <w:top w:val="single" w:sz="4" w:space="0" w:color="AAAAAA"/>
              <w:left w:val="single" w:sz="4" w:space="0" w:color="AAAAAA"/>
              <w:bottom w:val="single" w:sz="4" w:space="0" w:color="AAAAAA"/>
              <w:right w:val="single" w:sz="4" w:space="0" w:color="AAAAAA"/>
            </w:tcBorders>
            <w:shd w:val="clear" w:color="2F5597" w:fill="2F5597"/>
            <w:vAlign w:val="center"/>
          </w:tcPr>
          <w:p w:rsidR="00AE4894" w:rsidRDefault="00BE6831" w:rsidP="00BE6831">
            <w:pPr>
              <w:spacing w:before="40" w:after="40"/>
              <w:jc w:val="center"/>
            </w:pPr>
            <w:r>
              <w:rPr>
                <w:b/>
                <w:bCs/>
                <w:color w:val="FFFFFF"/>
                <w:sz w:val="20"/>
                <w:szCs w:val="20"/>
              </w:rPr>
              <w:t>Abbreviation</w:t>
            </w:r>
          </w:p>
        </w:tc>
        <w:tc>
          <w:tcPr>
            <w:tcW w:w="3359" w:type="pct"/>
            <w:tcBorders>
              <w:top w:val="single" w:sz="4" w:space="0" w:color="AAAAAA"/>
              <w:left w:val="single" w:sz="4" w:space="0" w:color="AAAAAA"/>
              <w:bottom w:val="single" w:sz="4" w:space="0" w:color="AAAAAA"/>
              <w:right w:val="single" w:sz="4" w:space="0" w:color="AAAAAA"/>
            </w:tcBorders>
            <w:shd w:val="clear" w:color="2F5597" w:fill="2F5597"/>
            <w:vAlign w:val="center"/>
          </w:tcPr>
          <w:p w:rsidR="00AE4894" w:rsidRDefault="00BE6831" w:rsidP="00BE6831">
            <w:pPr>
              <w:spacing w:before="40" w:after="40"/>
              <w:jc w:val="center"/>
            </w:pPr>
            <w:r>
              <w:rPr>
                <w:b/>
                <w:bCs/>
                <w:color w:val="FFFFFF"/>
                <w:sz w:val="20"/>
                <w:szCs w:val="20"/>
              </w:rPr>
              <w:t>Content and purpose</w:t>
            </w:r>
          </w:p>
        </w:tc>
      </w:tr>
      <w:tr w:rsidR="00AE4894" w:rsidTr="00BE6831">
        <w:tblPrEx>
          <w:tblCellMar>
            <w:top w:w="0" w:type="dxa"/>
            <w:bottom w:w="0" w:type="dxa"/>
          </w:tblCellMar>
        </w:tblPrEx>
        <w:tc>
          <w:tcPr>
            <w:tcW w:w="703" w:type="pct"/>
            <w:tcBorders>
              <w:top w:val="single" w:sz="4" w:space="0" w:color="AAAAAA"/>
              <w:left w:val="single" w:sz="4" w:space="0" w:color="AAAAAA"/>
              <w:bottom w:val="single" w:sz="4" w:space="0" w:color="AAAAAA"/>
              <w:right w:val="single" w:sz="4" w:space="0" w:color="AAAAAA"/>
            </w:tcBorders>
            <w:shd w:val="clear" w:color="DCE6F1" w:fill="DCE6F1"/>
            <w:vAlign w:val="center"/>
          </w:tcPr>
          <w:p w:rsidR="00AE4894" w:rsidRDefault="00BE6831" w:rsidP="00BE6831">
            <w:pPr>
              <w:spacing w:before="30" w:after="30"/>
              <w:jc w:val="center"/>
            </w:pPr>
            <w:r>
              <w:rPr>
                <w:sz w:val="20"/>
                <w:szCs w:val="20"/>
              </w:rPr>
              <w:t>Task context</w:t>
            </w:r>
          </w:p>
        </w:tc>
        <w:tc>
          <w:tcPr>
            <w:tcW w:w="938" w:type="pct"/>
            <w:tcBorders>
              <w:top w:val="single" w:sz="4" w:space="0" w:color="AAAAAA"/>
              <w:left w:val="single" w:sz="4" w:space="0" w:color="AAAAAA"/>
              <w:bottom w:val="single" w:sz="4" w:space="0" w:color="AAAAAA"/>
              <w:right w:val="single" w:sz="4" w:space="0" w:color="AAAAAA"/>
            </w:tcBorders>
            <w:shd w:val="clear" w:color="DCE6F1" w:fill="DCE6F1"/>
            <w:vAlign w:val="center"/>
          </w:tcPr>
          <w:p w:rsidR="00AE4894" w:rsidRDefault="00BE6831" w:rsidP="00BE6831">
            <w:pPr>
              <w:spacing w:before="30" w:after="30"/>
              <w:jc w:val="center"/>
            </w:pPr>
            <w:r>
              <w:rPr>
                <w:sz w:val="20"/>
                <w:szCs w:val="20"/>
              </w:rPr>
              <w:t>Task</w:t>
            </w:r>
          </w:p>
        </w:tc>
        <w:tc>
          <w:tcPr>
            <w:tcW w:w="3359" w:type="pct"/>
            <w:tcBorders>
              <w:top w:val="single" w:sz="4" w:space="0" w:color="AAAAAA"/>
              <w:left w:val="single" w:sz="4" w:space="0" w:color="AAAAAA"/>
              <w:bottom w:val="single" w:sz="4" w:space="0" w:color="AAAAAA"/>
              <w:right w:val="single" w:sz="4" w:space="0" w:color="AAAAAA"/>
            </w:tcBorders>
            <w:shd w:val="clear" w:color="DCE6F1" w:fill="DCE6F1"/>
            <w:vAlign w:val="center"/>
          </w:tcPr>
          <w:p w:rsidR="00AE4894" w:rsidRDefault="00BE6831" w:rsidP="00BE6831">
            <w:pPr>
              <w:spacing w:before="30" w:after="30"/>
              <w:jc w:val="center"/>
            </w:pPr>
            <w:r>
              <w:rPr>
                <w:sz w:val="20"/>
                <w:szCs w:val="20"/>
              </w:rPr>
              <w:t>Plain-language description of the multi-objective mix design goal: minimize GWP while maximizing 28-day compressive strength by adjusting 10 mix design variables.</w:t>
            </w:r>
          </w:p>
        </w:tc>
      </w:tr>
      <w:tr w:rsidR="00AE4894" w:rsidTr="00BE6831">
        <w:tblPrEx>
          <w:tblCellMar>
            <w:top w:w="0" w:type="dxa"/>
            <w:bottom w:w="0" w:type="dxa"/>
          </w:tblCellMar>
        </w:tblPrEx>
        <w:tc>
          <w:tcPr>
            <w:tcW w:w="703" w:type="pct"/>
            <w:tcBorders>
              <w:top w:val="single" w:sz="4" w:space="0" w:color="AAAAAA"/>
              <w:left w:val="single" w:sz="4" w:space="0" w:color="AAAAAA"/>
              <w:bottom w:val="single" w:sz="4" w:space="0" w:color="AAAAAA"/>
              <w:right w:val="single" w:sz="4" w:space="0" w:color="AAAAAA"/>
            </w:tcBorders>
            <w:shd w:val="clear" w:color="FFFFFF" w:fill="FFFFFF"/>
            <w:vAlign w:val="center"/>
          </w:tcPr>
          <w:p w:rsidR="00AE4894" w:rsidRDefault="00BE6831" w:rsidP="00BE6831">
            <w:pPr>
              <w:spacing w:before="30" w:after="30"/>
              <w:jc w:val="center"/>
            </w:pPr>
            <w:r>
              <w:rPr>
                <w:sz w:val="20"/>
                <w:szCs w:val="20"/>
              </w:rPr>
              <w:t>Objectives</w:t>
            </w:r>
          </w:p>
        </w:tc>
        <w:tc>
          <w:tcPr>
            <w:tcW w:w="938" w:type="pct"/>
            <w:tcBorders>
              <w:top w:val="single" w:sz="4" w:space="0" w:color="AAAAAA"/>
              <w:left w:val="single" w:sz="4" w:space="0" w:color="AAAAAA"/>
              <w:bottom w:val="single" w:sz="4" w:space="0" w:color="AAAAAA"/>
              <w:right w:val="single" w:sz="4" w:space="0" w:color="AAAAAA"/>
            </w:tcBorders>
            <w:shd w:val="clear" w:color="FFFFFF" w:fill="FFFFFF"/>
            <w:vAlign w:val="center"/>
          </w:tcPr>
          <w:p w:rsidR="00AE4894" w:rsidRDefault="00BE6831" w:rsidP="00BE6831">
            <w:pPr>
              <w:spacing w:before="30" w:after="30"/>
              <w:jc w:val="center"/>
            </w:pPr>
            <w:proofErr w:type="spellStart"/>
            <w:r>
              <w:rPr>
                <w:sz w:val="20"/>
                <w:szCs w:val="20"/>
              </w:rPr>
              <w:t>Obj</w:t>
            </w:r>
            <w:proofErr w:type="spellEnd"/>
          </w:p>
        </w:tc>
        <w:tc>
          <w:tcPr>
            <w:tcW w:w="3359" w:type="pct"/>
            <w:tcBorders>
              <w:top w:val="single" w:sz="4" w:space="0" w:color="AAAAAA"/>
              <w:left w:val="single" w:sz="4" w:space="0" w:color="AAAAAA"/>
              <w:bottom w:val="single" w:sz="4" w:space="0" w:color="AAAAAA"/>
              <w:right w:val="single" w:sz="4" w:space="0" w:color="AAAAAA"/>
            </w:tcBorders>
            <w:shd w:val="clear" w:color="FFFFFF" w:fill="FFFFFF"/>
            <w:vAlign w:val="center"/>
          </w:tcPr>
          <w:p w:rsidR="00AE4894" w:rsidRDefault="00BE6831" w:rsidP="00BE6831">
            <w:pPr>
              <w:spacing w:before="30" w:after="30"/>
              <w:jc w:val="center"/>
            </w:pPr>
            <w:r>
              <w:rPr>
                <w:sz w:val="20"/>
                <w:szCs w:val="20"/>
              </w:rPr>
              <w:t>Mathematical form of both objectives with normalization ranges; Pareto domina</w:t>
            </w:r>
            <w:r>
              <w:rPr>
                <w:sz w:val="20"/>
                <w:szCs w:val="20"/>
              </w:rPr>
              <w:t>nce rule stated explicitly so the LLM understands what "better" means.</w:t>
            </w:r>
          </w:p>
        </w:tc>
      </w:tr>
      <w:tr w:rsidR="00AE4894" w:rsidTr="00BE6831">
        <w:tblPrEx>
          <w:tblCellMar>
            <w:top w:w="0" w:type="dxa"/>
            <w:bottom w:w="0" w:type="dxa"/>
          </w:tblCellMar>
        </w:tblPrEx>
        <w:tc>
          <w:tcPr>
            <w:tcW w:w="703" w:type="pct"/>
            <w:tcBorders>
              <w:top w:val="single" w:sz="4" w:space="0" w:color="AAAAAA"/>
              <w:left w:val="single" w:sz="4" w:space="0" w:color="AAAAAA"/>
              <w:bottom w:val="single" w:sz="4" w:space="0" w:color="AAAAAA"/>
              <w:right w:val="single" w:sz="4" w:space="0" w:color="AAAAAA"/>
            </w:tcBorders>
            <w:shd w:val="clear" w:color="DCE6F1" w:fill="DCE6F1"/>
            <w:vAlign w:val="center"/>
          </w:tcPr>
          <w:p w:rsidR="00AE4894" w:rsidRDefault="00BE6831" w:rsidP="00BE6831">
            <w:pPr>
              <w:spacing w:before="30" w:after="30"/>
              <w:jc w:val="center"/>
            </w:pPr>
            <w:r>
              <w:rPr>
                <w:sz w:val="20"/>
                <w:szCs w:val="20"/>
              </w:rPr>
              <w:t>Knowledge Table</w:t>
            </w:r>
          </w:p>
        </w:tc>
        <w:tc>
          <w:tcPr>
            <w:tcW w:w="938" w:type="pct"/>
            <w:tcBorders>
              <w:top w:val="single" w:sz="4" w:space="0" w:color="AAAAAA"/>
              <w:left w:val="single" w:sz="4" w:space="0" w:color="AAAAAA"/>
              <w:bottom w:val="single" w:sz="4" w:space="0" w:color="AAAAAA"/>
              <w:right w:val="single" w:sz="4" w:space="0" w:color="AAAAAA"/>
            </w:tcBorders>
            <w:shd w:val="clear" w:color="DCE6F1" w:fill="DCE6F1"/>
            <w:vAlign w:val="center"/>
          </w:tcPr>
          <w:p w:rsidR="00AE4894" w:rsidRDefault="00BE6831" w:rsidP="00BE6831">
            <w:pPr>
              <w:spacing w:before="30" w:after="30"/>
              <w:jc w:val="center"/>
            </w:pPr>
            <w:r>
              <w:rPr>
                <w:sz w:val="20"/>
                <w:szCs w:val="20"/>
              </w:rPr>
              <w:t>KT</w:t>
            </w:r>
          </w:p>
        </w:tc>
        <w:tc>
          <w:tcPr>
            <w:tcW w:w="3359" w:type="pct"/>
            <w:tcBorders>
              <w:top w:val="single" w:sz="4" w:space="0" w:color="AAAAAA"/>
              <w:left w:val="single" w:sz="4" w:space="0" w:color="AAAAAA"/>
              <w:bottom w:val="single" w:sz="4" w:space="0" w:color="AAAAAA"/>
              <w:right w:val="single" w:sz="4" w:space="0" w:color="AAAAAA"/>
            </w:tcBorders>
            <w:shd w:val="clear" w:color="DCE6F1" w:fill="DCE6F1"/>
            <w:vAlign w:val="center"/>
          </w:tcPr>
          <w:p w:rsidR="00AE4894" w:rsidRDefault="00BE6831" w:rsidP="00BE6831">
            <w:pPr>
              <w:spacing w:before="30" w:after="30"/>
              <w:jc w:val="center"/>
            </w:pPr>
            <w:r>
              <w:rPr>
                <w:sz w:val="20"/>
                <w:szCs w:val="20"/>
              </w:rPr>
              <w:t>Tabulated material properties: GWP emission factors (PCÂ =Â 1.048, GGBSÂ =Â 0.264, FAÂ =Â 0.328Â kgÂ COâ‚‚/kg), early-age vs. long-term reactivity of each SCM, and design heuristics for navigating the GWPâ€“strength trade-off. This is the primary channel for domain kn</w:t>
            </w:r>
            <w:r>
              <w:rPr>
                <w:sz w:val="20"/>
                <w:szCs w:val="20"/>
              </w:rPr>
              <w:t>owledge injection.</w:t>
            </w:r>
          </w:p>
        </w:tc>
      </w:tr>
      <w:tr w:rsidR="00AE4894" w:rsidTr="00BE6831">
        <w:tblPrEx>
          <w:tblCellMar>
            <w:top w:w="0" w:type="dxa"/>
            <w:bottom w:w="0" w:type="dxa"/>
          </w:tblCellMar>
        </w:tblPrEx>
        <w:tc>
          <w:tcPr>
            <w:tcW w:w="703" w:type="pct"/>
            <w:tcBorders>
              <w:top w:val="single" w:sz="4" w:space="0" w:color="AAAAAA"/>
              <w:left w:val="single" w:sz="4" w:space="0" w:color="AAAAAA"/>
              <w:bottom w:val="single" w:sz="4" w:space="0" w:color="AAAAAA"/>
              <w:right w:val="single" w:sz="4" w:space="0" w:color="AAAAAA"/>
            </w:tcBorders>
            <w:shd w:val="clear" w:color="FFFFFF" w:fill="FFFFFF"/>
            <w:vAlign w:val="center"/>
          </w:tcPr>
          <w:p w:rsidR="00AE4894" w:rsidRDefault="00BE6831" w:rsidP="00BE6831">
            <w:pPr>
              <w:spacing w:before="30" w:after="30"/>
              <w:jc w:val="center"/>
            </w:pPr>
            <w:r>
              <w:rPr>
                <w:sz w:val="20"/>
                <w:szCs w:val="20"/>
              </w:rPr>
              <w:t>Constraints</w:t>
            </w:r>
          </w:p>
        </w:tc>
        <w:tc>
          <w:tcPr>
            <w:tcW w:w="938" w:type="pct"/>
            <w:tcBorders>
              <w:top w:val="single" w:sz="4" w:space="0" w:color="AAAAAA"/>
              <w:left w:val="single" w:sz="4" w:space="0" w:color="AAAAAA"/>
              <w:bottom w:val="single" w:sz="4" w:space="0" w:color="AAAAAA"/>
              <w:right w:val="single" w:sz="4" w:space="0" w:color="AAAAAA"/>
            </w:tcBorders>
            <w:shd w:val="clear" w:color="FFFFFF" w:fill="FFFFFF"/>
            <w:vAlign w:val="center"/>
          </w:tcPr>
          <w:p w:rsidR="00AE4894" w:rsidRDefault="00BE6831" w:rsidP="00BE6831">
            <w:pPr>
              <w:spacing w:before="30" w:after="30"/>
              <w:jc w:val="center"/>
            </w:pPr>
            <w:r>
              <w:rPr>
                <w:sz w:val="20"/>
                <w:szCs w:val="20"/>
              </w:rPr>
              <w:t>Con</w:t>
            </w:r>
          </w:p>
        </w:tc>
        <w:tc>
          <w:tcPr>
            <w:tcW w:w="3359" w:type="pct"/>
            <w:tcBorders>
              <w:top w:val="single" w:sz="4" w:space="0" w:color="AAAAAA"/>
              <w:left w:val="single" w:sz="4" w:space="0" w:color="AAAAAA"/>
              <w:bottom w:val="single" w:sz="4" w:space="0" w:color="AAAAAA"/>
              <w:right w:val="single" w:sz="4" w:space="0" w:color="AAAAAA"/>
            </w:tcBorders>
            <w:shd w:val="clear" w:color="FFFFFF" w:fill="FFFFFF"/>
            <w:vAlign w:val="center"/>
          </w:tcPr>
          <w:p w:rsidR="00AE4894" w:rsidRDefault="00BE6831" w:rsidP="00BE6831">
            <w:pPr>
              <w:spacing w:before="30" w:after="30"/>
              <w:jc w:val="center"/>
            </w:pPr>
            <w:r>
              <w:rPr>
                <w:sz w:val="20"/>
                <w:szCs w:val="20"/>
              </w:rPr>
              <w:t>All feasibility conditions in natural language: variable bounds, derived ratio bounds (w/b, SCM%, etc.), and volume constraint. Prevents proposals that are physically unrealizable.</w:t>
            </w:r>
          </w:p>
        </w:tc>
      </w:tr>
      <w:tr w:rsidR="00AE4894" w:rsidTr="00BE6831">
        <w:tblPrEx>
          <w:tblCellMar>
            <w:top w:w="0" w:type="dxa"/>
            <w:bottom w:w="0" w:type="dxa"/>
          </w:tblCellMar>
        </w:tblPrEx>
        <w:tc>
          <w:tcPr>
            <w:tcW w:w="703" w:type="pct"/>
            <w:tcBorders>
              <w:top w:val="single" w:sz="4" w:space="0" w:color="AAAAAA"/>
              <w:left w:val="single" w:sz="4" w:space="0" w:color="AAAAAA"/>
              <w:bottom w:val="single" w:sz="4" w:space="0" w:color="AAAAAA"/>
              <w:right w:val="single" w:sz="4" w:space="0" w:color="AAAAAA"/>
            </w:tcBorders>
            <w:shd w:val="clear" w:color="DCE6F1" w:fill="DCE6F1"/>
            <w:vAlign w:val="center"/>
          </w:tcPr>
          <w:p w:rsidR="00AE4894" w:rsidRDefault="00BE6831" w:rsidP="00BE6831">
            <w:pPr>
              <w:spacing w:before="30" w:after="30"/>
              <w:jc w:val="center"/>
            </w:pPr>
            <w:r>
              <w:rPr>
                <w:sz w:val="20"/>
                <w:szCs w:val="20"/>
              </w:rPr>
              <w:t>Elite examples</w:t>
            </w:r>
          </w:p>
        </w:tc>
        <w:tc>
          <w:tcPr>
            <w:tcW w:w="938" w:type="pct"/>
            <w:tcBorders>
              <w:top w:val="single" w:sz="4" w:space="0" w:color="AAAAAA"/>
              <w:left w:val="single" w:sz="4" w:space="0" w:color="AAAAAA"/>
              <w:bottom w:val="single" w:sz="4" w:space="0" w:color="AAAAAA"/>
              <w:right w:val="single" w:sz="4" w:space="0" w:color="AAAAAA"/>
            </w:tcBorders>
            <w:shd w:val="clear" w:color="DCE6F1" w:fill="DCE6F1"/>
            <w:vAlign w:val="center"/>
          </w:tcPr>
          <w:p w:rsidR="00AE4894" w:rsidRDefault="00BE6831" w:rsidP="00BE6831">
            <w:pPr>
              <w:spacing w:before="30" w:after="30"/>
              <w:jc w:val="center"/>
            </w:pPr>
            <w:r>
              <w:rPr>
                <w:sz w:val="20"/>
                <w:szCs w:val="20"/>
              </w:rPr>
              <w:t>Elite</w:t>
            </w:r>
          </w:p>
        </w:tc>
        <w:tc>
          <w:tcPr>
            <w:tcW w:w="3359" w:type="pct"/>
            <w:tcBorders>
              <w:top w:val="single" w:sz="4" w:space="0" w:color="AAAAAA"/>
              <w:left w:val="single" w:sz="4" w:space="0" w:color="AAAAAA"/>
              <w:bottom w:val="single" w:sz="4" w:space="0" w:color="AAAAAA"/>
              <w:right w:val="single" w:sz="4" w:space="0" w:color="AAAAAA"/>
            </w:tcBorders>
            <w:shd w:val="clear" w:color="DCE6F1" w:fill="DCE6F1"/>
            <w:vAlign w:val="center"/>
          </w:tcPr>
          <w:p w:rsidR="00AE4894" w:rsidRDefault="00BE6831" w:rsidP="00BE6831">
            <w:pPr>
              <w:spacing w:before="30" w:after="30"/>
              <w:jc w:val="center"/>
            </w:pPr>
            <w:r>
              <w:rPr>
                <w:sz w:val="20"/>
                <w:szCs w:val="20"/>
              </w:rPr>
              <w:t>Current Pareto front solutions (up to 20 points) presented as inputâ€“output pairs. Functions as in-context few-shot demonstrations, enabling the LLM to infer which mix regions are Pareto-optimal.</w:t>
            </w:r>
          </w:p>
        </w:tc>
      </w:tr>
    </w:tbl>
    <w:bookmarkEnd w:id="0"/>
    <w:p w:rsidR="00AE4894" w:rsidRDefault="00BE6831">
      <w:pPr>
        <w:spacing w:before="120" w:after="120"/>
      </w:pPr>
      <w:r>
        <w:t>The Knowledge Table (KT) is the primary mechanism through which materials domain knowledge enters the search. It encodes GWP emission factors, the latent hydraulic reactivity of GGBS relative to its early-age strength contribution, and the workability impl</w:t>
      </w:r>
      <w:r>
        <w:t>ications of w/b ratio â€” relationships that are well-established in cement chemistry [CITATION] but cannot be inferred from black-box surrogate queries. The elite examples (current Pareto front) function as in-context few-shot demonstrations [CITATION: Brow</w:t>
      </w:r>
      <w:r>
        <w:t>n et al.Â 2020], enabling the LLM to infer which regions of the design space have been found Pareto-optimal. The LLM is instructed to return exactly NÂ =Â 15 concrete mix designs as a structured JSON array, from which design variable vectors are parsed and de</w:t>
      </w:r>
      <w:r>
        <w:t>coded.</w:t>
      </w:r>
    </w:p>
    <w:p w:rsidR="00AE4894" w:rsidRDefault="00BE6831">
      <w:pPr>
        <w:pStyle w:val="Heading2"/>
        <w:spacing w:before="240" w:after="100"/>
      </w:pPr>
      <w:r>
        <w:rPr>
          <w:b/>
          <w:bCs/>
          <w:sz w:val="28"/>
          <w:szCs w:val="28"/>
        </w:rPr>
        <w:t>3.3 Key Design Decisions</w:t>
      </w:r>
    </w:p>
    <w:p w:rsidR="00AE4894" w:rsidRDefault="00BE6831">
      <w:pPr>
        <w:spacing w:after="120"/>
      </w:pPr>
      <w:r>
        <w:lastRenderedPageBreak/>
        <w:t>Three design choices were empirically validated; full results are reported in SectionÂ 5.</w:t>
      </w:r>
    </w:p>
    <w:p w:rsidR="00AE4894" w:rsidRDefault="00BE6831">
      <w:pPr>
        <w:spacing w:before="120" w:after="100"/>
      </w:pPr>
      <w:r>
        <w:rPr>
          <w:b/>
          <w:bCs/>
        </w:rPr>
        <w:t xml:space="preserve">Augment vs. replace. </w:t>
      </w:r>
      <w:r>
        <w:t xml:space="preserve">Two injection modes were evaluated. In </w:t>
      </w:r>
      <w:r>
        <w:rPr>
          <w:i/>
          <w:iCs/>
        </w:rPr>
        <w:t>replace</w:t>
      </w:r>
      <w:r>
        <w:t xml:space="preserve"> mode, LLM proposals substitute an equal number of crossover offspri</w:t>
      </w:r>
      <w:r>
        <w:t xml:space="preserve">ng (pool size unchanged). In </w:t>
      </w:r>
      <w:r>
        <w:rPr>
          <w:i/>
          <w:iCs/>
        </w:rPr>
        <w:t>augment</w:t>
      </w:r>
      <w:r>
        <w:t xml:space="preserve"> mode (FLAME), proposals are appended to the offspring pool (pool size increases by N). Replace mode was found to degrade performance at NÂ =Â 15 (Î”HVÂ =Â +0.023, pÂ =Â 0.299, not significant), because forced substitution disr</w:t>
      </w:r>
      <w:r>
        <w:t>upts NSGA-IIâ€™s crowding-distance ranking, which maintains Pareto front diversity by penalizing solutions in densely populated objective-space regions. Augment mode preserves this mechanism and is adopted in FLAME.</w:t>
      </w:r>
    </w:p>
    <w:p w:rsidR="00AE4894" w:rsidRDefault="00BE6831">
      <w:pPr>
        <w:spacing w:after="100"/>
      </w:pPr>
      <w:r>
        <w:rPr>
          <w:b/>
          <w:bCs/>
        </w:rPr>
        <w:t xml:space="preserve">Every-generation injection. </w:t>
      </w:r>
      <w:r>
        <w:t>Rather than tr</w:t>
      </w:r>
      <w:r>
        <w:t xml:space="preserve">iggering LLM calls only on stagnation, FLAME queries the LLM at </w:t>
      </w:r>
      <w:r>
        <w:rPr>
          <w:i/>
          <w:iCs/>
        </w:rPr>
        <w:t>every</w:t>
      </w:r>
      <w:r>
        <w:t xml:space="preserve"> generation. This provides a continuous domain-knowledge signal throughout the search and avoids the complexity of stagnation detection. Experimental comparison with a stagnation-triggere</w:t>
      </w:r>
      <w:r>
        <w:t>d variant confirmed that the every-generation strategy achieves higher final HV across 30 paired replicates.</w:t>
      </w:r>
    </w:p>
    <w:p w:rsidR="00AE4894" w:rsidRDefault="00BE6831">
      <w:pPr>
        <w:spacing w:after="100"/>
      </w:pPr>
      <w:r>
        <w:rPr>
          <w:b/>
          <w:bCs/>
        </w:rPr>
        <w:t xml:space="preserve">Selection of N. </w:t>
      </w:r>
      <w:r>
        <w:t xml:space="preserve">The number of LLM proposals per generation, N, controls the relative influence of LLM-generated candidates versus crossover-generated offspring. An empirical N-sweep experiment (N âˆˆ {5, 10, 15, 20, 25}, 30 paired replicates each) identified </w:t>
      </w:r>
      <w:r>
        <w:rPr>
          <w:b/>
          <w:bCs/>
        </w:rPr>
        <w:t>NÂ =Â 15</w:t>
      </w:r>
      <w:r>
        <w:t xml:space="preserve"> as optim</w:t>
      </w:r>
      <w:r>
        <w:t>al (Î”HVÂ =Â +0.082, 83% of replicates improved, pÂ &lt;Â 0.001). Results are reported in detail in SectionÂ 5.2.</w:t>
      </w:r>
    </w:p>
    <w:p w:rsidR="00AE4894" w:rsidRDefault="00AE4894"/>
    <w:p w:rsidR="00AE4894" w:rsidRDefault="00BE6831">
      <w:pPr>
        <w:pStyle w:val="Heading1"/>
        <w:spacing w:before="360" w:after="120"/>
      </w:pPr>
      <w:r>
        <w:rPr>
          <w:b/>
          <w:bCs/>
        </w:rPr>
        <w:t>5. Results</w:t>
      </w:r>
    </w:p>
    <w:p w:rsidR="00AE4894" w:rsidRDefault="00BE6831">
      <w:pPr>
        <w:pStyle w:val="Heading2"/>
        <w:spacing w:before="240" w:after="100"/>
      </w:pPr>
      <w:r>
        <w:rPr>
          <w:b/>
          <w:bCs/>
          <w:sz w:val="28"/>
          <w:szCs w:val="28"/>
        </w:rPr>
        <w:t xml:space="preserve">5.1 FLAME Achieves Statistically Significant </w:t>
      </w:r>
      <w:proofErr w:type="spellStart"/>
      <w:r>
        <w:rPr>
          <w:b/>
          <w:bCs/>
          <w:sz w:val="28"/>
          <w:szCs w:val="28"/>
        </w:rPr>
        <w:t>Hypervolume</w:t>
      </w:r>
      <w:proofErr w:type="spellEnd"/>
      <w:r>
        <w:rPr>
          <w:b/>
          <w:bCs/>
          <w:sz w:val="28"/>
          <w:szCs w:val="28"/>
        </w:rPr>
        <w:t xml:space="preserve"> Improvement</w:t>
      </w:r>
    </w:p>
    <w:p w:rsidR="00AE4894" w:rsidRDefault="00BE6831">
      <w:pPr>
        <w:spacing w:after="120"/>
      </w:pPr>
      <w:r>
        <w:t>FigureÂ 1 compares the mean Pareto fronts of NSGA-II and FLAME across 3</w:t>
      </w:r>
      <w:r>
        <w:t xml:space="preserve">0 paired replicates (NÂ =Â 15). Each curve represents the mean Â±Â 1 SD of the maximum </w:t>
      </w:r>
      <w:r>
        <w:rPr>
          <w:i/>
          <w:iCs/>
        </w:rPr>
        <w:t>f</w:t>
      </w:r>
      <w:r>
        <w:t xml:space="preserve">â‚‚â‚ˆ per GWP bin. FLAME consistently achieves higher </w:t>
      </w:r>
      <w:r>
        <w:rPr>
          <w:i/>
          <w:iCs/>
        </w:rPr>
        <w:t>f</w:t>
      </w:r>
      <w:r>
        <w:t>â‚‚â‚ˆ across the full GWP range, with the improvement most pronounced in the mid-range region (GWPÂ 200â€“260Â kg COâ‚‚-</w:t>
      </w:r>
      <w:proofErr w:type="spellStart"/>
      <w:r>
        <w:t>eq</w:t>
      </w:r>
      <w:proofErr w:type="spellEnd"/>
      <w:r>
        <w:t>/mÂ³). T</w:t>
      </w:r>
      <w:r>
        <w:t xml:space="preserve">he mean </w:t>
      </w:r>
      <w:proofErr w:type="spellStart"/>
      <w:r>
        <w:t>hypervolume</w:t>
      </w:r>
      <w:proofErr w:type="spellEnd"/>
      <w:r>
        <w:t xml:space="preserve"> improvement is Î”HVÂ =Â +0.082 (83% of replicates improved, Wilcoxon signed-rank test pÂ &lt;Â 0.001).</w:t>
      </w:r>
    </w:p>
    <w:p w:rsidR="00AE4894" w:rsidRDefault="00BE6831">
      <w:pPr>
        <w:spacing w:before="80" w:after="80"/>
        <w:jc w:val="center"/>
      </w:pPr>
      <w:r>
        <w:rPr>
          <w:noProof/>
        </w:rPr>
        <w:lastRenderedPageBreak/>
        <w:drawing>
          <wp:inline distT="0" distB="0" distL="0" distR="0">
            <wp:extent cx="5029200" cy="3352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029200" cy="3352800"/>
                    </a:xfrm>
                    <a:prstGeom prst="rect">
                      <a:avLst/>
                    </a:prstGeom>
                  </pic:spPr>
                </pic:pic>
              </a:graphicData>
            </a:graphic>
          </wp:inline>
        </w:drawing>
      </w:r>
    </w:p>
    <w:p>
      <w:pPr>
        <w:jc w:val="center"/>
        <w:spacing w:before="40" w:after="160"/>
      </w:pPr>
      <w:r>
        <w:rPr>
          <w:rFonts w:ascii="Times New Roman" w:hAnsi="Times New Roman"/>
          <w:sz w:val="24"/>
          <w:b/>
        </w:rPr>
        <w:t xml:space="preserve">Figure 1. </w:t>
      </w:r>
      <w:r>
        <w:rPr>
          <w:rFonts w:ascii="Times New Roman" w:hAnsi="Times New Roman"/>
          <w:sz w:val="24"/>
        </w:rPr>
        <w:t xml:space="preserve">Pareto fronts of NSGA-II and FLAME (NÂ =Â 15). Each curve shows the mean maximum $f_{28}$ per GWP bin across 30 paired replicates; shaded bands indicate Â±1Â SD. FLAME consistently achieves higher compressive strength at equivalent or lower GWP, with the gap widening in the low-carbon region (GWPÂ &lt;Â 200Â kgÂ COâ‚‚/mÂ³).</w:t>
      </w:r>
    </w:p>
    <w:p>
      <w:pPr>
        <w:spacing w:before="0" w:after="160"/>
      </w:pPr>
      <w:r>
        <w:rPr>
          <w:rFonts w:ascii="Times New Roman" w:hAnsi="Times New Roman"/>
          <w:sz w:val="24"/>
        </w:rPr>
        <w:t xml:space="preserve">Figure 2 traces the evolution of hypervolume (HV) across 100 generations for both methods. FLAME surpasses the NSGA-II baseline from approximately generationÂ 20 onward and maintains a widening margin through the end of the run. This progression suggests that LLM augmentation requires a brief warm-up period â€” sufficient population diversity to generate informative prompts â€” before contributing effectively to Pareto front improvement. The widening gap in later generations is consistent with a compounding mechanism: as FLAMEâ€™s Pareto front advances, subsequent LLM prompts are conditioned on higher-quality reference solutions, enabling increasingly targeted exploration.</w:t>
      </w:r>
    </w:p>
    <w:p xmlns:a="http://schemas.openxmlformats.org/drawingml/2006/main" xmlns:pic="http://schemas.openxmlformats.org/drawingml/2006/picture">
      <w:pPr>
        <w:jc w:val="center"/>
        <w:spacing w:before="80" w:after="80"/>
      </w:pPr>
      <w:r>
        <w:drawing>
          <wp:inline distT="0" distB="0" distL="0" distR="0">
            <wp:extent cx="5029200" cy="2794000"/>
            <wp:effectExtent l="0" t="0" r="0" b="0"/>
            <wp:docPr id="20" name="Figure2"/>
            <wp:cNvGraphicFramePr>
              <a:graphicFrameLocks noChangeAspect="1"/>
            </wp:cNvGraphicFramePr>
            <a:graphic>
              <a:graphicData uri="http://schemas.openxmlformats.org/drawingml/2006/picture">
                <pic:pic>
                  <pic:nvPicPr>
                    <pic:cNvPr id="20" name="convergence_everyg"/>
                    <pic:cNvPicPr/>
                  </pic:nvPicPr>
                  <pic:blipFill>
                    <a:blip r:embed="rIdConvFig"/>
                    <a:stretch>
                      <a:fillRect/>
                    </a:stretch>
                  </pic:blipFill>
                  <pic:spPr>
                    <a:xfrm>
                      <a:off x="0" y="0"/>
                      <a:ext cx="5029200" cy="2794000"/>
                    </a:xfrm>
                    <a:prstGeom prst="rect">
                      <a:avLst/>
                    </a:prstGeom>
                  </pic:spPr>
                </pic:pic>
              </a:graphicData>
            </a:graphic>
          </wp:inline>
        </w:drawing>
      </w:r>
    </w:p>
    <w:p>
      <w:pPr>
        <w:jc w:val="center"/>
        <w:spacing w:before="40" w:after="160"/>
      </w:pPr>
      <w:r>
        <w:rPr>
          <w:rFonts w:ascii="Times New Roman" w:hAnsi="Times New Roman"/>
          <w:sz w:val="24"/>
          <w:b/>
        </w:rPr>
        <w:t xml:space="preserve">Figure 2. </w:t>
      </w:r>
      <w:r>
        <w:rPr>
          <w:rFonts w:ascii="Times New Roman" w:hAnsi="Times New Roman"/>
          <w:sz w:val="24"/>
        </w:rPr>
        <w:t xml:space="preserve">Hypervolume (HV) convergence of NSGA-II and FLAME (NÂ =Â 15) over 100 generations. Solid and dashed lines show mean HV across 30 paired replicates; shaded bands indicate Â±1Â SD. FLAME surpasses the NSGA-II baseline from approximately generationÂ 20 onward, reaching a final mean Î”HVÂ =Â +0.082 (pÂ &lt;Â 0.001, Wilcoxon signed-rank test).</w:t>
      </w:r>
    </w:p>
    <w:p>
      <w:pPr>
        <w:spacing w:before="0" w:after="160"/>
      </w:pPr>
      <w:r>
        <w:rPr>
          <w:rFonts w:ascii="Times New Roman" w:hAnsi="Times New Roman"/>
          <w:sz w:val="24"/>
        </w:rPr>
        <w:t xml:space="preserve">To identify when and why FLAME gains its advantage, FigureÂ 3 decomposes the per-generation Î”Î”HV â€” the change in mean hypervolume difference between FLAME and NSGA-II from one generation to the next. Bars are colored by the Pareto Contribution Rate (PCR) of LLM proposals in that generation. Generations with PCR above the median (red) tend to coincide with positive Î”Î”HV, indicating that generations in which the LLM produces relatively more Pareto-contributing solutions are also the generations that yield the greatest hypervolume gains. In contrast, below-median PCR generations (green) show smaller or negative increments, suggesting that low-quality LLM output does not meaningfully impede the evolutionary search but also fails to accelerate it.</w:t>
      </w:r>
    </w:p>
    <w:p xmlns:a="http://schemas.openxmlformats.org/drawingml/2006/main" xmlns:pic="http://schemas.openxmlformats.org/drawingml/2006/picture">
      <w:pPr>
        <w:jc w:val="center"/>
        <w:spacing w:before="80" w:after="80"/>
      </w:pPr>
      <w:r>
        <w:drawing>
          <wp:inline distT="0" distB="0" distL="0" distR="0">
            <wp:extent cx="5943600" cy="2161309"/>
            <wp:effectExtent l="0" t="0" r="0" b="0"/>
            <wp:docPr id="30" name="Figure3"/>
            <wp:cNvGraphicFramePr>
              <a:graphicFrameLocks noChangeAspect="1"/>
            </wp:cNvGraphicFramePr>
            <a:graphic>
              <a:graphicData uri="http://schemas.openxmlformats.org/drawingml/2006/picture">
                <pic:pic>
                  <pic:nvPicPr>
                    <pic:cNvPr id="30" name="delta_hv_incremental_everyg"/>
                    <pic:cNvPicPr/>
                  </pic:nvPicPr>
                  <pic:blipFill>
                    <a:blip r:embed="rIdDeltaHV"/>
                    <a:stretch>
                      <a:fillRect/>
                    </a:stretch>
                  </pic:blipFill>
                  <pic:spPr>
                    <a:xfrm>
                      <a:off x="0" y="0"/>
                      <a:ext cx="5943600" cy="2161309"/>
                    </a:xfrm>
                    <a:prstGeom prst="rect">
                      <a:avLst/>
                    </a:prstGeom>
                  </pic:spPr>
                </pic:pic>
              </a:graphicData>
            </a:graphic>
          </wp:inline>
        </w:drawing>
      </w:r>
    </w:p>
    <w:p>
      <w:pPr>
        <w:jc w:val="center"/>
        <w:spacing w:before="40" w:after="160"/>
      </w:pPr>
      <w:r>
        <w:rPr>
          <w:rFonts w:ascii="Times New Roman" w:hAnsi="Times New Roman"/>
          <w:sz w:val="24"/>
          <w:b/>
        </w:rPr>
        <w:t xml:space="preserve">Figure 3. </w:t>
      </w:r>
      <w:r>
        <w:rPr>
          <w:rFonts w:ascii="Times New Roman" w:hAnsi="Times New Roman"/>
          <w:sz w:val="24"/>
        </w:rPr>
        <w:t xml:space="preserve">Per-generation Î”Î”HV of FLAME relative to NSGA-II, averaged across 30 replicates. Each bar represents the change in mean Î”HV from the previous generation. Bar color indicates the Pareto Contribution Rate (PCR) of LLM proposals in that generation: red denotes PCRÂ â‰¥Â median, green denotes PCRÂ &lt;Â median. PCR is defined as the fraction of LLM-generated proposals that are both feasible and non-dominated per generation (median PCRÂ â‰ˆÂ 0.091, equivalent to â‰ˆ1.4 proposals per generation out of NÂ =Â 15).</w:t>
      </w:r>
    </w:p>
    <w:p>
      <w:pPr>
        <w:spacing w:before="0" w:after="160"/>
      </w:pPr>
      <w:r>
        <w:rPr>
          <w:rFonts w:ascii="Times New Roman" w:hAnsi="Times New Roman"/>
          <w:sz w:val="24"/>
        </w:rPr>
        <w:t xml:space="preserve">Taken together, FiguresÂ 1â€“3 demonstrate that FLAMEâ€™s hypervolume advantage is not attributable to a single generation or a uniform improvement throughout the run. Instead, it accumulates through sporadic but consequential contributions in generations where the LLM successfully generates feasible, non-dominated proposals. The overall mean PCR of approximately 0.091 (roughly 1.4 useful proposals per generation out of NÂ =Â 15) indicates that even a low proposal acceptance rate can drive meaningful population improvement when the accepted proposals are strategically positioned near the Pareto front. These findings motivate the selection of NÂ =Â 15 and the every-generation injection strategy, both of which are examined in detail in SectionsÂ 5.2 and 5.3.</w:t>
      </w:r>
    </w:p>
    <w:p>
      <w:pPr>
        <w:spacing w:before="0" w:after="80"/>
      </w:pPr>
    </w:p>
    <w:p>
      <w:pPr>
        <w:jc w:val="center"/>
        <w:spacing w:before="120" w:after="40"/>
      </w:pPr>
      <w:r>
        <w:rPr>
          <w:rFonts w:ascii="Times New Roman" w:hAnsi="Times New Roman"/>
          <w:sz w:val="24"/>
        </w:rPr>
        <w:t xml:space="preserve">TableÂ 1. Hypervolume comparison between NSGA-II and FLAME (NÂ =Â 15) across 30 paired replicates. HV is normalized with reference point (1,Â 1). Statistical test: two-sided Wilcoxon signed-rank test.</w:t>
      </w:r>
    </w:p>
    <w:tbl>
      <w:tblPr>
        <w:tblW w:w="9360" w:type="dxa"/>
        <w:tblInd w:w="0" w:type="dxa"/>
        <w:tblBorders>
          <w:top w:val="single" w:sz="4" w:color="000000"/>
          <w:bottom w:val="single" w:sz="4" w:color="000000"/>
          <w:left w:val="single" w:sz="4" w:color="000000"/>
          <w:right w:val="single" w:sz="4" w:color="000000"/>
          <w:insideH w:val="single" w:sz="4" w:color="000000"/>
          <w:insideV w:val="single" w:sz="4" w:color="000000"/>
        </w:tblBorders>
        <w:tblLook w:val="0400"/>
      </w:tblPr>
      <w:tblGrid>
        <w:gridCol w:w="3960"/>
        <w:gridCol w:w="2700"/>
        <w:gridCol w:w="2700"/>
      </w:tblGrid>
      <w:tr>
        <w:trPr>
          <w:tblHeader/>
        </w:trPr>
        <w:tc>
          <w:tcPr>
            <w:tcW w:w="3960" w:type="dxa"/>
            <w:shd w:val="clear" w:color="auto" w:fill="D9D9D9"/>
          </w:tcPr>
          <w:p>
            <w:pPr>
              <w:jc w:val="left"/>
              <w:spacing w:before="40" w:after="40"/>
            </w:pPr>
            <w:r>
              <w:rPr>
                <w:rFonts w:ascii="Times New Roman" w:hAnsi="Times New Roman"/>
                <w:sz w:val="20"/>
                <w:b/>
              </w:rPr>
              <w:t xml:space="preserve">Metric</w:t>
            </w:r>
          </w:p>
        </w:tc>
        <w:tc>
          <w:tcPr>
            <w:tcW w:w="2700" w:type="dxa"/>
            <w:shd w:val="clear" w:color="auto" w:fill="D9D9D9"/>
          </w:tcPr>
          <w:p>
            <w:pPr>
              <w:jc w:val="center"/>
              <w:spacing w:before="40" w:after="40"/>
            </w:pPr>
            <w:r>
              <w:rPr>
                <w:rFonts w:ascii="Times New Roman" w:hAnsi="Times New Roman"/>
                <w:sz w:val="20"/>
                <w:b/>
              </w:rPr>
              <w:t xml:space="preserve">NSGA-II</w:t>
            </w:r>
          </w:p>
        </w:tc>
        <w:tc>
          <w:tcPr>
            <w:tcW w:w="2700" w:type="dxa"/>
            <w:shd w:val="clear" w:color="auto" w:fill="D9D9D9"/>
          </w:tcPr>
          <w:p>
            <w:pPr>
              <w:jc w:val="center"/>
              <w:spacing w:before="40" w:after="40"/>
            </w:pPr>
            <w:r>
              <w:rPr>
                <w:rFonts w:ascii="Times New Roman" w:hAnsi="Times New Roman"/>
                <w:sz w:val="20"/>
                <w:b/>
              </w:rPr>
              <w:t xml:space="preserve">FLAME (NÂ =Â 15)</w:t>
            </w:r>
          </w:p>
        </w:tc>
      </w:tr>
      <w:tr>
        <w:tc>
          <w:tcPr>
            <w:tcW w:w="3960" w:type="dxa"/>
          </w:tcPr>
          <w:p>
            <w:pPr>
              <w:jc w:val="left"/>
              <w:spacing w:before="40" w:after="40"/>
            </w:pPr>
            <w:r>
              <w:rPr>
                <w:rFonts w:ascii="Times New Roman" w:hAnsi="Times New Roman"/>
                <w:sz w:val="20"/>
              </w:rPr>
              <w:t xml:space="preserve">Final HV (meanÂ Â±Â SD)</w:t>
            </w:r>
          </w:p>
        </w:tc>
        <w:tc>
          <w:tcPr>
            <w:tcW w:w="2700" w:type="dxa"/>
          </w:tcPr>
          <w:p>
            <w:pPr>
              <w:jc w:val="center"/>
              <w:spacing w:before="40" w:after="40"/>
            </w:pPr>
            <w:r>
              <w:rPr>
                <w:rFonts w:ascii="Times New Roman" w:hAnsi="Times New Roman"/>
                <w:sz w:val="20"/>
              </w:rPr>
              <w:t xml:space="preserve">0.780Â Â±Â 0.075</w:t>
            </w:r>
          </w:p>
        </w:tc>
        <w:tc>
          <w:tcPr>
            <w:tcW w:w="2700" w:type="dxa"/>
          </w:tcPr>
          <w:p>
            <w:pPr>
              <w:jc w:val="center"/>
              <w:spacing w:before="40" w:after="40"/>
            </w:pPr>
            <w:r>
              <w:rPr>
                <w:rFonts w:ascii="Times New Roman" w:hAnsi="Times New Roman"/>
                <w:sz w:val="20"/>
              </w:rPr>
              <w:t xml:space="preserve">0.862Â Â±Â 0.072</w:t>
            </w:r>
          </w:p>
        </w:tc>
      </w:tr>
      <w:tr>
        <w:tc>
          <w:tcPr>
            <w:tcW w:w="3960" w:type="dxa"/>
          </w:tcPr>
          <w:p>
            <w:pPr>
              <w:jc w:val="left"/>
              <w:spacing w:before="40" w:after="40"/>
            </w:pPr>
            <w:r>
              <w:rPr>
                <w:rFonts w:ascii="Times New Roman" w:hAnsi="Times New Roman"/>
                <w:sz w:val="20"/>
              </w:rPr>
              <w:t xml:space="preserve">Î”HV (meanÂ Â±Â SD)</w:t>
            </w:r>
          </w:p>
        </w:tc>
        <w:tc>
          <w:tcPr>
            <w:tcW w:w="2700" w:type="dxa"/>
          </w:tcPr>
          <w:p>
            <w:pPr>
              <w:jc w:val="center"/>
              <w:spacing w:before="40" w:after="40"/>
            </w:pPr>
            <w:r>
              <w:rPr>
                <w:rFonts w:ascii="Times New Roman" w:hAnsi="Times New Roman"/>
                <w:sz w:val="20"/>
              </w:rPr>
              <w:t xml:space="preserve">â€”</w:t>
            </w:r>
          </w:p>
        </w:tc>
        <w:tc>
          <w:tcPr>
            <w:tcW w:w="2700" w:type="dxa"/>
          </w:tcPr>
          <w:p>
            <w:pPr>
              <w:jc w:val="center"/>
              <w:spacing w:before="40" w:after="40"/>
            </w:pPr>
            <w:r>
              <w:rPr>
                <w:rFonts w:ascii="Times New Roman" w:hAnsi="Times New Roman"/>
                <w:sz w:val="20"/>
              </w:rPr>
              <w:t xml:space="preserve">+0.082Â Â±Â 0.089</w:t>
            </w:r>
          </w:p>
        </w:tc>
      </w:tr>
      <w:tr>
        <w:tc>
          <w:tcPr>
            <w:tcW w:w="3960" w:type="dxa"/>
          </w:tcPr>
          <w:p>
            <w:pPr>
              <w:jc w:val="left"/>
              <w:spacing w:before="40" w:after="40"/>
            </w:pPr>
            <w:r>
              <w:rPr>
                <w:rFonts w:ascii="Times New Roman" w:hAnsi="Times New Roman"/>
                <w:sz w:val="20"/>
              </w:rPr>
              <w:t xml:space="preserve">Replicates with Î”HVÂ &gt;Â 0</w:t>
            </w:r>
          </w:p>
        </w:tc>
        <w:tc>
          <w:tcPr>
            <w:tcW w:w="2700" w:type="dxa"/>
          </w:tcPr>
          <w:p>
            <w:pPr>
              <w:jc w:val="center"/>
              <w:spacing w:before="40" w:after="40"/>
            </w:pPr>
            <w:r>
              <w:rPr>
                <w:rFonts w:ascii="Times New Roman" w:hAnsi="Times New Roman"/>
                <w:sz w:val="20"/>
              </w:rPr>
              <w:t xml:space="preserve">â€”</w:t>
            </w:r>
          </w:p>
        </w:tc>
        <w:tc>
          <w:tcPr>
            <w:tcW w:w="2700" w:type="dxa"/>
          </w:tcPr>
          <w:p>
            <w:pPr>
              <w:jc w:val="center"/>
              <w:spacing w:before="40" w:after="40"/>
            </w:pPr>
            <w:r>
              <w:rPr>
                <w:rFonts w:ascii="Times New Roman" w:hAnsi="Times New Roman"/>
                <w:sz w:val="20"/>
              </w:rPr>
              <w:t xml:space="preserve">25/30Â (83.3%)</w:t>
            </w:r>
          </w:p>
        </w:tc>
      </w:tr>
      <w:tr>
        <w:tc>
          <w:tcPr>
            <w:tcW w:w="3960" w:type="dxa"/>
          </w:tcPr>
          <w:p>
            <w:pPr>
              <w:jc w:val="left"/>
              <w:spacing w:before="40" w:after="40"/>
            </w:pPr>
            <w:r>
              <w:rPr>
                <w:rFonts w:ascii="Times New Roman" w:hAnsi="Times New Roman"/>
                <w:sz w:val="20"/>
              </w:rPr>
              <w:t xml:space="preserve">Wilcoxon p-value</w:t>
            </w:r>
          </w:p>
        </w:tc>
        <w:tc>
          <w:tcPr>
            <w:tcW w:w="2700" w:type="dxa"/>
          </w:tcPr>
          <w:p>
            <w:pPr>
              <w:jc w:val="center"/>
              <w:spacing w:before="40" w:after="40"/>
            </w:pPr>
            <w:r>
              <w:rPr>
                <w:rFonts w:ascii="Times New Roman" w:hAnsi="Times New Roman"/>
                <w:sz w:val="20"/>
              </w:rPr>
              <w:t xml:space="preserve">â€”</w:t>
            </w:r>
          </w:p>
        </w:tc>
        <w:tc>
          <w:tcPr>
            <w:tcW w:w="2700" w:type="dxa"/>
          </w:tcPr>
          <w:p>
            <w:pPr>
              <w:jc w:val="center"/>
              <w:spacing w:before="40" w:after="40"/>
            </w:pPr>
            <w:r>
              <w:rPr>
                <w:rFonts w:ascii="Times New Roman" w:hAnsi="Times New Roman"/>
                <w:sz w:val="20"/>
              </w:rPr>
              <w:t xml:space="preserve">8.2Â Ã—Â 10â»âµ</w:t>
            </w:r>
          </w:p>
        </w:tc>
      </w:tr>
      <w:tr>
        <w:tc>
          <w:tcPr>
            <w:tcW w:w="3960" w:type="dxa"/>
          </w:tcPr>
          <w:p>
            <w:pPr>
              <w:jc w:val="left"/>
              <w:spacing w:before="40" w:after="40"/>
            </w:pPr>
            <w:r>
              <w:rPr>
                <w:rFonts w:ascii="Times New Roman" w:hAnsi="Times New Roman"/>
                <w:sz w:val="20"/>
              </w:rPr>
              <w:t xml:space="preserve">Cohenâ€™s d</w:t>
            </w:r>
          </w:p>
        </w:tc>
        <w:tc>
          <w:tcPr>
            <w:tcW w:w="2700" w:type="dxa"/>
          </w:tcPr>
          <w:p>
            <w:pPr>
              <w:jc w:val="center"/>
              <w:spacing w:before="40" w:after="40"/>
            </w:pPr>
            <w:r>
              <w:rPr>
                <w:rFonts w:ascii="Times New Roman" w:hAnsi="Times New Roman"/>
                <w:sz w:val="20"/>
              </w:rPr>
              <w:t xml:space="preserve">â€”</w:t>
            </w:r>
          </w:p>
        </w:tc>
        <w:tc>
          <w:tcPr>
            <w:tcW w:w="2700" w:type="dxa"/>
          </w:tcPr>
          <w:p>
            <w:pPr>
              <w:jc w:val="center"/>
              <w:spacing w:before="40" w:after="40"/>
            </w:pPr>
            <w:r>
              <w:rPr>
                <w:rFonts w:ascii="Times New Roman" w:hAnsi="Times New Roman"/>
                <w:sz w:val="20"/>
              </w:rPr>
              <w:t xml:space="preserve">0.920</w:t>
            </w:r>
          </w:p>
        </w:tc>
      </w:tr>
    </w:tbl>
    <w:p>
      <w:pPr>
        <w:spacing w:before="0" w:after="80"/>
      </w:pPr>
    </w:p>
    <w:p>
      <w:pPr>
        <w:spacing w:before="120" w:after="0"/>
      </w:pPr>
      <w:r>
        <w:rPr>
          <w:rFonts w:ascii="Times New Roman" w:hAnsi="Times New Roman"/>
          <w:sz w:val="24"/>
        </w:rPr>
        <w:t xml:space="preserve"/>
      </w:r>
    </w:p>
    <w:p>
      <w:pPr>
        <w:pStyle w:val="Heading2"/>
        <w:spacing w:before="240" w:after="80"/>
      </w:pPr>
      <w:r>
        <w:rPr>
          <w:rFonts w:ascii="Times New Roman" w:hAnsi="Times New Roman"/>
          <w:sz w:val="26"/>
          <w:b/>
        </w:rPr>
        <w:t xml:space="preserve">5.2 LLM Solution Quality over Generations</w:t>
      </w:r>
    </w:p>
    <w:p>
      <w:pPr>
        <w:spacing w:before="0" w:after="160"/>
      </w:pPr>
      <w:r>
        <w:rPr>
          <w:rFonts w:ascii="Times New Roman" w:hAnsi="Times New Roman"/>
          <w:sz w:val="24"/>
        </w:rPr>
        <w:t xml:space="preserve">Each generation, FLAME submits NÂ =Â 15 LLM-generated candidate mixes to the offspring pool. Each proposal is classified into one of three categories: U (useful) â€” feasible and non-dominated, meaning it lies on or extends the current Pareto front and directly contributes to hypervolume improvement; D (dominated) â€” feasible but strictly dominated by at least one existing solution; and I (infeasible) â€” violating one or more mix-design constraints. FigureÂ 4 shows the mean counts of U, D, and I proposals per generation, stacked and averaged across 30 replicates.</w:t>
      </w:r>
    </w:p>
    <w:p xmlns:a="http://schemas.openxmlformats.org/drawingml/2006/main" xmlns:pic="http://schemas.openxmlformats.org/drawingml/2006/picture">
      <w:pPr>
        <w:jc w:val="center"/>
        <w:spacing w:before="80" w:after="80"/>
      </w:pPr>
      <w:r>
        <w:drawing>
          <wp:inline distT="0" distB="0" distL="0" distR="0">
            <wp:extent cx="5943600" cy="2431527"/>
            <wp:effectExtent l="0" t="0" r="0" b="0"/>
            <wp:docPr id="40" name="Figure4"/>
            <wp:cNvGraphicFramePr>
              <a:graphicFrameLocks noChangeAspect="1"/>
            </wp:cNvGraphicFramePr>
            <a:graphic>
              <a:graphicData uri="http://schemas.openxmlformats.org/drawingml/2006/picture">
                <pic:pic>
                  <pic:nvPicPr>
                    <pic:cNvPr id="40" name="Figure4"/>
                    <pic:cNvPicPr/>
                  </pic:nvPicPr>
                  <pic:blipFill>
                    <a:blip r:embed="rIdStep2Area"/>
                    <a:stretch>
                      <a:fillRect/>
                    </a:stretch>
                  </pic:blipFill>
                  <pic:spPr>
                    <a:xfrm>
                      <a:off x="0" y="0"/>
                      <a:ext cx="5943600" cy="2431527"/>
                    </a:xfrm>
                    <a:prstGeom prst="rect">
                      <a:avLst/>
                    </a:prstGeom>
                  </pic:spPr>
                </pic:pic>
              </a:graphicData>
            </a:graphic>
          </wp:inline>
        </w:drawing>
      </w:r>
    </w:p>
    <w:p>
      <w:pPr>
        <w:jc w:val="center"/>
        <w:spacing w:before="40" w:after="160"/>
      </w:pPr>
      <w:r>
        <w:rPr>
          <w:rFonts w:ascii="Times New Roman" w:hAnsi="Times New Roman"/>
          <w:sz w:val="24"/>
          <w:b/>
        </w:rPr>
        <w:t xml:space="preserve">Figure 4. </w:t>
      </w:r>
      <w:r>
        <w:rPr>
          <w:rFonts w:ascii="Times New Roman" w:hAnsi="Times New Roman"/>
          <w:sz w:val="24"/>
        </w:rPr>
        <w:t xml:space="preserve">LLM proposal quality over 100 generations (NÂ =Â 15, 30 replicates). Each bar represents the mean number of proposals per generation, stacked by category: U (useful: feasible and non-dominated), D (dominated: feasible but dominated), and I (infeasible: constraint-violating). Total bar height equals NÂ =Â 15 at every generation.</w:t>
      </w:r>
    </w:p>
    <w:p>
      <w:pPr>
        <w:spacing w:before="0" w:after="160"/>
      </w:pPr>
      <w:r>
        <w:rPr>
          <w:rFonts w:ascii="Times New Roman" w:hAnsi="Times New Roman"/>
          <w:sz w:val="24"/>
        </w:rPr>
        <w:t xml:space="preserve">The stacked area reveals a consistent pattern: U proposals are most frequent in early generations (1â€“20), when the Pareto front is sparse and relatively easy to extend, then gradually decline as NSGA-II refines the front and the bar for improvement narrows. The I category remains non-negligible throughout, reflecting the difficulty of satisfying simultaneous ratio and volume constraints without explicit numerical optimization. The D category grows in later generations as the LLM generates feasible mixes that fail to surpass an increasingly competitive front.</w:t>
      </w:r>
    </w:p>
    <w:p>
      <w:pPr>
        <w:spacing w:before="120" w:after="40"/>
      </w:pPr>
      <w:r>
        <w:rPr>
          <w:rFonts w:ascii="Times New Roman" w:hAnsi="Times New Roman"/>
          <w:sz w:val="24"/>
        </w:rPr>
        <w:t xml:space="preserve">TableÂ 2. Pearson correlations between per-replicate LLM proposal quality metrics and final Î”HV (nÂ =Â 30 replicates).</w:t>
      </w:r>
    </w:p>
    <w:tbl>
      <w:tblPr>
        <w:tblW w:w="9360" w:type="dxa"/>
        <w:tblBorders>
          <w:top w:val="single" w:sz="4" w:color="000000"/>
          <w:bottom w:val="single" w:sz="4" w:color="000000"/>
          <w:left w:val="single" w:sz="4" w:color="000000"/>
          <w:right w:val="single" w:sz="4" w:color="000000"/>
          <w:insideH w:val="single" w:sz="4" w:color="000000"/>
          <w:insideV w:val="single" w:sz="4" w:color="000000"/>
        </w:tblBorders>
      </w:tblPr>
      <w:tblGrid>
        <w:gridCol w:w="5760"/>
        <w:gridCol w:w="1440"/>
        <w:gridCol w:w="2160"/>
      </w:tblGrid>
      <w:tr>
        <w:trPr>
          <w:tblHeader/>
        </w:trPr>
        <w:tc>
          <w:tcPr>
            <w:tcW w:w="5760" w:type="dxa"/>
            <w:shd w:val="clear" w:color="auto" w:fill="D9D9D9"/>
          </w:tcPr>
          <w:p>
            <w:pPr>
              <w:jc w:val="left"/>
              <w:spacing w:before="40" w:after="40"/>
            </w:pPr>
            <w:r>
              <w:rPr>
                <w:rFonts w:ascii="Times New Roman" w:hAnsi="Times New Roman"/>
                <w:sz w:val="20"/>
                <w:b/>
              </w:rPr>
              <w:t xml:space="preserve">Predictor</w:t>
            </w:r>
          </w:p>
        </w:tc>
        <w:tc>
          <w:tcPr>
            <w:tcW w:w="1440" w:type="dxa"/>
            <w:shd w:val="clear" w:color="auto" w:fill="D9D9D9"/>
          </w:tcPr>
          <w:p>
            <w:pPr>
              <w:jc w:val="center"/>
              <w:spacing w:before="40" w:after="40"/>
            </w:pPr>
            <w:r>
              <w:rPr>
                <w:rFonts w:ascii="Times New Roman" w:hAnsi="Times New Roman"/>
                <w:sz w:val="20"/>
                <w:b/>
              </w:rPr>
              <w:t xml:space="preserve">r</w:t>
            </w:r>
          </w:p>
        </w:tc>
        <w:tc>
          <w:tcPr>
            <w:tcW w:w="2160" w:type="dxa"/>
            <w:shd w:val="clear" w:color="auto" w:fill="D9D9D9"/>
          </w:tcPr>
          <w:p>
            <w:pPr>
              <w:jc w:val="center"/>
              <w:spacing w:before="40" w:after="40"/>
            </w:pPr>
            <w:r>
              <w:rPr>
                <w:rFonts w:ascii="Times New Roman" w:hAnsi="Times New Roman"/>
                <w:sz w:val="20"/>
                <w:b/>
              </w:rPr>
              <w:t xml:space="preserve">p</w:t>
            </w:r>
          </w:p>
        </w:tc>
      </w:tr>
      <w:tr>
        <w:tc>
          <w:tcPr>
            <w:tcW w:w="5760" w:type="dxa"/>
          </w:tcPr>
          <w:p>
            <w:pPr>
              <w:jc w:val="left"/>
              <w:spacing w:before="40" w:after="40"/>
            </w:pPr>
            <w:r>
              <w:rPr>
                <w:rFonts w:ascii="Times New Roman" w:hAnsi="Times New Roman"/>
                <w:sz w:val="20"/>
              </w:rPr>
              <w:t xml:space="preserve">Fraction of U proposals (non-dominated rate)</w:t>
            </w:r>
          </w:p>
        </w:tc>
        <w:tc>
          <w:tcPr>
            <w:tcW w:w="1440" w:type="dxa"/>
          </w:tcPr>
          <w:p>
            <w:pPr>
              <w:jc w:val="center"/>
              <w:spacing w:before="40" w:after="40"/>
            </w:pPr>
            <w:r>
              <w:rPr>
                <w:rFonts w:ascii="Times New Roman" w:hAnsi="Times New Roman"/>
                <w:sz w:val="20"/>
              </w:rPr>
              <w:t xml:space="preserve">+0.45</w:t>
            </w:r>
          </w:p>
        </w:tc>
        <w:tc>
          <w:tcPr>
            <w:tcW w:w="2160" w:type="dxa"/>
          </w:tcPr>
          <w:p>
            <w:pPr>
              <w:jc w:val="center"/>
              <w:spacing w:before="40" w:after="40"/>
            </w:pPr>
            <w:r>
              <w:rPr>
                <w:rFonts w:ascii="Times New Roman" w:hAnsi="Times New Roman"/>
                <w:sz w:val="20"/>
              </w:rPr>
              <w:t xml:space="preserve">0.013Â â˜…</w:t>
            </w:r>
          </w:p>
        </w:tc>
      </w:tr>
      <w:tr>
        <w:tc>
          <w:tcPr>
            <w:tcW w:w="5760" w:type="dxa"/>
          </w:tcPr>
          <w:p>
            <w:pPr>
              <w:jc w:val="left"/>
              <w:spacing w:before="40" w:after="40"/>
            </w:pPr>
            <w:r>
              <w:rPr>
                <w:rFonts w:ascii="Times New Roman" w:hAnsi="Times New Roman"/>
                <w:sz w:val="20"/>
              </w:rPr>
              <w:t xml:space="preserve">Fraction of UÂ +Â D proposals (feasibility rate)</w:t>
            </w:r>
          </w:p>
        </w:tc>
        <w:tc>
          <w:tcPr>
            <w:tcW w:w="1440" w:type="dxa"/>
          </w:tcPr>
          <w:p>
            <w:pPr>
              <w:jc w:val="center"/>
              <w:spacing w:before="40" w:after="40"/>
            </w:pPr>
            <w:r>
              <w:rPr>
                <w:rFonts w:ascii="Times New Roman" w:hAnsi="Times New Roman"/>
                <w:sz w:val="20"/>
              </w:rPr>
              <w:t xml:space="preserve">+0.05</w:t>
            </w:r>
          </w:p>
        </w:tc>
        <w:tc>
          <w:tcPr>
            <w:tcW w:w="2160" w:type="dxa"/>
          </w:tcPr>
          <w:p>
            <w:pPr>
              <w:jc w:val="center"/>
              <w:spacing w:before="40" w:after="40"/>
            </w:pPr>
            <w:r>
              <w:rPr>
                <w:rFonts w:ascii="Times New Roman" w:hAnsi="Times New Roman"/>
                <w:sz w:val="20"/>
              </w:rPr>
              <w:t xml:space="preserve">0.807</w:t>
            </w:r>
          </w:p>
        </w:tc>
      </w:tr>
    </w:tbl>
    <w:p>
      <w:pPr>
        <w:spacing w:before="0" w:after="80"/>
      </w:pPr>
      <w:r>
        <w:rPr>
          <w:rFonts w:ascii="Times New Roman" w:hAnsi="Times New Roman"/>
          <w:sz w:val="24"/>
        </w:rPr>
        <w:t xml:space="preserve"/>
      </w:r>
    </w:p>
    <w:p>
      <w:pPr>
        <w:spacing w:before="0" w:after="160"/>
      </w:pPr>
      <w:r>
        <w:rPr>
          <w:rFonts w:ascii="Times New Roman" w:hAnsi="Times New Roman"/>
          <w:sz w:val="24"/>
        </w:rPr>
        <w:t xml:space="preserve">The correlation analysis confirms that it is the â€˜qualityâ€™ of LLM proposals â€” specifically their ability to extend the Pareto front â€” rather than mere feasibility that drives FLAMEâ€™s hypervolume advantage. Replicates in which the LLM consistently produced non-dominated solutions (high U fraction) achieved significantly larger Î”HV gains (rÂ =Â +0.45, pÂ =Â 0.013), whereas feasibility alone showed no predictive power (rÂ =Â +0.05, pÂ =Â 0.807). This finding validates the design choice of embedding Pareto-front awareness directly into the LLM prompt via the Knowledge Table and elite solution examples.</w:t>
      </w:r>
    </w:p>
    <w:p>
      <w:pPr>
        <w:spacing w:before="120" w:after="0"/>
      </w:pPr>
      <w:r>
        <w:rPr>
          <w:rFonts w:ascii="Times New Roman" w:hAnsi="Times New Roman"/>
          <w:sz w:val="24"/>
        </w:rPr>
        <w:t xml:space="preserve"/>
      </w:r>
    </w:p>
    <w:p>
      <w:pPr>
        <w:spacing w:before="240" w:after="80"/>
      </w:pPr>
      <w:r>
        <w:rPr>
          <w:rFonts w:ascii="Times New Roman" w:hAnsi="Times New Roman"/>
          <w:sz w:val="26"/>
          <w:b/>
        </w:rPr>
        <w:t xml:space="preserve">5.3 Pareto Front Diversity</w:t>
      </w:r>
    </w:p>
    <w:p>
      <w:pPr>
        <w:spacing w:before="0" w:after="160"/>
      </w:pPr>
      <w:r>
        <w:rPr>
          <w:rFonts w:ascii="Times New Roman" w:hAnsi="Times New Roman"/>
          <w:sz w:val="24"/>
        </w:rPr>
        <w:t xml:space="preserve">Beyond hypervolume, a well-performing multi-objective optimizer should produce a Pareto front that is broadly distributed across the trade-off space, offering decision-makers a wide range of design options rather than a cluster of similar solutions. We quantify this using the mean pairwise Euclidean distance D between all solutions on the final Pareto front, computed in the normalized objective space [0,Â 1]Â²:</w:t>
      </w:r>
    </w:p>
    <w:p>
      <w:pPr>
        <w:jc w:val="center"/>
        <w:spacing w:before="80" w:after="80"/>
      </w:pPr>
      <w:r>
        <w:rPr>
          <w:rFonts w:ascii="Times New Roman" w:hAnsi="Times New Roman"/>
          <w:sz w:val="24"/>
          <w:i/>
        </w:rPr>
        <w:t xml:space="preserve">D = (2 / n(nâˆ’1)) Ã— Î£_{i&lt;j} â€– xÌƒ_i âˆ’ xÌƒ_j â€–â‚‚</w:t>
      </w:r>
    </w:p>
    <w:p>
      <w:pPr>
        <w:spacing w:before="0" w:after="160"/>
      </w:pPr>
      <w:r>
        <w:rPr>
          <w:rFonts w:ascii="Times New Roman" w:hAnsi="Times New Roman"/>
          <w:sz w:val="24"/>
        </w:rPr>
        <w:t xml:space="preserve">where xÌƒ_i = ((GWP_i âˆ’ 169) / (534.5 âˆ’ 169),  1 âˆ’ (str_i âˆ’ 17.4) / (106.1 âˆ’ 17.4)) maps each solution to [0,Â 1]Â² using the dataset-derived bounds. A larger D indicates solutions are spread more broadly across the GWPâ€“strength trade-off curve.</w:t>
      </w:r>
    </w:p>
    <w:p xmlns:a="http://schemas.openxmlformats.org/drawingml/2006/main" xmlns:pic="http://schemas.openxmlformats.org/drawingml/2006/picture">
      <w:pPr>
        <w:jc w:val="center"/>
        <w:spacing w:before="80" w:after="80"/>
      </w:pPr>
      <w:r>
        <w:drawing>
          <wp:inline distT="0" distB="0" distL="0" distR="0">
            <wp:extent cx="3200400" cy="2667000"/>
            <wp:effectExtent l="0" t="0" r="0" b="0"/>
            <wp:docPr id="50" name="Figure5"/>
            <wp:cNvGraphicFramePr>
              <a:graphicFrameLocks noChangeAspect="1"/>
            </wp:cNvGraphicFramePr>
            <a:graphic>
              <a:graphicData uri="http://schemas.openxmlformats.org/drawingml/2006/picture">
                <pic:pic>
                  <pic:nvPicPr>
                    <pic:cNvPr id="50" name="Figure5"/>
                    <pic:cNvPicPr/>
                  </pic:nvPicPr>
                  <pic:blipFill>
                    <a:blip r:embed="rIdStep3Div"/>
                    <a:stretch>
                      <a:fillRect/>
                    </a:stretch>
                  </pic:blipFill>
                  <pic:spPr>
                    <a:xfrm>
                      <a:off x="0" y="0"/>
                      <a:ext cx="3200400" cy="2667000"/>
                    </a:xfrm>
                    <a:prstGeom prst="rect">
                      <a:avLst/>
                    </a:prstGeom>
                  </pic:spPr>
                </pic:pic>
              </a:graphicData>
            </a:graphic>
          </wp:inline>
        </w:drawing>
      </w:r>
    </w:p>
    <w:p>
      <w:pPr>
        <w:jc w:val="center"/>
        <w:spacing w:before="40" w:after="160"/>
      </w:pPr>
      <w:r>
        <w:rPr>
          <w:rFonts w:ascii="Times New Roman" w:hAnsi="Times New Roman"/>
          <w:sz w:val="24"/>
          <w:b/>
        </w:rPr>
        <w:t xml:space="preserve">Figure 5. </w:t>
      </w:r>
      <w:r>
        <w:rPr>
          <w:rFonts w:ascii="Times New Roman" w:hAnsi="Times New Roman"/>
          <w:sz w:val="24"/>
        </w:rPr>
        <w:t xml:space="preserve">Pareto front diversity of NSGA-II and FLAME (NÂ =Â 15) across 30 paired replicates. Diversity D is defined as the mean pairwise Euclidean distance between all solutions on the final Pareto front in normalized objective space. Box plots show median, interquartile range, and whiskers at 1.5Ã—IQR; individual replicate values are overlaid as jittered dots.</w:t>
      </w:r>
    </w:p>
    <w:p>
      <w:pPr>
        <w:spacing w:before="0" w:after="160"/>
      </w:pPr>
      <w:r>
        <w:rPr>
          <w:rFonts w:ascii="Times New Roman" w:hAnsi="Times New Roman"/>
          <w:sz w:val="24"/>
        </w:rPr>
        <w:t xml:space="preserve">FigureÂ 5 shows the distribution of D across 30 paired replicates. FLAME achieves a mean diversity of 0.218Â Â±Â 0.035, compared to 0.174Â Â±Â 0.034 for NSGA-II, a relative improvement of 25.4% (Î”DÂ =Â +0.044). The difference is statistically significant (Wilcoxon signed-rank test, pÂ =Â 1.2Â Ã—Â 10â»âµ), with 83% of replicates showing higher diversity under FLAME. Notably, the diversity gain is strongly correlated with the hypervolume gain (rÂ =Â +0.680, pÂ &lt;Â 0.001), indicating that LLM augmentation simultaneously improves both the extent and the spread of the Pareto front. This is consistent with the LLMâ€™s ability to propose solutions in underexplored regions of the design space â€” particularly in the low-GWP and high-strength extremes â€” which NSGA-IIâ€™s crossover and mutation operators tend to miss when the initial population is concentrated in a narrow region.</w:t>
      </w:r>
    </w:p>
    <w:p>
      <w:pPr>
        <w:spacing w:before="120" w:after="0"/>
      </w:pPr>
      <w:r>
        <w:rPr>
          <w:rFonts w:ascii="Times New Roman" w:hAnsi="Times New Roman"/>
          <w:sz w:val="24"/>
        </w:rPr>
        <w:t xml:space="preserve"/>
      </w:r>
    </w:p>
    <w:p>
      <w:pPr>
        <w:spacing w:before="240" w:after="80"/>
      </w:pPr>
      <w:r>
        <w:rPr>
          <w:rFonts w:ascii="Times New Roman" w:hAnsi="Times New Roman"/>
          <w:sz w:val="26"/>
          <w:b/>
        </w:rPr>
        <w:t xml:space="preserve">5.4 Selection of N: Number of LLM Proposals per Generation</w:t>
      </w:r>
    </w:p>
    <w:p>
      <w:pPr>
        <w:spacing w:before="0" w:after="160"/>
      </w:pPr>
      <w:r>
        <w:rPr>
          <w:rFonts w:ascii="Times New Roman" w:hAnsi="Times New Roman"/>
          <w:sz w:val="24"/>
        </w:rPr>
        <w:t xml:space="preserve">The number of LLM proposals injected per generation, N, balances the influence of LLM-guided search against NSGA-IIâ€™s genetic operators. Too few proposals limit the LLMâ€™s contribution; too many risk crowding out genetic offspring and disrupting NSGA-IIâ€™s diversity-maintenance mechanism. To determine the optimal N, we conducted a sweep over NÂ âˆˆÂ {5, 10, 15, 20, 25}, each with 30 paired replicates under identical conditions. TableÂ 3 summarizes the results.</w:t>
      </w:r>
    </w:p>
    <w:p>
      <w:pPr>
        <w:spacing w:before="120" w:after="40"/>
      </w:pPr>
      <w:r>
        <w:rPr>
          <w:rFonts w:ascii="Times New Roman" w:hAnsi="Times New Roman"/>
          <w:sz w:val="24"/>
        </w:rPr>
        <w:t xml:space="preserve">TableÂ 3. N-sweep results: mean final HV, mean Î”HVÂ Â±Â SD, fraction of improved replicates, and one-sided Wilcoxon p-value for NÂ âˆˆÂ {5, 10, 15, 20, 25} (30 paired replicates each). NSGA-II baseline mean HVÂ =Â 0.780Â Â±Â 0.075.</w:t>
      </w:r>
    </w:p>
    <w:tbl>
      <w:tblPr>
        <w:tblW w:w="9360" w:type="dxa"/>
        <w:tblBorders>
          <w:top w:val="single" w:sz="4" w:color="000000"/>
          <w:bottom w:val="single" w:sz="4" w:color="000000"/>
          <w:left w:val="single" w:sz="4" w:color="000000"/>
          <w:right w:val="single" w:sz="4" w:color="000000"/>
          <w:insideH w:val="single" w:sz="4" w:color="000000"/>
          <w:insideV w:val="single" w:sz="4" w:color="000000"/>
        </w:tblBorders>
      </w:tblPr>
      <w:tblGrid>
        <w:gridCol w:w="1080"/>
        <w:gridCol w:w="2160"/>
        <w:gridCol w:w="2520"/>
        <w:gridCol w:w="1800"/>
        <w:gridCol w:w="1800"/>
      </w:tblGrid>
      <w:tr>
        <w:trPr>
          <w:tblHeader/>
        </w:trPr>
        <w:tc>
          <w:tcPr>
            <w:tcW w:w="1080" w:type="dxa"/>
            <w:shd w:val="clear" w:color="auto" w:fill="D9D9D9"/>
          </w:tcPr>
          <w:p>
            <w:pPr>
              <w:jc w:val="center"/>
              <w:spacing w:before="40" w:after="40"/>
            </w:pPr>
            <w:r>
              <w:rPr>
                <w:rFonts w:ascii="Times New Roman" w:hAnsi="Times New Roman"/>
                <w:sz w:val="20"/>
                <w:b/>
              </w:rPr>
              <w:t xml:space="preserve">N</w:t>
            </w:r>
          </w:p>
        </w:tc>
        <w:tc>
          <w:tcPr>
            <w:tcW w:w="2160" w:type="dxa"/>
            <w:shd w:val="clear" w:color="auto" w:fill="D9D9D9"/>
          </w:tcPr>
          <w:p>
            <w:pPr>
              <w:jc w:val="center"/>
              <w:spacing w:before="40" w:after="40"/>
            </w:pPr>
            <w:r>
              <w:rPr>
                <w:rFonts w:ascii="Times New Roman" w:hAnsi="Times New Roman"/>
                <w:sz w:val="20"/>
                <w:b/>
              </w:rPr>
              <w:t xml:space="preserve">Mean HV</w:t>
            </w:r>
          </w:p>
        </w:tc>
        <w:tc>
          <w:tcPr>
            <w:tcW w:w="2520" w:type="dxa"/>
            <w:shd w:val="clear" w:color="auto" w:fill="D9D9D9"/>
          </w:tcPr>
          <w:p>
            <w:pPr>
              <w:jc w:val="center"/>
              <w:spacing w:before="40" w:after="40"/>
            </w:pPr>
            <w:r>
              <w:rPr>
                <w:rFonts w:ascii="Times New Roman" w:hAnsi="Times New Roman"/>
                <w:sz w:val="20"/>
                <w:b/>
              </w:rPr>
              <w:t xml:space="preserve">Î”HV (meanÂ Â±Â SD)</w:t>
            </w:r>
          </w:p>
        </w:tc>
        <w:tc>
          <w:tcPr>
            <w:tcW w:w="1800" w:type="dxa"/>
            <w:shd w:val="clear" w:color="auto" w:fill="D9D9D9"/>
          </w:tcPr>
          <w:p>
            <w:pPr>
              <w:jc w:val="center"/>
              <w:spacing w:before="40" w:after="40"/>
            </w:pPr>
            <w:r>
              <w:rPr>
                <w:rFonts w:ascii="Times New Roman" w:hAnsi="Times New Roman"/>
                <w:sz w:val="20"/>
                <w:b/>
              </w:rPr>
              <w:t xml:space="preserve">Improved</w:t>
            </w:r>
          </w:p>
        </w:tc>
        <w:tc>
          <w:tcPr>
            <w:tcW w:w="1800" w:type="dxa"/>
            <w:shd w:val="clear" w:color="auto" w:fill="D9D9D9"/>
          </w:tcPr>
          <w:p>
            <w:pPr>
              <w:jc w:val="center"/>
              <w:spacing w:before="40" w:after="40"/>
            </w:pPr>
            <w:r>
              <w:rPr>
                <w:rFonts w:ascii="Times New Roman" w:hAnsi="Times New Roman"/>
                <w:sz w:val="20"/>
                <w:b/>
              </w:rPr>
              <w:t xml:space="preserve">p (one-sided)</w:t>
            </w:r>
          </w:p>
        </w:tc>
      </w:tr>
      <w:tr>
        <w:tc>
          <w:tcPr>
            <w:tcW w:w="1080" w:type="dxa"/>
          </w:tcPr>
          <w:p>
            <w:pPr>
              <w:jc w:val="center"/>
              <w:spacing w:before="40" w:after="40"/>
            </w:pPr>
            <w:r>
              <w:rPr>
                <w:rFonts w:ascii="Times New Roman" w:hAnsi="Times New Roman"/>
                <w:sz w:val="20"/>
              </w:rPr>
              <w:t xml:space="preserve">5</w:t>
            </w:r>
          </w:p>
        </w:tc>
        <w:tc>
          <w:tcPr>
            <w:tcW w:w="2160" w:type="dxa"/>
          </w:tcPr>
          <w:p>
            <w:pPr>
              <w:jc w:val="center"/>
              <w:spacing w:before="40" w:after="40"/>
            </w:pPr>
            <w:r>
              <w:rPr>
                <w:rFonts w:ascii="Times New Roman" w:hAnsi="Times New Roman"/>
                <w:sz w:val="20"/>
              </w:rPr>
              <w:t xml:space="preserve">0.826</w:t>
            </w:r>
          </w:p>
        </w:tc>
        <w:tc>
          <w:tcPr>
            <w:tcW w:w="2520" w:type="dxa"/>
          </w:tcPr>
          <w:p>
            <w:pPr>
              <w:jc w:val="center"/>
              <w:spacing w:before="40" w:after="40"/>
            </w:pPr>
            <w:r>
              <w:rPr>
                <w:rFonts w:ascii="Times New Roman" w:hAnsi="Times New Roman"/>
                <w:sz w:val="20"/>
              </w:rPr>
              <w:t xml:space="preserve">+0.046Â Â±Â 0.079</w:t>
            </w:r>
          </w:p>
        </w:tc>
        <w:tc>
          <w:tcPr>
            <w:tcW w:w="1800" w:type="dxa"/>
          </w:tcPr>
          <w:p>
            <w:pPr>
              <w:jc w:val="center"/>
              <w:spacing w:before="40" w:after="40"/>
            </w:pPr>
            <w:r>
              <w:rPr>
                <w:rFonts w:ascii="Times New Roman" w:hAnsi="Times New Roman"/>
                <w:sz w:val="20"/>
              </w:rPr>
              <w:t xml:space="preserve">76%</w:t>
            </w:r>
          </w:p>
        </w:tc>
        <w:tc>
          <w:tcPr>
            <w:tcW w:w="1800" w:type="dxa"/>
          </w:tcPr>
          <w:p>
            <w:pPr>
              <w:jc w:val="center"/>
              <w:spacing w:before="40" w:after="40"/>
            </w:pPr>
            <w:r>
              <w:rPr>
                <w:rFonts w:ascii="Times New Roman" w:hAnsi="Times New Roman"/>
                <w:sz w:val="20"/>
              </w:rPr>
              <w:t xml:space="preserve">pÂ = 0.001</w:t>
            </w:r>
          </w:p>
        </w:tc>
      </w:tr>
      <w:tr>
        <w:tc>
          <w:tcPr>
            <w:tcW w:w="1080" w:type="dxa"/>
          </w:tcPr>
          <w:p>
            <w:pPr>
              <w:jc w:val="center"/>
              <w:spacing w:before="40" w:after="40"/>
            </w:pPr>
            <w:r>
              <w:rPr>
                <w:rFonts w:ascii="Times New Roman" w:hAnsi="Times New Roman"/>
                <w:sz w:val="20"/>
              </w:rPr>
              <w:t xml:space="preserve">10</w:t>
            </w:r>
          </w:p>
        </w:tc>
        <w:tc>
          <w:tcPr>
            <w:tcW w:w="2160" w:type="dxa"/>
          </w:tcPr>
          <w:p>
            <w:pPr>
              <w:jc w:val="center"/>
              <w:spacing w:before="40" w:after="40"/>
            </w:pPr>
            <w:r>
              <w:rPr>
                <w:rFonts w:ascii="Times New Roman" w:hAnsi="Times New Roman"/>
                <w:sz w:val="20"/>
              </w:rPr>
              <w:t xml:space="preserve">0.828</w:t>
            </w:r>
          </w:p>
        </w:tc>
        <w:tc>
          <w:tcPr>
            <w:tcW w:w="2520" w:type="dxa"/>
          </w:tcPr>
          <w:p>
            <w:pPr>
              <w:jc w:val="center"/>
              <w:spacing w:before="40" w:after="40"/>
            </w:pPr>
            <w:r>
              <w:rPr>
                <w:rFonts w:ascii="Times New Roman" w:hAnsi="Times New Roman"/>
                <w:sz w:val="20"/>
              </w:rPr>
              <w:t xml:space="preserve">+0.048Â Â±Â 0.082</w:t>
            </w:r>
          </w:p>
        </w:tc>
        <w:tc>
          <w:tcPr>
            <w:tcW w:w="1800" w:type="dxa"/>
          </w:tcPr>
          <w:p>
            <w:pPr>
              <w:jc w:val="center"/>
              <w:spacing w:before="40" w:after="40"/>
            </w:pPr>
            <w:r>
              <w:rPr>
                <w:rFonts w:ascii="Times New Roman" w:hAnsi="Times New Roman"/>
                <w:sz w:val="20"/>
              </w:rPr>
              <w:t xml:space="preserve">70%</w:t>
            </w:r>
          </w:p>
        </w:tc>
        <w:tc>
          <w:tcPr>
            <w:tcW w:w="1800" w:type="dxa"/>
          </w:tcPr>
          <w:p>
            <w:pPr>
              <w:jc w:val="center"/>
              <w:spacing w:before="40" w:after="40"/>
            </w:pPr>
            <w:r>
              <w:rPr>
                <w:rFonts w:ascii="Times New Roman" w:hAnsi="Times New Roman"/>
                <w:sz w:val="20"/>
              </w:rPr>
              <w:t xml:space="preserve">pÂ = 0.004</w:t>
            </w:r>
          </w:p>
        </w:tc>
      </w:tr>
      <w:tr>
        <w:tc>
          <w:tcPr>
            <w:tcW w:w="1080" w:type="dxa"/>
          </w:tcPr>
          <w:p>
            <w:pPr>
              <w:jc w:val="center"/>
              <w:spacing w:before="40" w:after="40"/>
            </w:pPr>
            <w:r>
              <w:rPr>
                <w:rFonts w:ascii="Times New Roman" w:hAnsi="Times New Roman"/>
                <w:sz w:val="20"/>
                <w:b/>
              </w:rPr>
              <w:t xml:space="preserve">15</w:t>
            </w:r>
          </w:p>
        </w:tc>
        <w:tc>
          <w:tcPr>
            <w:tcW w:w="2160" w:type="dxa"/>
          </w:tcPr>
          <w:p>
            <w:pPr>
              <w:jc w:val="center"/>
              <w:spacing w:before="40" w:after="40"/>
            </w:pPr>
            <w:r>
              <w:rPr>
                <w:rFonts w:ascii="Times New Roman" w:hAnsi="Times New Roman"/>
                <w:sz w:val="20"/>
                <w:b/>
              </w:rPr>
              <w:t xml:space="preserve">0.862</w:t>
            </w:r>
          </w:p>
        </w:tc>
        <w:tc>
          <w:tcPr>
            <w:tcW w:w="2520" w:type="dxa"/>
          </w:tcPr>
          <w:p>
            <w:pPr>
              <w:jc w:val="center"/>
              <w:spacing w:before="40" w:after="40"/>
            </w:pPr>
            <w:r>
              <w:rPr>
                <w:rFonts w:ascii="Times New Roman" w:hAnsi="Times New Roman"/>
                <w:sz w:val="20"/>
                <w:b/>
              </w:rPr>
              <w:t xml:space="preserve">+0.082Â Â±Â 0.089</w:t>
            </w:r>
          </w:p>
        </w:tc>
        <w:tc>
          <w:tcPr>
            <w:tcW w:w="1800" w:type="dxa"/>
          </w:tcPr>
          <w:p>
            <w:pPr>
              <w:jc w:val="center"/>
              <w:spacing w:before="40" w:after="40"/>
            </w:pPr>
            <w:r>
              <w:rPr>
                <w:rFonts w:ascii="Times New Roman" w:hAnsi="Times New Roman"/>
                <w:sz w:val="20"/>
                <w:b/>
              </w:rPr>
              <w:t xml:space="preserve">83%</w:t>
            </w:r>
          </w:p>
        </w:tc>
        <w:tc>
          <w:tcPr>
            <w:tcW w:w="1800" w:type="dxa"/>
          </w:tcPr>
          <w:p>
            <w:pPr>
              <w:jc w:val="center"/>
              <w:spacing w:before="40" w:after="40"/>
            </w:pPr>
            <w:r>
              <w:rPr>
                <w:rFonts w:ascii="Times New Roman" w:hAnsi="Times New Roman"/>
                <w:sz w:val="20"/>
                <w:b/>
              </w:rPr>
              <w:t xml:space="preserve">pÂ &lt; 0.001</w:t>
            </w:r>
          </w:p>
        </w:tc>
      </w:tr>
      <w:tr>
        <w:tc>
          <w:tcPr>
            <w:tcW w:w="1080" w:type="dxa"/>
          </w:tcPr>
          <w:p>
            <w:pPr>
              <w:jc w:val="center"/>
              <w:spacing w:before="40" w:after="40"/>
            </w:pPr>
            <w:r>
              <w:rPr>
                <w:rFonts w:ascii="Times New Roman" w:hAnsi="Times New Roman"/>
                <w:sz w:val="20"/>
              </w:rPr>
              <w:t xml:space="preserve">20</w:t>
            </w:r>
          </w:p>
        </w:tc>
        <w:tc>
          <w:tcPr>
            <w:tcW w:w="2160" w:type="dxa"/>
          </w:tcPr>
          <w:p>
            <w:pPr>
              <w:jc w:val="center"/>
              <w:spacing w:before="40" w:after="40"/>
            </w:pPr>
            <w:r>
              <w:rPr>
                <w:rFonts w:ascii="Times New Roman" w:hAnsi="Times New Roman"/>
                <w:sz w:val="20"/>
              </w:rPr>
              <w:t xml:space="preserve">0.813</w:t>
            </w:r>
          </w:p>
        </w:tc>
        <w:tc>
          <w:tcPr>
            <w:tcW w:w="2520" w:type="dxa"/>
          </w:tcPr>
          <w:p>
            <w:pPr>
              <w:jc w:val="center"/>
              <w:spacing w:before="40" w:after="40"/>
            </w:pPr>
            <w:r>
              <w:rPr>
                <w:rFonts w:ascii="Times New Roman" w:hAnsi="Times New Roman"/>
                <w:sz w:val="20"/>
              </w:rPr>
              <w:t xml:space="preserve">+0.034Â Â±Â 0.107</w:t>
            </w:r>
          </w:p>
        </w:tc>
        <w:tc>
          <w:tcPr>
            <w:tcW w:w="1800" w:type="dxa"/>
          </w:tcPr>
          <w:p>
            <w:pPr>
              <w:jc w:val="center"/>
              <w:spacing w:before="40" w:after="40"/>
            </w:pPr>
            <w:r>
              <w:rPr>
                <w:rFonts w:ascii="Times New Roman" w:hAnsi="Times New Roman"/>
                <w:sz w:val="20"/>
              </w:rPr>
              <w:t xml:space="preserve">66%</w:t>
            </w:r>
          </w:p>
        </w:tc>
        <w:tc>
          <w:tcPr>
            <w:tcW w:w="1800" w:type="dxa"/>
          </w:tcPr>
          <w:p>
            <w:pPr>
              <w:jc w:val="center"/>
              <w:spacing w:before="40" w:after="40"/>
            </w:pPr>
            <w:r>
              <w:rPr>
                <w:rFonts w:ascii="Times New Roman" w:hAnsi="Times New Roman"/>
                <w:sz w:val="20"/>
              </w:rPr>
              <w:t xml:space="preserve">pÂ = 0.029</w:t>
            </w:r>
          </w:p>
        </w:tc>
      </w:tr>
      <w:tr>
        <w:tc>
          <w:tcPr>
            <w:tcW w:w="1080" w:type="dxa"/>
          </w:tcPr>
          <w:p>
            <w:pPr>
              <w:jc w:val="center"/>
              <w:spacing w:before="40" w:after="40"/>
            </w:pPr>
            <w:r>
              <w:rPr>
                <w:rFonts w:ascii="Times New Roman" w:hAnsi="Times New Roman"/>
                <w:sz w:val="20"/>
              </w:rPr>
              <w:t xml:space="preserve">25</w:t>
            </w:r>
          </w:p>
        </w:tc>
        <w:tc>
          <w:tcPr>
            <w:tcW w:w="2160" w:type="dxa"/>
          </w:tcPr>
          <w:p>
            <w:pPr>
              <w:jc w:val="center"/>
              <w:spacing w:before="40" w:after="40"/>
            </w:pPr>
            <w:r>
              <w:rPr>
                <w:rFonts w:ascii="Times New Roman" w:hAnsi="Times New Roman"/>
                <w:sz w:val="20"/>
              </w:rPr>
              <w:t xml:space="preserve">0.842</w:t>
            </w:r>
          </w:p>
        </w:tc>
        <w:tc>
          <w:tcPr>
            <w:tcW w:w="2520" w:type="dxa"/>
          </w:tcPr>
          <w:p>
            <w:pPr>
              <w:jc w:val="center"/>
              <w:spacing w:before="40" w:after="40"/>
            </w:pPr>
            <w:r>
              <w:rPr>
                <w:rFonts w:ascii="Times New Roman" w:hAnsi="Times New Roman"/>
                <w:sz w:val="20"/>
              </w:rPr>
              <w:t xml:space="preserve">+0.062Â Â±Â 0.095</w:t>
            </w:r>
          </w:p>
        </w:tc>
        <w:tc>
          <w:tcPr>
            <w:tcW w:w="1800" w:type="dxa"/>
          </w:tcPr>
          <w:p>
            <w:pPr>
              <w:jc w:val="center"/>
              <w:spacing w:before="40" w:after="40"/>
            </w:pPr>
            <w:r>
              <w:rPr>
                <w:rFonts w:ascii="Times New Roman" w:hAnsi="Times New Roman"/>
                <w:sz w:val="20"/>
              </w:rPr>
              <w:t xml:space="preserve">70%</w:t>
            </w:r>
          </w:p>
        </w:tc>
        <w:tc>
          <w:tcPr>
            <w:tcW w:w="1800" w:type="dxa"/>
          </w:tcPr>
          <w:p>
            <w:pPr>
              <w:jc w:val="center"/>
              <w:spacing w:before="40" w:after="40"/>
            </w:pPr>
            <w:r>
              <w:rPr>
                <w:rFonts w:ascii="Times New Roman" w:hAnsi="Times New Roman"/>
                <w:sz w:val="20"/>
              </w:rPr>
              <w:t xml:space="preserve">pÂ &lt; 0.001</w:t>
            </w:r>
          </w:p>
        </w:tc>
      </w:tr>
    </w:tbl>
    <w:p>
      <w:pPr>
        <w:spacing w:before="0" w:after="80"/>
      </w:pPr>
      <w:r>
        <w:rPr>
          <w:rFonts w:ascii="Times New Roman" w:hAnsi="Times New Roman"/>
          <w:sz w:val="24"/>
        </w:rPr>
        <w:t xml:space="preserve"/>
      </w:r>
    </w:p>
    <w:p>
      <w:pPr>
        <w:spacing w:before="0" w:after="160"/>
      </w:pPr>
      <w:r>
        <w:rPr>
          <w:rFonts w:ascii="Times New Roman" w:hAnsi="Times New Roman"/>
          <w:sz w:val="24"/>
        </w:rPr>
        <w:t xml:space="preserve">NÂ =Â 15 achieves the highest mean Î”HV (+0.082) and the highest fraction of improved replicates (83%), making it the optimal choice. The dip at NÂ =Â 20 is notable: despite a slightly lower infeasibility rate, injecting 20 proposals into a population of 50 means that LLM solutions constitute 40% of the offspring pool each generation. In augment mode, this larger batch floods the pool with feasible-but-dominated solutions that compete with genetic offspring for survival under NSGA-IIâ€™s crowding-distance selection, inadvertently reducing genetic diversity. NÂ =Â 25 partially recovers but at higher variance. These results confirm that NÂ =Â 15 â€” approximately 30% of the offspring pool â€” strikes the optimal balance between LLM guidance and evolutionary exploration.</w:t>
      </w:r>
    </w:p>
    <w:p>
      <w:pPr>
        <w:spacing w:before="120" w:after="0"/>
      </w:pPr>
      <w:r>
        <w:rPr>
          <w:rFonts w:ascii="Times New Roman" w:hAnsi="Times New Roman"/>
          <w:sz w:val="24"/>
        </w:rPr>
        <w:t xml:space="preserve"/>
      </w:r>
    </w:p>
    <w:p>
      <w:pPr>
        <w:spacing w:before="240" w:after="80"/>
      </w:pPr>
      <w:r>
        <w:rPr>
          <w:rFonts w:ascii="Times New Roman" w:hAnsi="Times New Roman"/>
          <w:sz w:val="26"/>
          <w:b/>
        </w:rPr>
        <w:t xml:space="preserve">5.5 Method Comparison</w:t>
      </w:r>
    </w:p>
    <w:p>
      <w:pPr>
        <w:spacing w:before="0" w:after="160"/>
      </w:pPr>
      <w:r>
        <w:rPr>
          <w:rFonts w:ascii="Times New Roman" w:hAnsi="Times New Roman"/>
          <w:sz w:val="24"/>
        </w:rPr>
        <w:t xml:space="preserve">To isolate the contribution of FLAMEâ€™s augment-mode injection strategy, we compare four methods at NÂ =Â 15 across 30 paired replicates: NSGA-II (pure evolutionary baseline), Pure LLM (LLM-only generation without evolutionary operators), Luâ€™s method (LLM solutions replace an equal number of NSGA-II offspring before selection, following Lu etÂ al. [REF]), and FLAME (LLM solutions augment the offspring pool alongside genetic offspring). TableÂ 4 summarizes the final hypervolume for each method.</w:t>
      </w:r>
    </w:p>
    <w:p>
      <w:pPr>
        <w:spacing w:before="120" w:after="40"/>
      </w:pPr>
      <w:r>
        <w:rPr>
          <w:rFonts w:ascii="Times New Roman" w:hAnsi="Times New Roman"/>
          <w:sz w:val="24"/>
        </w:rPr>
        <w:t xml:space="preserve">TableÂ 4. Method comparison at NÂ =Â 15 across 30 paired replicates. Î”HV is computed relative to NSGA-II. Wilcoxon signed-rank test (two-sided). Diversity D: mean pairwise Euclidean distance in normalized objective space.</w:t>
      </w:r>
    </w:p>
    <w:tbl>
      <w:tblPr>
        <w:tblW w:w="9360" w:type="dxa"/>
        <w:tblBorders>
          <w:top w:val="single" w:sz="4" w:color="000000"/>
          <w:bottom w:val="single" w:sz="4" w:color="000000"/>
          <w:left w:val="single" w:sz="4" w:color="000000"/>
          <w:right w:val="single" w:sz="4" w:color="000000"/>
          <w:insideH w:val="single" w:sz="4" w:color="000000"/>
          <w:insideV w:val="single" w:sz="4" w:color="000000"/>
        </w:tblBorders>
      </w:tblPr>
      <w:tblGrid>
        <w:gridCol w:w="2160"/>
        <w:gridCol w:w="1440"/>
        <w:gridCol w:w="1440"/>
        <w:gridCol w:w="1200"/>
        <w:gridCol w:w="1440"/>
        <w:gridCol w:w="1680"/>
      </w:tblGrid>
      <w:tr>
        <w:trPr>
          <w:tblHeader/>
        </w:trPr>
        <w:tc>
          <w:tcPr>
            <w:tcW w:w="2160" w:type="dxa"/>
            <w:shd w:val="clear" w:color="auto" w:fill="D9D9D9"/>
          </w:tcPr>
          <w:p>
            <w:pPr>
              <w:jc w:val="left"/>
              <w:spacing w:before="40" w:after="40"/>
            </w:pPr>
            <w:r>
              <w:rPr>
                <w:rFonts w:ascii="Times New Roman" w:hAnsi="Times New Roman"/>
                <w:sz w:val="20"/>
                <w:b/>
              </w:rPr>
              <w:t xml:space="preserve">Method</w:t>
            </w:r>
          </w:p>
        </w:tc>
        <w:tc>
          <w:tcPr>
            <w:tcW w:w="1440" w:type="dxa"/>
            <w:shd w:val="clear" w:color="auto" w:fill="D9D9D9"/>
          </w:tcPr>
          <w:p>
            <w:pPr>
              <w:jc w:val="center"/>
              <w:spacing w:before="40" w:after="40"/>
            </w:pPr>
            <w:r>
              <w:rPr>
                <w:rFonts w:ascii="Times New Roman" w:hAnsi="Times New Roman"/>
                <w:sz w:val="20"/>
                <w:b/>
              </w:rPr>
              <w:t xml:space="preserve">Mean HV</w:t>
            </w:r>
          </w:p>
        </w:tc>
        <w:tc>
          <w:tcPr>
            <w:tcW w:w="1440" w:type="dxa"/>
            <w:shd w:val="clear" w:color="auto" w:fill="D9D9D9"/>
          </w:tcPr>
          <w:p>
            <w:pPr>
              <w:jc w:val="center"/>
              <w:spacing w:before="40" w:after="40"/>
            </w:pPr>
            <w:r>
              <w:rPr>
                <w:rFonts w:ascii="Times New Roman" w:hAnsi="Times New Roman"/>
                <w:sz w:val="20"/>
                <w:b/>
              </w:rPr>
              <w:t xml:space="preserve">Î”HV</w:t>
            </w:r>
          </w:p>
        </w:tc>
        <w:tc>
          <w:tcPr>
            <w:tcW w:w="1200" w:type="dxa"/>
            <w:shd w:val="clear" w:color="auto" w:fill="D9D9D9"/>
          </w:tcPr>
          <w:p>
            <w:pPr>
              <w:jc w:val="center"/>
              <w:spacing w:before="40" w:after="40"/>
            </w:pPr>
            <w:r>
              <w:rPr>
                <w:rFonts w:ascii="Times New Roman" w:hAnsi="Times New Roman"/>
                <w:sz w:val="20"/>
                <w:b/>
              </w:rPr>
              <w:t xml:space="preserve">Improved</w:t>
            </w:r>
          </w:p>
        </w:tc>
        <w:tc>
          <w:tcPr>
            <w:tcW w:w="1440" w:type="dxa"/>
            <w:shd w:val="clear" w:color="auto" w:fill="D9D9D9"/>
          </w:tcPr>
          <w:p>
            <w:pPr>
              <w:jc w:val="center"/>
              <w:spacing w:before="40" w:after="40"/>
            </w:pPr>
            <w:r>
              <w:rPr>
                <w:rFonts w:ascii="Times New Roman" w:hAnsi="Times New Roman"/>
                <w:sz w:val="20"/>
                <w:b/>
              </w:rPr>
              <w:t xml:space="preserve">p</w:t>
            </w:r>
          </w:p>
        </w:tc>
        <w:tc>
          <w:tcPr>
            <w:tcW w:w="1680" w:type="dxa"/>
            <w:shd w:val="clear" w:color="auto" w:fill="D9D9D9"/>
          </w:tcPr>
          <w:p>
            <w:pPr>
              <w:jc w:val="center"/>
              <w:spacing w:before="40" w:after="40"/>
            </w:pPr>
            <w:r>
              <w:rPr>
                <w:rFonts w:ascii="Times New Roman" w:hAnsi="Times New Roman"/>
                <w:sz w:val="20"/>
                <w:b/>
              </w:rPr>
              <w:t xml:space="preserve">Diversity D</w:t>
            </w:r>
          </w:p>
        </w:tc>
      </w:tr>
      <w:tr>
        <w:tc>
          <w:tcPr>
            <w:tcW w:w="2160" w:type="dxa"/>
          </w:tcPr>
          <w:p>
            <w:pPr>
              <w:jc w:val="left"/>
              <w:spacing w:before="40" w:after="40"/>
            </w:pPr>
            <w:r>
              <w:rPr>
                <w:rFonts w:ascii="Times New Roman" w:hAnsi="Times New Roman"/>
                <w:sz w:val="20"/>
              </w:rPr>
              <w:t xml:space="preserve">NSGA-II</w:t>
            </w:r>
          </w:p>
        </w:tc>
        <w:tc>
          <w:tcPr>
            <w:tcW w:w="1440" w:type="dxa"/>
          </w:tcPr>
          <w:p>
            <w:pPr>
              <w:jc w:val="center"/>
              <w:spacing w:before="40" w:after="40"/>
            </w:pPr>
            <w:r>
              <w:rPr>
                <w:rFonts w:ascii="Times New Roman" w:hAnsi="Times New Roman"/>
                <w:sz w:val="20"/>
              </w:rPr>
              <w:t xml:space="preserve">0.780</w:t>
            </w:r>
          </w:p>
        </w:tc>
        <w:tc>
          <w:tcPr>
            <w:tcW w:w="1440" w:type="dxa"/>
          </w:tcPr>
          <w:p>
            <w:pPr>
              <w:jc w:val="center"/>
              <w:spacing w:before="40" w:after="40"/>
            </w:pPr>
            <w:r>
              <w:rPr>
                <w:rFonts w:ascii="Times New Roman" w:hAnsi="Times New Roman"/>
                <w:sz w:val="20"/>
              </w:rPr>
              <w:t xml:space="preserve">â€”</w:t>
            </w:r>
          </w:p>
        </w:tc>
        <w:tc>
          <w:tcPr>
            <w:tcW w:w="1200" w:type="dxa"/>
          </w:tcPr>
          <w:p>
            <w:pPr>
              <w:jc w:val="center"/>
              <w:spacing w:before="40" w:after="40"/>
            </w:pPr>
            <w:r>
              <w:rPr>
                <w:rFonts w:ascii="Times New Roman" w:hAnsi="Times New Roman"/>
                <w:sz w:val="20"/>
              </w:rPr>
              <w:t xml:space="preserve">â€”</w:t>
            </w:r>
          </w:p>
        </w:tc>
        <w:tc>
          <w:tcPr>
            <w:tcW w:w="1440" w:type="dxa"/>
          </w:tcPr>
          <w:p>
            <w:pPr>
              <w:jc w:val="center"/>
              <w:spacing w:before="40" w:after="40"/>
            </w:pPr>
            <w:r>
              <w:rPr>
                <w:rFonts w:ascii="Times New Roman" w:hAnsi="Times New Roman"/>
                <w:sz w:val="20"/>
              </w:rPr>
              <w:t xml:space="preserve">â€”</w:t>
            </w:r>
          </w:p>
        </w:tc>
        <w:tc>
          <w:tcPr>
            <w:tcW w:w="1680" w:type="dxa"/>
          </w:tcPr>
          <w:p>
            <w:pPr>
              <w:jc w:val="center"/>
              <w:spacing w:before="40" w:after="40"/>
            </w:pPr>
            <w:r>
              <w:rPr>
                <w:rFonts w:ascii="Times New Roman" w:hAnsi="Times New Roman"/>
                <w:sz w:val="20"/>
              </w:rPr>
              <w:t xml:space="preserve">0.174Â Â±Â 0.034</w:t>
            </w:r>
          </w:p>
        </w:tc>
      </w:tr>
      <w:tr>
        <w:tc>
          <w:tcPr>
            <w:tcW w:w="2160" w:type="dxa"/>
          </w:tcPr>
          <w:p>
            <w:pPr>
              <w:jc w:val="left"/>
              <w:spacing w:before="40" w:after="40"/>
            </w:pPr>
            <w:r>
              <w:rPr>
                <w:rFonts w:ascii="Times New Roman" w:hAnsi="Times New Roman"/>
                <w:sz w:val="20"/>
              </w:rPr>
              <w:t xml:space="preserve">Pure LLM</w:t>
            </w:r>
          </w:p>
        </w:tc>
        <w:tc>
          <w:tcPr>
            <w:tcW w:w="1440" w:type="dxa"/>
          </w:tcPr>
          <w:p>
            <w:pPr>
              <w:jc w:val="center"/>
              <w:spacing w:before="40" w:after="40"/>
            </w:pPr>
            <w:r>
              <w:rPr>
                <w:rFonts w:ascii="Times New Roman" w:hAnsi="Times New Roman"/>
                <w:sz w:val="20"/>
              </w:rPr>
              <w:t xml:space="preserve">0.599</w:t>
            </w:r>
          </w:p>
        </w:tc>
        <w:tc>
          <w:tcPr>
            <w:tcW w:w="1440" w:type="dxa"/>
          </w:tcPr>
          <w:p>
            <w:pPr>
              <w:jc w:val="center"/>
              <w:spacing w:before="40" w:after="40"/>
            </w:pPr>
            <w:r>
              <w:rPr>
                <w:rFonts w:ascii="Times New Roman" w:hAnsi="Times New Roman"/>
                <w:sz w:val="20"/>
              </w:rPr>
              <w:t xml:space="preserve">âˆ’0.181</w:t>
            </w:r>
          </w:p>
        </w:tc>
        <w:tc>
          <w:tcPr>
            <w:tcW w:w="1200" w:type="dxa"/>
          </w:tcPr>
          <w:p>
            <w:pPr>
              <w:jc w:val="center"/>
              <w:spacing w:before="40" w:after="40"/>
            </w:pPr>
            <w:r>
              <w:rPr>
                <w:rFonts w:ascii="Times New Roman" w:hAnsi="Times New Roman"/>
                <w:sz w:val="20"/>
              </w:rPr>
              <w:t xml:space="preserve">0%</w:t>
            </w:r>
          </w:p>
        </w:tc>
        <w:tc>
          <w:tcPr>
            <w:tcW w:w="1440" w:type="dxa"/>
          </w:tcPr>
          <w:p>
            <w:pPr>
              <w:jc w:val="center"/>
              <w:spacing w:before="40" w:after="40"/>
            </w:pPr>
            <w:r>
              <w:rPr>
                <w:rFonts w:ascii="Times New Roman" w:hAnsi="Times New Roman"/>
                <w:sz w:val="20"/>
              </w:rPr>
              <w:t xml:space="preserve">&lt; 0.001</w:t>
            </w:r>
          </w:p>
        </w:tc>
        <w:tc>
          <w:tcPr>
            <w:tcW w:w="1680" w:type="dxa"/>
          </w:tcPr>
          <w:p>
            <w:pPr>
              <w:jc w:val="center"/>
              <w:spacing w:before="40" w:after="40"/>
            </w:pPr>
            <w:r>
              <w:rPr>
                <w:rFonts w:ascii="Times New Roman" w:hAnsi="Times New Roman"/>
                <w:sz w:val="20"/>
              </w:rPr>
              <w:t xml:space="preserve">0.118Â Â±Â 0.038</w:t>
            </w:r>
          </w:p>
        </w:tc>
      </w:tr>
      <w:tr>
        <w:tc>
          <w:tcPr>
            <w:tcW w:w="2160" w:type="dxa"/>
          </w:tcPr>
          <w:p>
            <w:pPr>
              <w:jc w:val="left"/>
              <w:spacing w:before="40" w:after="40"/>
            </w:pPr>
            <w:r>
              <w:rPr>
                <w:rFonts w:ascii="Times New Roman" w:hAnsi="Times New Roman"/>
                <w:sz w:val="20"/>
              </w:rPr>
              <w:t xml:space="preserve">Luâ€™s method</w:t>
            </w:r>
          </w:p>
        </w:tc>
        <w:tc>
          <w:tcPr>
            <w:tcW w:w="1440" w:type="dxa"/>
          </w:tcPr>
          <w:p>
            <w:pPr>
              <w:jc w:val="center"/>
              <w:spacing w:before="40" w:after="40"/>
            </w:pPr>
            <w:r>
              <w:rPr>
                <w:rFonts w:ascii="Times New Roman" w:hAnsi="Times New Roman"/>
                <w:sz w:val="20"/>
              </w:rPr>
              <w:t xml:space="preserve">0.802</w:t>
            </w:r>
          </w:p>
        </w:tc>
        <w:tc>
          <w:tcPr>
            <w:tcW w:w="1440" w:type="dxa"/>
          </w:tcPr>
          <w:p>
            <w:pPr>
              <w:jc w:val="center"/>
              <w:spacing w:before="40" w:after="40"/>
            </w:pPr>
            <w:r>
              <w:rPr>
                <w:rFonts w:ascii="Times New Roman" w:hAnsi="Times New Roman"/>
                <w:sz w:val="20"/>
              </w:rPr>
              <w:t xml:space="preserve">+0.023</w:t>
            </w:r>
          </w:p>
        </w:tc>
        <w:tc>
          <w:tcPr>
            <w:tcW w:w="1200" w:type="dxa"/>
          </w:tcPr>
          <w:p>
            <w:pPr>
              <w:jc w:val="center"/>
              <w:spacing w:before="40" w:after="40"/>
            </w:pPr>
            <w:r>
              <w:rPr>
                <w:rFonts w:ascii="Times New Roman" w:hAnsi="Times New Roman"/>
                <w:sz w:val="20"/>
              </w:rPr>
              <w:t xml:space="preserve">56%</w:t>
            </w:r>
          </w:p>
        </w:tc>
        <w:tc>
          <w:tcPr>
            <w:tcW w:w="1440" w:type="dxa"/>
          </w:tcPr>
          <w:p>
            <w:pPr>
              <w:jc w:val="center"/>
              <w:spacing w:before="40" w:after="40"/>
            </w:pPr>
            <w:r>
              <w:rPr>
                <w:rFonts w:ascii="Times New Roman" w:hAnsi="Times New Roman"/>
                <w:sz w:val="20"/>
              </w:rPr>
              <w:t xml:space="preserve">0.299 (ns)</w:t>
            </w:r>
          </w:p>
        </w:tc>
        <w:tc>
          <w:tcPr>
            <w:tcW w:w="1680" w:type="dxa"/>
          </w:tcPr>
          <w:p>
            <w:pPr>
              <w:jc w:val="center"/>
              <w:spacing w:before="40" w:after="40"/>
            </w:pPr>
            <w:r>
              <w:rPr>
                <w:rFonts w:ascii="Times New Roman" w:hAnsi="Times New Roman"/>
                <w:sz w:val="20"/>
              </w:rPr>
              <w:t xml:space="preserve">0.190Â Â±Â 0.029</w:t>
            </w:r>
          </w:p>
        </w:tc>
      </w:tr>
      <w:tr>
        <w:tc>
          <w:tcPr>
            <w:tcW w:w="2160" w:type="dxa"/>
          </w:tcPr>
          <w:p>
            <w:pPr>
              <w:jc w:val="left"/>
              <w:spacing w:before="40" w:after="40"/>
            </w:pPr>
            <w:r>
              <w:rPr>
                <w:rFonts w:ascii="Times New Roman" w:hAnsi="Times New Roman"/>
                <w:sz w:val="20"/>
                <w:b/>
              </w:rPr>
              <w:t xml:space="preserve">FLAME</w:t>
            </w:r>
          </w:p>
        </w:tc>
        <w:tc>
          <w:tcPr>
            <w:tcW w:w="1440" w:type="dxa"/>
          </w:tcPr>
          <w:p>
            <w:pPr>
              <w:jc w:val="center"/>
              <w:spacing w:before="40" w:after="40"/>
            </w:pPr>
            <w:r>
              <w:rPr>
                <w:rFonts w:ascii="Times New Roman" w:hAnsi="Times New Roman"/>
                <w:sz w:val="20"/>
                <w:b/>
              </w:rPr>
              <w:t xml:space="preserve">0.862</w:t>
            </w:r>
          </w:p>
        </w:tc>
        <w:tc>
          <w:tcPr>
            <w:tcW w:w="1440" w:type="dxa"/>
          </w:tcPr>
          <w:p>
            <w:pPr>
              <w:jc w:val="center"/>
              <w:spacing w:before="40" w:after="40"/>
            </w:pPr>
            <w:r>
              <w:rPr>
                <w:rFonts w:ascii="Times New Roman" w:hAnsi="Times New Roman"/>
                <w:sz w:val="20"/>
                <w:b/>
              </w:rPr>
              <w:t xml:space="preserve">+0.082</w:t>
            </w:r>
          </w:p>
        </w:tc>
        <w:tc>
          <w:tcPr>
            <w:tcW w:w="1200" w:type="dxa"/>
          </w:tcPr>
          <w:p>
            <w:pPr>
              <w:jc w:val="center"/>
              <w:spacing w:before="40" w:after="40"/>
            </w:pPr>
            <w:r>
              <w:rPr>
                <w:rFonts w:ascii="Times New Roman" w:hAnsi="Times New Roman"/>
                <w:sz w:val="20"/>
                <w:b/>
              </w:rPr>
              <w:t xml:space="preserve">83%</w:t>
            </w:r>
          </w:p>
        </w:tc>
        <w:tc>
          <w:tcPr>
            <w:tcW w:w="1440" w:type="dxa"/>
          </w:tcPr>
          <w:p>
            <w:pPr>
              <w:jc w:val="center"/>
              <w:spacing w:before="40" w:after="40"/>
            </w:pPr>
            <w:r>
              <w:rPr>
                <w:rFonts w:ascii="Times New Roman" w:hAnsi="Times New Roman"/>
                <w:sz w:val="20"/>
                <w:b/>
              </w:rPr>
              <w:t xml:space="preserve">&lt; 0.001</w:t>
            </w:r>
          </w:p>
        </w:tc>
        <w:tc>
          <w:tcPr>
            <w:tcW w:w="1680" w:type="dxa"/>
          </w:tcPr>
          <w:p>
            <w:pPr>
              <w:jc w:val="center"/>
              <w:spacing w:before="40" w:after="40"/>
            </w:pPr>
            <w:r>
              <w:rPr>
                <w:rFonts w:ascii="Times New Roman" w:hAnsi="Times New Roman"/>
                <w:sz w:val="20"/>
                <w:b/>
              </w:rPr>
              <w:t xml:space="preserve">0.218Â Â±Â 0.035</w:t>
            </w:r>
          </w:p>
        </w:tc>
      </w:tr>
    </w:tbl>
    <w:p>
      <w:pPr>
        <w:spacing w:before="0" w:after="80"/>
      </w:pPr>
      <w:r>
        <w:rPr>
          <w:rFonts w:ascii="Times New Roman" w:hAnsi="Times New Roman"/>
          <w:sz w:val="24"/>
        </w:rPr>
        <w:t xml:space="preserve"/>
      </w:r>
    </w:p>
    <w:p>
      <w:pPr>
        <w:spacing w:before="0" w:after="160"/>
      </w:pPr>
      <w:r>
        <w:rPr>
          <w:rFonts w:ascii="Times New Roman" w:hAnsi="Times New Roman"/>
          <w:sz w:val="24"/>
        </w:rPr>
        <w:t xml:space="preserve">FiguresÂ 6 and 7 present the Pareto fronts and HV convergence curves for all four methods.</w:t>
      </w:r>
    </w:p>
    <w:p xmlns:a="http://schemas.openxmlformats.org/drawingml/2006/main" xmlns:pic="http://schemas.openxmlformats.org/drawingml/2006/picture">
      <w:pPr>
        <w:jc w:val="center"/>
        <w:spacing w:before="80" w:after="80"/>
      </w:pPr>
      <w:r>
        <w:drawing>
          <wp:inline distT="0" distB="0" distL="0" distR="0">
            <wp:extent cx="5029200" cy="3352800"/>
            <wp:effectExtent l="0" t="0" r="0" b="0"/>
            <wp:docPr id="60" name="Figure6"/>
            <wp:cNvGraphicFramePr>
              <a:graphicFrameLocks noChangeAspect="1"/>
            </wp:cNvGraphicFramePr>
            <a:graphic>
              <a:graphicData uri="http://schemas.openxmlformats.org/drawingml/2006/picture">
                <pic:pic>
                  <pic:nvPicPr>
                    <pic:cNvPr id="60" name="Figure6"/>
                    <pic:cNvPicPr/>
                  </pic:nvPicPr>
                  <pic:blipFill>
                    <a:blip r:embed="rId41Pareto"/>
                    <a:stretch>
                      <a:fillRect/>
                    </a:stretch>
                  </pic:blipFill>
                  <pic:spPr>
                    <a:xfrm>
                      <a:off x="0" y="0"/>
                      <a:ext cx="5029200" cy="3352800"/>
                    </a:xfrm>
                    <a:prstGeom prst="rect">
                      <a:avLst/>
                    </a:prstGeom>
                  </pic:spPr>
                </pic:pic>
              </a:graphicData>
            </a:graphic>
          </wp:inline>
        </w:drawing>
      </w:r>
    </w:p>
    <w:p>
      <w:pPr>
        <w:jc w:val="center"/>
        <w:spacing w:before="40" w:after="160"/>
      </w:pPr>
      <w:r>
        <w:rPr>
          <w:rFonts w:ascii="Times New Roman" w:hAnsi="Times New Roman"/>
          <w:sz w:val="24"/>
          <w:b/>
        </w:rPr>
        <w:t xml:space="preserve">Figure 6. </w:t>
      </w:r>
      <w:r>
        <w:rPr>
          <w:rFonts w:ascii="Times New Roman" w:hAnsi="Times New Roman"/>
          <w:sz w:val="24"/>
        </w:rPr>
        <w:t xml:space="preserve">Pareto fronts of four methods at NÂ =Â 15 (30 paired replicates). Each curve shows the mean maximum $f_{28}$ per GWP bin; shaded bands indicate Â±1Â SD. FLAME extends the Pareto front at both the low-GWP and high-strength extremes, while differences in the mid-GWP region are modest across all methods.</w:t>
      </w:r>
    </w:p>
    <w:p>
      <w:pPr>
        <w:spacing w:before="0" w:after="160"/>
      </w:pPr>
      <w:r>
        <w:rPr>
          <w:rFonts w:ascii="Times New Roman" w:hAnsi="Times New Roman"/>
          <w:sz w:val="24"/>
        </w:rPr>
        <w:t xml:space="preserve">FigureÂ 6 reveals that the performance gap between FLAME and the other methods is most pronounced at the two extremes of the trade-off curve. In the mid-GWP region (approximately 200â€“260Â kgÂ COâ‚‚/mÂ³), FLAME, Luâ€™s method, and NSGA-II achieve comparable mean $f_{28}$, because NSGA-IIâ€™s crowding-distance selection naturally maintains coverage in this densely populated region. The divergence occurs at the low-carbon extreme (GWPÂ &lt;Â 200Â kgÂ COâ‚‚/mÂ³) and the high-strength extreme (GWPÂ &gt;Â 270Â kgÂ COâ‚‚/mÂ³), where evolutionary search alone lacks the diversity to push into these sparse regions. FLAMEâ€™s LLM augmentation, conditioned on the current Pareto front, directly targets these underexplored frontier areas.</w:t>
      </w:r>
    </w:p>
    <w:p xmlns:a="http://schemas.openxmlformats.org/drawingml/2006/main" xmlns:pic="http://schemas.openxmlformats.org/drawingml/2006/picture">
      <w:pPr>
        <w:jc w:val="center"/>
        <w:spacing w:before="80" w:after="80"/>
      </w:pPr>
      <w:r>
        <w:drawing>
          <wp:inline distT="0" distB="0" distL="0" distR="0">
            <wp:extent cx="5029200" cy="2794000"/>
            <wp:effectExtent l="0" t="0" r="0" b="0"/>
            <wp:docPr id="61" name="Figure7"/>
            <wp:cNvGraphicFramePr>
              <a:graphicFrameLocks noChangeAspect="1"/>
            </wp:cNvGraphicFramePr>
            <a:graphic>
              <a:graphicData uri="http://schemas.openxmlformats.org/drawingml/2006/picture">
                <pic:pic>
                  <pic:nvPicPr>
                    <pic:cNvPr id="61" name="Figure7"/>
                    <pic:cNvPicPr/>
                  </pic:nvPicPr>
                  <pic:blipFill>
                    <a:blip r:embed="rId41Conv"/>
                    <a:stretch>
                      <a:fillRect/>
                    </a:stretch>
                  </pic:blipFill>
                  <pic:spPr>
                    <a:xfrm>
                      <a:off x="0" y="0"/>
                      <a:ext cx="5029200" cy="2794000"/>
                    </a:xfrm>
                    <a:prstGeom prst="rect">
                      <a:avLst/>
                    </a:prstGeom>
                  </pic:spPr>
                </pic:pic>
              </a:graphicData>
            </a:graphic>
          </wp:inline>
        </w:drawing>
      </w:r>
    </w:p>
    <w:p>
      <w:pPr>
        <w:jc w:val="center"/>
        <w:spacing w:before="40" w:after="160"/>
      </w:pPr>
      <w:r>
        <w:rPr>
          <w:rFonts w:ascii="Times New Roman" w:hAnsi="Times New Roman"/>
          <w:sz w:val="24"/>
          <w:b/>
        </w:rPr>
        <w:t xml:space="preserve">Figure 7. </w:t>
      </w:r>
      <w:r>
        <w:rPr>
          <w:rFonts w:ascii="Times New Roman" w:hAnsi="Times New Roman"/>
          <w:sz w:val="24"/>
        </w:rPr>
        <w:t xml:space="preserve">HV convergence of four methods at NÂ =Â 15 (30 paired replicates). Lines show mean HV; shaded bands indicate Â±1Â SD.</w:t>
      </w:r>
    </w:p>
    <w:p>
      <w:pPr>
        <w:spacing w:before="0" w:after="160"/>
      </w:pPr>
      <w:r>
        <w:rPr>
          <w:rFonts w:ascii="Times New Roman" w:hAnsi="Times New Roman"/>
          <w:sz w:val="24"/>
        </w:rPr>
        <w:t xml:space="preserve">FigureÂ 7 highlights three distinct convergence patterns. First, Pure LLM achieves higher HV than NSGA-II in the earliest generations (â‰ˆ1â€“10), as the LLMâ€™s domain knowledge quickly identifies high-quality candidate mixes without requiring iterative evolution. However, without NSGA-IIâ€™s population-wide selection pressure, Pure LLM cannot systematically refine the front and its HV plateaus and declines, falling well below NSGA-II by generationÂ 50. This confirms that evolutionary search is a load-bearing component: LLM generation alone cannot replace it. 
Second, Luâ€™s method tracks FLAME closely in early generations but the gap widens progressively, with Luâ€™s method converging toward the NSGA-II baseline by generationÂ 100. This is explained by a diversity deficit: the final Pareto front diversity of Luâ€™s method (DÂ =Â 0.190Â Â±Â 0.029) is significantly lower than FLAMEâ€™s (DÂ =Â 0.218Â Â±Â 0.035; pÂ =Â 0.002). In replace mode, injected LLM solutions directly displace genetic offspring before NSGA-IIâ€™s selection can act, preventing the diversity-building that augment mode enables. NSGA-IIâ€™s crowding-distance mechanism is designed to operate on the full pool after offspring generation; bypassing this step by pre-replacing offspring disrupts diversity maintenance at scale. 
FLAME avoids both failure modes: by adding LLM proposals alongside, rather than in place of, genetic offspring, it lets NSGA-IIâ€™s selection decide which solutions survive, preserving population diversity while incorporating the LLMâ€™s domain-informed candidates.</w:t>
      </w:r>
    </w:p>
    <w:p>
      <w:pPr>
        <w:spacing w:before="120" w:after="0"/>
      </w:pPr>
      <w:r>
        <w:rPr>
          <w:rFonts w:ascii="Times New Roman" w:hAnsi="Times New Roman"/>
          <w:sz w:val="24"/>
        </w:rPr>
        <w:t xml:space="preserve"/>
      </w:r>
    </w:p>
    <w:p>
      <w:pPr>
        <w:spacing w:before="120" w:after="0"/>
      </w:pPr>
      <w:r>
        <w:rPr>
          <w:rFonts w:ascii="Times New Roman" w:hAnsi="Times New Roman"/>
          <w:sz w:val="24"/>
        </w:rPr>
        <w:t xml:space="preserve"/>
      </w:r>
    </w:p>
    <w:p>
      <w:pPr>
        <w:spacing w:before="240" w:after="80"/>
      </w:pPr>
      <w:r>
        <w:rPr>
          <w:rFonts w:ascii="Times New Roman" w:hAnsi="Times New Roman"/>
          <w:sz w:val="26"/>
          <w:b/>
        </w:rPr>
        <w:t xml:space="preserve">5.6 Prompt Ablation: Elite Solutions and Domain Knowledge</w:t>
      </w:r>
    </w:p>
    <w:p>
      <w:pPr>
        <w:spacing w:before="0" w:after="160"/>
      </w:pPr>
      <w:r>
        <w:rPr>
          <w:rFonts w:ascii="Times New Roman" w:hAnsi="Times New Roman"/>
          <w:sz w:val="24"/>
        </w:rPr>
        <w:t xml:space="preserve">To identify which prompt components are most critical to FLAMEâ€™s performance, we conduct a targeted ablation study focusing on two semantically distinct components: Elite solutions and the Knowledge Table. Removing Elite solutions (w/o Elite) eliminates the few-shot conditioning mechanism, reducing FLAME to a zero-shot mode in which the LLM generates proposals without reference to the current Pareto front. Removing the Knowledge Table (w/o KT) removes injected domain knowledge about concrete formulation practice, leaving the LLM to rely on general training without material-specific priors. Both ablations use NÂ =Â 15 and 30 paired replicates.</w:t>
      </w:r>
    </w:p>
    <w:p>
      <w:pPr>
        <w:spacing w:before="0" w:after="160"/>
      </w:pPr>
      <w:r>
        <w:rPr>
          <w:rFonts w:ascii="Times New Roman" w:hAnsi="Times New Roman"/>
          <w:sz w:val="24"/>
        </w:rPr>
        <w:t xml:space="preserve"/>
      </w:r>
    </w:p>
    <w:p>
      <w:pPr>
        <w:spacing w:before="120" w:after="40"/>
      </w:pPr>
      <w:r>
        <w:rPr>
          <w:rFonts w:ascii="Times New Roman" w:hAnsi="Times New Roman"/>
          <w:sz w:val="24"/>
        </w:rPr>
        <w:t xml:space="preserve">TableÂ 5. Prompt ablation results: mean final HV, mean Î”HV vs. NSGA-II baseline, statistical significance (Wilcoxon two-sided test), and Î”HV loss relative to full prompt (30 paired replicates). Bold row is the full prompt reference. Î”HV loss = full prompt Î”HV âˆ’ ablated Î”HV.</w:t>
      </w:r>
    </w:p>
    <w:tbl>
      <w:tblPr>
        <w:tblW w:w="10080" w:type="dxa"/>
        <w:tblBorders>
          <w:top w:val="single" w:sz="4" w:color="000000"/>
          <w:bottom w:val="single" w:sz="4" w:color="000000"/>
          <w:left w:val="single" w:sz="4" w:color="000000"/>
          <w:right w:val="single" w:sz="4" w:color="000000"/>
          <w:insideH w:val="single" w:sz="4" w:color="000000"/>
          <w:insideV w:val="single" w:sz="4" w:color="000000"/>
        </w:tblBorders>
      </w:tblPr>
      <w:tblGrid>
        <w:gridCol w:w="2520"/>
        <w:gridCol w:w="1800"/>
        <w:gridCol w:w="1800"/>
        <w:gridCol w:w="2160"/>
        <w:gridCol w:w="1800"/>
      </w:tblGrid>
      <w:tr>
        <w:trPr>
          <w:tblHeader/>
        </w:trPr>
        <w:tc>
          <w:tcPr>
            <w:tcW w:w="2520" w:type="dxa"/>
            <w:shd w:val="clear" w:color="auto" w:fill="D9D9D9"/>
          </w:tcPr>
          <w:p>
            <w:pPr>
              <w:jc w:val="center"/>
              <w:spacing w:before="40" w:after="40"/>
            </w:pPr>
            <w:r>
              <w:rPr>
                <w:rFonts w:ascii="Times New Roman" w:hAnsi="Times New Roman"/>
                <w:sz w:val="20"/>
                <w:b/>
              </w:rPr>
              <w:t xml:space="preserve">Prompt condition</w:t>
            </w:r>
          </w:p>
        </w:tc>
        <w:tc>
          <w:tcPr>
            <w:tcW w:w="1800" w:type="dxa"/>
            <w:shd w:val="clear" w:color="auto" w:fill="D9D9D9"/>
          </w:tcPr>
          <w:p>
            <w:pPr>
              <w:jc w:val="center"/>
              <w:spacing w:before="40" w:after="40"/>
            </w:pPr>
            <w:r>
              <w:rPr>
                <w:rFonts w:ascii="Times New Roman" w:hAnsi="Times New Roman"/>
                <w:sz w:val="20"/>
                <w:b/>
              </w:rPr>
              <w:t xml:space="preserve">Mean HV</w:t>
            </w:r>
          </w:p>
        </w:tc>
        <w:tc>
          <w:tcPr>
            <w:tcW w:w="1800" w:type="dxa"/>
            <w:shd w:val="clear" w:color="auto" w:fill="D9D9D9"/>
          </w:tcPr>
          <w:p>
            <w:pPr>
              <w:jc w:val="center"/>
              <w:spacing w:before="40" w:after="40"/>
            </w:pPr>
            <w:r>
              <w:rPr>
                <w:rFonts w:ascii="Times New Roman" w:hAnsi="Times New Roman"/>
                <w:sz w:val="20"/>
                <w:b/>
              </w:rPr>
              <w:t xml:space="preserve">Mean Î”HV</w:t>
            </w:r>
          </w:p>
        </w:tc>
        <w:tc>
          <w:tcPr>
            <w:tcW w:w="2160" w:type="dxa"/>
            <w:shd w:val="clear" w:color="auto" w:fill="D9D9D9"/>
          </w:tcPr>
          <w:p>
            <w:pPr>
              <w:jc w:val="center"/>
              <w:spacing w:before="40" w:after="40"/>
            </w:pPr>
            <w:r>
              <w:rPr>
                <w:rFonts w:ascii="Times New Roman" w:hAnsi="Times New Roman"/>
                <w:sz w:val="20"/>
                <w:b/>
              </w:rPr>
              <w:t xml:space="preserve">p (Wilcoxon)</w:t>
            </w:r>
          </w:p>
        </w:tc>
        <w:tc>
          <w:tcPr>
            <w:tcW w:w="1800" w:type="dxa"/>
            <w:shd w:val="clear" w:color="auto" w:fill="D9D9D9"/>
          </w:tcPr>
          <w:p>
            <w:pPr>
              <w:jc w:val="center"/>
              <w:spacing w:before="40" w:after="40"/>
            </w:pPr>
            <w:r>
              <w:rPr>
                <w:rFonts w:ascii="Times New Roman" w:hAnsi="Times New Roman"/>
                <w:sz w:val="20"/>
                <w:b/>
              </w:rPr>
              <w:t xml:space="preserve">Î”HV loss</w:t>
            </w:r>
          </w:p>
        </w:tc>
      </w:tr>
      <w:tr>
        <w:tc>
          <w:tcPr>
            <w:tcW w:w="2520" w:type="dxa"/>
          </w:tcPr>
          <w:p>
            <w:pPr>
              <w:jc w:val="left"/>
              <w:spacing w:before="40" w:after="40"/>
            </w:pPr>
            <w:r>
              <w:rPr>
                <w:rFonts w:ascii="Times New Roman" w:hAnsi="Times New Roman"/>
                <w:sz w:val="20"/>
              </w:rPr>
              <w:t xml:space="preserve">NSGA-II baseline</w:t>
            </w:r>
          </w:p>
        </w:tc>
        <w:tc>
          <w:tcPr>
            <w:tcW w:w="1800" w:type="dxa"/>
          </w:tcPr>
          <w:p>
            <w:pPr>
              <w:jc w:val="center"/>
              <w:spacing w:before="40" w:after="40"/>
            </w:pPr>
            <w:r>
              <w:rPr>
                <w:rFonts w:ascii="Times New Roman" w:hAnsi="Times New Roman"/>
                <w:sz w:val="20"/>
              </w:rPr>
              <w:t xml:space="preserve">0.7799</w:t>
            </w:r>
          </w:p>
        </w:tc>
        <w:tc>
          <w:tcPr>
            <w:tcW w:w="1800" w:type="dxa"/>
          </w:tcPr>
          <w:p>
            <w:pPr>
              <w:jc w:val="center"/>
              <w:spacing w:before="40" w:after="40"/>
            </w:pPr>
            <w:r>
              <w:rPr>
                <w:rFonts w:ascii="Times New Roman" w:hAnsi="Times New Roman"/>
                <w:sz w:val="20"/>
              </w:rPr>
              <w:t xml:space="preserve">0.000</w:t>
            </w:r>
          </w:p>
        </w:tc>
        <w:tc>
          <w:tcPr>
            <w:tcW w:w="2160" w:type="dxa"/>
          </w:tcPr>
          <w:p>
            <w:pPr>
              <w:jc w:val="center"/>
              <w:spacing w:before="40" w:after="40"/>
            </w:pPr>
            <w:r>
              <w:rPr>
                <w:rFonts w:ascii="Times New Roman" w:hAnsi="Times New Roman"/>
                <w:sz w:val="20"/>
              </w:rPr>
              <w:t xml:space="preserve">â€”</w:t>
            </w:r>
          </w:p>
        </w:tc>
        <w:tc>
          <w:tcPr>
            <w:tcW w:w="1800" w:type="dxa"/>
          </w:tcPr>
          <w:p>
            <w:pPr>
              <w:jc w:val="center"/>
              <w:spacing w:before="40" w:after="40"/>
            </w:pPr>
            <w:r>
              <w:rPr>
                <w:rFonts w:ascii="Times New Roman" w:hAnsi="Times New Roman"/>
                <w:sz w:val="20"/>
              </w:rPr>
              <w:t xml:space="preserve">â€”</w:t>
            </w:r>
          </w:p>
        </w:tc>
      </w:tr>
      <w:tr>
        <w:tc>
          <w:tcPr>
            <w:tcW w:w="2520" w:type="dxa"/>
          </w:tcPr>
          <w:p>
            <w:pPr>
              <w:jc w:val="left"/>
              <w:spacing w:before="40" w:after="40"/>
            </w:pPr>
            <w:r>
              <w:rPr>
                <w:rFonts w:ascii="Times New Roman" w:hAnsi="Times New Roman"/>
                <w:sz w:val="20"/>
                <w:b/>
              </w:rPr>
              <w:t xml:space="preserve">Full prompt</w:t>
            </w:r>
          </w:p>
        </w:tc>
        <w:tc>
          <w:tcPr>
            <w:tcW w:w="1800" w:type="dxa"/>
          </w:tcPr>
          <w:p>
            <w:pPr>
              <w:jc w:val="center"/>
              <w:spacing w:before="40" w:after="40"/>
            </w:pPr>
            <w:r>
              <w:rPr>
                <w:rFonts w:ascii="Times New Roman" w:hAnsi="Times New Roman"/>
                <w:sz w:val="20"/>
                <w:b/>
              </w:rPr>
              <w:t xml:space="preserve">0.8263</w:t>
            </w:r>
          </w:p>
        </w:tc>
        <w:tc>
          <w:tcPr>
            <w:tcW w:w="1800" w:type="dxa"/>
          </w:tcPr>
          <w:p>
            <w:pPr>
              <w:jc w:val="center"/>
              <w:spacing w:before="40" w:after="40"/>
            </w:pPr>
            <w:r>
              <w:rPr>
                <w:rFonts w:ascii="Times New Roman" w:hAnsi="Times New Roman"/>
                <w:sz w:val="20"/>
                <w:b/>
              </w:rPr>
              <w:t xml:space="preserve">+0.0464</w:t>
            </w:r>
          </w:p>
        </w:tc>
        <w:tc>
          <w:tcPr>
            <w:tcW w:w="2160" w:type="dxa"/>
          </w:tcPr>
          <w:p>
            <w:pPr>
              <w:jc w:val="center"/>
              <w:spacing w:before="40" w:after="40"/>
            </w:pPr>
            <w:r>
              <w:rPr>
                <w:rFonts w:ascii="Times New Roman" w:hAnsi="Times New Roman"/>
                <w:sz w:val="20"/>
                <w:b/>
              </w:rPr>
              <w:t xml:space="preserve">pÂ = 0.002Â (**)</w:t>
            </w:r>
          </w:p>
        </w:tc>
        <w:tc>
          <w:tcPr>
            <w:tcW w:w="1800" w:type="dxa"/>
          </w:tcPr>
          <w:p>
            <w:pPr>
              <w:jc w:val="center"/>
              <w:spacing w:before="40" w:after="40"/>
            </w:pPr>
            <w:r>
              <w:rPr>
                <w:rFonts w:ascii="Times New Roman" w:hAnsi="Times New Roman"/>
                <w:sz w:val="20"/>
                <w:b/>
              </w:rPr>
              <w:t xml:space="preserve">â€”</w:t>
            </w:r>
          </w:p>
        </w:tc>
      </w:tr>
      <w:tr>
        <w:tc>
          <w:tcPr>
            <w:tcW w:w="2520" w:type="dxa"/>
          </w:tcPr>
          <w:p>
            <w:pPr>
              <w:jc w:val="left"/>
              <w:spacing w:before="40" w:after="40"/>
            </w:pPr>
            <w:r>
              <w:rPr>
                <w:rFonts w:ascii="Times New Roman" w:hAnsi="Times New Roman"/>
                <w:sz w:val="20"/>
              </w:rPr>
              <w:t xml:space="preserve">w/o Elite solutions</w:t>
            </w:r>
          </w:p>
        </w:tc>
        <w:tc>
          <w:tcPr>
            <w:tcW w:w="1800" w:type="dxa"/>
          </w:tcPr>
          <w:p>
            <w:pPr>
              <w:jc w:val="center"/>
              <w:spacing w:before="40" w:after="40"/>
            </w:pPr>
            <w:r>
              <w:rPr>
                <w:rFonts w:ascii="Times New Roman" w:hAnsi="Times New Roman"/>
                <w:sz w:val="20"/>
              </w:rPr>
              <w:t xml:space="preserve">0.8158</w:t>
            </w:r>
          </w:p>
        </w:tc>
        <w:tc>
          <w:tcPr>
            <w:tcW w:w="1800" w:type="dxa"/>
          </w:tcPr>
          <w:p>
            <w:pPr>
              <w:jc w:val="center"/>
              <w:spacing w:before="40" w:after="40"/>
            </w:pPr>
            <w:r>
              <w:rPr>
                <w:rFonts w:ascii="Times New Roman" w:hAnsi="Times New Roman"/>
                <w:sz w:val="20"/>
              </w:rPr>
              <w:t xml:space="preserve">+0.0360</w:t>
            </w:r>
          </w:p>
        </w:tc>
        <w:tc>
          <w:tcPr>
            <w:tcW w:w="2160" w:type="dxa"/>
          </w:tcPr>
          <w:p>
            <w:pPr>
              <w:jc w:val="center"/>
              <w:spacing w:before="40" w:after="40"/>
            </w:pPr>
            <w:r>
              <w:rPr>
                <w:rFonts w:ascii="Times New Roman" w:hAnsi="Times New Roman"/>
                <w:sz w:val="20"/>
              </w:rPr>
              <w:t xml:space="preserve">pÂ = 0.028Â (*)</w:t>
            </w:r>
          </w:p>
        </w:tc>
        <w:tc>
          <w:tcPr>
            <w:tcW w:w="1800" w:type="dxa"/>
          </w:tcPr>
          <w:p>
            <w:pPr>
              <w:jc w:val="center"/>
              <w:spacing w:before="40" w:after="40"/>
            </w:pPr>
            <w:r>
              <w:rPr>
                <w:rFonts w:ascii="Times New Roman" w:hAnsi="Times New Roman"/>
                <w:sz w:val="20"/>
              </w:rPr>
              <w:t xml:space="preserve">âˆ’0.0104</w:t>
            </w:r>
          </w:p>
        </w:tc>
      </w:tr>
      <w:tr>
        <w:tc>
          <w:tcPr>
            <w:tcW w:w="2520" w:type="dxa"/>
          </w:tcPr>
          <w:p>
            <w:pPr>
              <w:jc w:val="left"/>
              <w:spacing w:before="40" w:after="40"/>
            </w:pPr>
            <w:r>
              <w:rPr>
                <w:rFonts w:ascii="Times New Roman" w:hAnsi="Times New Roman"/>
                <w:sz w:val="20"/>
              </w:rPr>
              <w:t xml:space="preserve">w/o Knowledge Table</w:t>
            </w:r>
          </w:p>
        </w:tc>
        <w:tc>
          <w:tcPr>
            <w:tcW w:w="1800" w:type="dxa"/>
          </w:tcPr>
          <w:p>
            <w:pPr>
              <w:jc w:val="center"/>
              <w:spacing w:before="40" w:after="40"/>
            </w:pPr>
            <w:r>
              <w:rPr>
                <w:rFonts w:ascii="Times New Roman" w:hAnsi="Times New Roman"/>
                <w:sz w:val="20"/>
              </w:rPr>
              <w:t xml:space="preserve">0.8116</w:t>
            </w:r>
          </w:p>
        </w:tc>
        <w:tc>
          <w:tcPr>
            <w:tcW w:w="1800" w:type="dxa"/>
          </w:tcPr>
          <w:p>
            <w:pPr>
              <w:jc w:val="center"/>
              <w:spacing w:before="40" w:after="40"/>
            </w:pPr>
            <w:r>
              <w:rPr>
                <w:rFonts w:ascii="Times New Roman" w:hAnsi="Times New Roman"/>
                <w:sz w:val="20"/>
              </w:rPr>
              <w:t xml:space="preserve">+0.0318</w:t>
            </w:r>
          </w:p>
        </w:tc>
        <w:tc>
          <w:tcPr>
            <w:tcW w:w="2160" w:type="dxa"/>
          </w:tcPr>
          <w:p>
            <w:pPr>
              <w:jc w:val="center"/>
              <w:spacing w:before="40" w:after="40"/>
            </w:pPr>
            <w:r>
              <w:rPr>
                <w:rFonts w:ascii="Times New Roman" w:hAnsi="Times New Roman"/>
                <w:sz w:val="20"/>
              </w:rPr>
              <w:t xml:space="preserve">pÂ = 0.064Â (ns)</w:t>
            </w:r>
          </w:p>
        </w:tc>
        <w:tc>
          <w:tcPr>
            <w:tcW w:w="1800" w:type="dxa"/>
          </w:tcPr>
          <w:p>
            <w:pPr>
              <w:jc w:val="center"/>
              <w:spacing w:before="40" w:after="40"/>
            </w:pPr>
            <w:r>
              <w:rPr>
                <w:rFonts w:ascii="Times New Roman" w:hAnsi="Times New Roman"/>
                <w:sz w:val="20"/>
              </w:rPr>
              <w:t xml:space="preserve">âˆ’0.0146</w:t>
            </w:r>
          </w:p>
        </w:tc>
      </w:tr>
    </w:tbl>
    <w:p>
      <w:pPr>
        <w:spacing w:before="0" w:after="80"/>
      </w:pPr>
      <w:r>
        <w:rPr>
          <w:rFonts w:ascii="Times New Roman" w:hAnsi="Times New Roman"/>
          <w:sz w:val="24"/>
        </w:rPr>
        <w:t xml:space="preserve"/>
      </w:r>
    </w:p>
    <w:p>
      <w:pPr>
        <w:spacing w:before="0" w:after="160"/>
      </w:pPr>
      <w:r>
        <w:rPr>
          <w:rFonts w:ascii="Times New Roman" w:hAnsi="Times New Roman"/>
          <w:sz w:val="24"/>
        </w:rPr>
        <w:t xml:space="preserve">Removing Elite solutions reduces mean Î”HV from 0.046 to 0.036 (p = 0.028, *), a loss of 0.010. Removing the Knowledge Table is more damaging: mean Î”HV drops to 0.032 (p = 0.064, ns), a loss of 0.015 and no longer statistically significant at the 0.05 level. Domain knowledge injection is the more critical component for reliable hypervolume improvement.</w:t>
      </w:r>
    </w:p>
    <w:p>
      <w:pPr>
        <w:spacing w:before="0" w:after="160"/>
      </w:pPr>
      <w:r>
        <w:rPr>
          <w:rFonts w:ascii="Times New Roman" w:hAnsi="Times New Roman"/>
          <w:sz w:val="24"/>
        </w:rPr>
        <w:t xml:space="preserve"/>
      </w:r>
    </w:p>
    <w:p>
      <w:pPr>
        <w:spacing w:before="120" w:after="40"/>
      </w:pPr>
      <w:r>
        <w:rPr>
          <w:rFonts w:ascii="Times New Roman" w:hAnsi="Times New Roman"/>
          <w:sz w:val="24"/>
        </w:rPr>
        <w:t xml:space="preserve">TableÂ 6. Pareto-front material composition under ablation conditions (mean per-replicate binder fractions; w/b = water-to-binder ratio). Significance markers: paired t-test vs. Full prompt (*** pÂ &lt;Â 0.001, ** pÂ &lt;Â 0.01, * pÂ &lt;Â 0.05, ns = not significant). SC = slag cement, FA = fly ash, PC = Portland cement.</w:t>
      </w:r>
    </w:p>
    <w:tbl>
      <w:tblPr>
        <w:tblW w:w="9720" w:type="dxa"/>
        <w:tblBorders>
          <w:top w:val="single" w:sz="4" w:color="000000"/>
          <w:bottom w:val="single" w:sz="4" w:color="000000"/>
          <w:left w:val="single" w:sz="4" w:color="000000"/>
          <w:right w:val="single" w:sz="4" w:color="000000"/>
          <w:insideH w:val="single" w:sz="4" w:color="000000"/>
          <w:insideV w:val="single" w:sz="4" w:color="000000"/>
        </w:tblBorders>
      </w:tblPr>
      <w:tblGrid>
        <w:gridCol w:w="2520"/>
        <w:gridCol w:w="1800"/>
        <w:gridCol w:w="1800"/>
        <w:gridCol w:w="1800"/>
        <w:gridCol w:w="1800"/>
      </w:tblGrid>
      <w:tr>
        <w:trPr>
          <w:tblHeader/>
        </w:trPr>
        <w:tc>
          <w:tcPr>
            <w:tcW w:w="2520" w:type="dxa"/>
            <w:shd w:val="clear" w:color="auto" w:fill="D9D9D9"/>
          </w:tcPr>
          <w:p>
            <w:pPr>
              <w:jc w:val="center"/>
              <w:spacing w:before="40" w:after="40"/>
            </w:pPr>
            <w:r>
              <w:rPr>
                <w:rFonts w:ascii="Times New Roman" w:hAnsi="Times New Roman"/>
                <w:sz w:val="20"/>
                <w:b/>
              </w:rPr>
              <w:t xml:space="preserve">Prompt condition</w:t>
            </w:r>
          </w:p>
        </w:tc>
        <w:tc>
          <w:tcPr>
            <w:tcW w:w="1800" w:type="dxa"/>
            <w:shd w:val="clear" w:color="auto" w:fill="D9D9D9"/>
          </w:tcPr>
          <w:p>
            <w:pPr>
              <w:jc w:val="center"/>
              <w:spacing w:before="40" w:after="40"/>
            </w:pPr>
            <w:r>
              <w:rPr>
                <w:rFonts w:ascii="Times New Roman" w:hAnsi="Times New Roman"/>
                <w:sz w:val="20"/>
                <w:b/>
              </w:rPr>
              <w:t xml:space="preserve">SC (%)</w:t>
            </w:r>
          </w:p>
        </w:tc>
        <w:tc>
          <w:tcPr>
            <w:tcW w:w="1800" w:type="dxa"/>
            <w:shd w:val="clear" w:color="auto" w:fill="D9D9D9"/>
          </w:tcPr>
          <w:p>
            <w:pPr>
              <w:jc w:val="center"/>
              <w:spacing w:before="40" w:after="40"/>
            </w:pPr>
            <w:r>
              <w:rPr>
                <w:rFonts w:ascii="Times New Roman" w:hAnsi="Times New Roman"/>
                <w:sz w:val="20"/>
                <w:b/>
              </w:rPr>
              <w:t xml:space="preserve">FA (%)</w:t>
            </w:r>
          </w:p>
        </w:tc>
        <w:tc>
          <w:tcPr>
            <w:tcW w:w="1800" w:type="dxa"/>
            <w:shd w:val="clear" w:color="auto" w:fill="D9D9D9"/>
          </w:tcPr>
          <w:p>
            <w:pPr>
              <w:jc w:val="center"/>
              <w:spacing w:before="40" w:after="40"/>
            </w:pPr>
            <w:r>
              <w:rPr>
                <w:rFonts w:ascii="Times New Roman" w:hAnsi="Times New Roman"/>
                <w:sz w:val="20"/>
                <w:b/>
              </w:rPr>
              <w:t xml:space="preserve">PC (%)</w:t>
            </w:r>
          </w:p>
        </w:tc>
        <w:tc>
          <w:tcPr>
            <w:tcW w:w="1800" w:type="dxa"/>
            <w:shd w:val="clear" w:color="auto" w:fill="D9D9D9"/>
          </w:tcPr>
          <w:p>
            <w:pPr>
              <w:jc w:val="center"/>
              <w:spacing w:before="40" w:after="40"/>
            </w:pPr>
            <w:r>
              <w:rPr>
                <w:rFonts w:ascii="Times New Roman" w:hAnsi="Times New Roman"/>
                <w:sz w:val="20"/>
                <w:b/>
              </w:rPr>
              <w:t xml:space="preserve">w/b</w:t>
            </w:r>
          </w:p>
        </w:tc>
      </w:tr>
      <w:tr>
        <w:tc>
          <w:tcPr>
            <w:tcW w:w="2520" w:type="dxa"/>
          </w:tcPr>
          <w:p>
            <w:pPr>
              <w:jc w:val="left"/>
              <w:spacing w:before="40" w:after="40"/>
            </w:pPr>
            <w:r>
              <w:rPr>
                <w:rFonts w:ascii="Times New Roman" w:hAnsi="Times New Roman"/>
                <w:sz w:val="20"/>
              </w:rPr>
              <w:t xml:space="preserve">NSGA-II</w:t>
            </w:r>
          </w:p>
        </w:tc>
        <w:tc>
          <w:tcPr>
            <w:tcW w:w="1800" w:type="dxa"/>
          </w:tcPr>
          <w:p>
            <w:pPr>
              <w:jc w:val="center"/>
              <w:spacing w:before="40" w:after="40"/>
            </w:pPr>
            <w:r>
              <w:rPr>
                <w:rFonts w:ascii="Times New Roman" w:hAnsi="Times New Roman"/>
                <w:sz w:val="20"/>
              </w:rPr>
              <w:t xml:space="preserve">60.2</w:t>
            </w:r>
          </w:p>
        </w:tc>
        <w:tc>
          <w:tcPr>
            <w:tcW w:w="1800" w:type="dxa"/>
          </w:tcPr>
          <w:p>
            <w:pPr>
              <w:jc w:val="center"/>
              <w:spacing w:before="40" w:after="40"/>
            </w:pPr>
            <w:r>
              <w:rPr>
                <w:rFonts w:ascii="Times New Roman" w:hAnsi="Times New Roman"/>
                <w:sz w:val="20"/>
              </w:rPr>
              <w:t xml:space="preserve">11.1</w:t>
            </w:r>
          </w:p>
        </w:tc>
        <w:tc>
          <w:tcPr>
            <w:tcW w:w="1800" w:type="dxa"/>
          </w:tcPr>
          <w:p>
            <w:pPr>
              <w:jc w:val="center"/>
              <w:spacing w:before="40" w:after="40"/>
            </w:pPr>
            <w:r>
              <w:rPr>
                <w:rFonts w:ascii="Times New Roman" w:hAnsi="Times New Roman"/>
                <w:sz w:val="20"/>
              </w:rPr>
              <w:t xml:space="preserve">28.7</w:t>
            </w:r>
          </w:p>
        </w:tc>
        <w:tc>
          <w:tcPr>
            <w:tcW w:w="1800" w:type="dxa"/>
          </w:tcPr>
          <w:p>
            <w:pPr>
              <w:jc w:val="center"/>
              <w:spacing w:before="40" w:after="40"/>
            </w:pPr>
            <w:r>
              <w:rPr>
                <w:rFonts w:ascii="Times New Roman" w:hAnsi="Times New Roman"/>
                <w:sz w:val="20"/>
              </w:rPr>
              <w:t xml:space="preserve">0.350</w:t>
            </w:r>
          </w:p>
        </w:tc>
      </w:tr>
      <w:tr>
        <w:tc>
          <w:tcPr>
            <w:tcW w:w="2520" w:type="dxa"/>
          </w:tcPr>
          <w:p>
            <w:pPr>
              <w:jc w:val="left"/>
              <w:spacing w:before="40" w:after="40"/>
            </w:pPr>
            <w:r>
              <w:rPr>
                <w:rFonts w:ascii="Times New Roman" w:hAnsi="Times New Roman"/>
                <w:sz w:val="20"/>
                <w:b/>
              </w:rPr>
              <w:t xml:space="preserve">Full prompt</w:t>
            </w:r>
          </w:p>
        </w:tc>
        <w:tc>
          <w:tcPr>
            <w:tcW w:w="1800" w:type="dxa"/>
          </w:tcPr>
          <w:p>
            <w:pPr>
              <w:jc w:val="center"/>
              <w:spacing w:before="40" w:after="40"/>
            </w:pPr>
            <w:r>
              <w:rPr>
                <w:rFonts w:ascii="Times New Roman" w:hAnsi="Times New Roman"/>
                <w:sz w:val="20"/>
                <w:b/>
              </w:rPr>
              <w:t xml:space="preserve">58.8</w:t>
            </w:r>
          </w:p>
        </w:tc>
        <w:tc>
          <w:tcPr>
            <w:tcW w:w="1800" w:type="dxa"/>
          </w:tcPr>
          <w:p>
            <w:pPr>
              <w:jc w:val="center"/>
              <w:spacing w:before="40" w:after="40"/>
            </w:pPr>
            <w:r>
              <w:rPr>
                <w:rFonts w:ascii="Times New Roman" w:hAnsi="Times New Roman"/>
                <w:sz w:val="20"/>
                <w:b/>
              </w:rPr>
              <w:t xml:space="preserve">11.7</w:t>
            </w:r>
          </w:p>
        </w:tc>
        <w:tc>
          <w:tcPr>
            <w:tcW w:w="1800" w:type="dxa"/>
          </w:tcPr>
          <w:p>
            <w:pPr>
              <w:jc w:val="center"/>
              <w:spacing w:before="40" w:after="40"/>
            </w:pPr>
            <w:r>
              <w:rPr>
                <w:rFonts w:ascii="Times New Roman" w:hAnsi="Times New Roman"/>
                <w:sz w:val="20"/>
                <w:b/>
              </w:rPr>
              <w:t xml:space="preserve">29.5</w:t>
            </w:r>
          </w:p>
        </w:tc>
        <w:tc>
          <w:tcPr>
            <w:tcW w:w="1800" w:type="dxa"/>
          </w:tcPr>
          <w:p>
            <w:pPr>
              <w:jc w:val="center"/>
              <w:spacing w:before="40" w:after="40"/>
            </w:pPr>
            <w:r>
              <w:rPr>
                <w:rFonts w:ascii="Times New Roman" w:hAnsi="Times New Roman"/>
                <w:sz w:val="20"/>
                <w:b/>
              </w:rPr>
              <w:t xml:space="preserve">0.334</w:t>
            </w:r>
          </w:p>
        </w:tc>
      </w:tr>
      <w:tr>
        <w:tc>
          <w:tcPr>
            <w:tcW w:w="2520" w:type="dxa"/>
          </w:tcPr>
          <w:p>
            <w:pPr>
              <w:jc w:val="left"/>
              <w:spacing w:before="40" w:after="40"/>
            </w:pPr>
            <w:r>
              <w:rPr>
                <w:rFonts w:ascii="Times New Roman" w:hAnsi="Times New Roman"/>
                <w:sz w:val="20"/>
              </w:rPr>
              <w:t xml:space="preserve">w/o Knowledge Table</w:t>
            </w:r>
          </w:p>
        </w:tc>
        <w:tc>
          <w:tcPr>
            <w:tcW w:w="1800" w:type="dxa"/>
          </w:tcPr>
          <w:p>
            <w:pPr>
              <w:jc w:val="center"/>
              <w:spacing w:before="40" w:after="40"/>
            </w:pPr>
            <w:r>
              <w:rPr>
                <w:rFonts w:ascii="Times New Roman" w:hAnsi="Times New Roman"/>
                <w:sz w:val="20"/>
              </w:rPr>
              <w:t xml:space="preserve">53.0 (***)</w:t>
            </w:r>
          </w:p>
        </w:tc>
        <w:tc>
          <w:tcPr>
            <w:tcW w:w="1800" w:type="dxa"/>
          </w:tcPr>
          <w:p>
            <w:pPr>
              <w:jc w:val="center"/>
              <w:spacing w:before="40" w:after="40"/>
            </w:pPr>
            <w:r>
              <w:rPr>
                <w:rFonts w:ascii="Times New Roman" w:hAnsi="Times New Roman"/>
                <w:sz w:val="20"/>
              </w:rPr>
              <w:t xml:space="preserve">16.4 (**)</w:t>
            </w:r>
          </w:p>
        </w:tc>
        <w:tc>
          <w:tcPr>
            <w:tcW w:w="1800" w:type="dxa"/>
          </w:tcPr>
          <w:p>
            <w:pPr>
              <w:jc w:val="center"/>
              <w:spacing w:before="40" w:after="40"/>
            </w:pPr>
            <w:r>
              <w:rPr>
                <w:rFonts w:ascii="Times New Roman" w:hAnsi="Times New Roman"/>
                <w:sz w:val="20"/>
              </w:rPr>
              <w:t xml:space="preserve">30.6 (***)</w:t>
            </w:r>
          </w:p>
        </w:tc>
        <w:tc>
          <w:tcPr>
            <w:tcW w:w="1800" w:type="dxa"/>
          </w:tcPr>
          <w:p>
            <w:pPr>
              <w:jc w:val="center"/>
              <w:spacing w:before="40" w:after="40"/>
            </w:pPr>
            <w:r>
              <w:rPr>
                <w:rFonts w:ascii="Times New Roman" w:hAnsi="Times New Roman"/>
                <w:sz w:val="20"/>
              </w:rPr>
              <w:t xml:space="preserve">0.355 (**)</w:t>
            </w:r>
          </w:p>
        </w:tc>
      </w:tr>
      <w:tr>
        <w:tc>
          <w:tcPr>
            <w:tcW w:w="2520" w:type="dxa"/>
          </w:tcPr>
          <w:p>
            <w:pPr>
              <w:jc w:val="left"/>
              <w:spacing w:before="40" w:after="40"/>
            </w:pPr>
            <w:r>
              <w:rPr>
                <w:rFonts w:ascii="Times New Roman" w:hAnsi="Times New Roman"/>
                <w:sz w:val="20"/>
              </w:rPr>
              <w:t xml:space="preserve">w/o Elite</w:t>
            </w:r>
          </w:p>
        </w:tc>
        <w:tc>
          <w:tcPr>
            <w:tcW w:w="1800" w:type="dxa"/>
          </w:tcPr>
          <w:p>
            <w:pPr>
              <w:jc w:val="center"/>
              <w:spacing w:before="40" w:after="40"/>
            </w:pPr>
            <w:r>
              <w:rPr>
                <w:rFonts w:ascii="Times New Roman" w:hAnsi="Times New Roman"/>
                <w:sz w:val="20"/>
              </w:rPr>
              <w:t xml:space="preserve">58.0 (ns)</w:t>
            </w:r>
          </w:p>
        </w:tc>
        <w:tc>
          <w:tcPr>
            <w:tcW w:w="1800" w:type="dxa"/>
          </w:tcPr>
          <w:p>
            <w:pPr>
              <w:jc w:val="center"/>
              <w:spacing w:before="40" w:after="40"/>
            </w:pPr>
            <w:r>
              <w:rPr>
                <w:rFonts w:ascii="Times New Roman" w:hAnsi="Times New Roman"/>
                <w:sz w:val="20"/>
              </w:rPr>
              <w:t xml:space="preserve">11.5 (ns)</w:t>
            </w:r>
          </w:p>
        </w:tc>
        <w:tc>
          <w:tcPr>
            <w:tcW w:w="1800" w:type="dxa"/>
          </w:tcPr>
          <w:p>
            <w:pPr>
              <w:jc w:val="center"/>
              <w:spacing w:before="40" w:after="40"/>
            </w:pPr>
            <w:r>
              <w:rPr>
                <w:rFonts w:ascii="Times New Roman" w:hAnsi="Times New Roman"/>
                <w:sz w:val="20"/>
              </w:rPr>
              <w:t xml:space="preserve">30.4 (*)</w:t>
            </w:r>
          </w:p>
        </w:tc>
        <w:tc>
          <w:tcPr>
            <w:tcW w:w="1800" w:type="dxa"/>
          </w:tcPr>
          <w:p>
            <w:pPr>
              <w:jc w:val="center"/>
              <w:spacing w:before="40" w:after="40"/>
            </w:pPr>
            <w:r>
              <w:rPr>
                <w:rFonts w:ascii="Times New Roman" w:hAnsi="Times New Roman"/>
                <w:sz w:val="20"/>
              </w:rPr>
              <w:t xml:space="preserve">0.342 (ns)</w:t>
            </w:r>
          </w:p>
        </w:tc>
      </w:tr>
    </w:tbl>
    <w:p>
      <w:pPr>
        <w:spacing w:before="0" w:after="80"/>
      </w:pPr>
      <w:r>
        <w:rPr>
          <w:rFonts w:ascii="Times New Roman" w:hAnsi="Times New Roman"/>
          <w:sz w:val="24"/>
        </w:rPr>
        <w:t xml:space="preserve"/>
      </w:r>
    </w:p>
    <w:p>
      <w:pPr>
        <w:spacing w:before="0" w:after="160"/>
      </w:pPr>
      <w:r>
        <w:rPr>
          <w:rFonts w:ascii="Times New Roman" w:hAnsi="Times New Roman"/>
          <w:sz w:val="24"/>
        </w:rPr>
        <w:t xml:space="preserve">Removing the Knowledge Table is the only condition that significantly shifts binder strategy: SC% drops 5.8Â percentage points (***), FA% rises 4.7Â pp (**), and w/b increases 0.021 (**). The Knowledge Table encodes a two-path optimization strategy (high slag for low GWP; low w/b for high strength), which the LLM cannot infer from objectives or constraints alone. Removing Elite solutions leaves the binder composition largely unchanged (most comparisons non-significant), confirming that few-shot examples guide proposal competitiveness rather than mix-design direction.</w:t>
      </w:r>
    </w:p>
    <w:p>
      <w:pPr>
        <w:spacing w:before="0" w:after="160"/>
      </w:pPr>
      <w:r>
        <w:rPr>
          <w:rFonts w:ascii="Times New Roman" w:hAnsi="Times New Roman"/>
          <w:sz w:val="24"/>
        </w:rPr>
        <w:t xml:space="preserve"/>
      </w:r>
    </w:p>
    <w:p>
      <w:pPr>
        <w:spacing w:before="120" w:after="40"/>
      </w:pPr>
      <w:r>
        <w:rPr>
          <w:rFonts w:ascii="Times New Roman" w:hAnsi="Times New Roman"/>
          <w:sz w:val="24"/>
        </w:rPr>
        <w:t xml:space="preserve">TableÂ 7. Effect of Elite solutions on LLM proposal quality and Pareto front diversity (30 paired replicates; Wilcoxon signed-rank test). Useful = feasible and non-dominated.</w:t>
      </w:r>
    </w:p>
    <w:tbl>
      <w:tblPr>
        <w:tblW w:w="10440" w:type="dxa"/>
        <w:tblBorders>
          <w:top w:val="single" w:sz="4" w:color="000000"/>
          <w:bottom w:val="single" w:sz="4" w:color="000000"/>
          <w:left w:val="single" w:sz="4" w:color="000000"/>
          <w:right w:val="single" w:sz="4" w:color="000000"/>
          <w:insideH w:val="single" w:sz="4" w:color="000000"/>
          <w:insideV w:val="single" w:sz="4" w:color="000000"/>
        </w:tblBorders>
      </w:tblPr>
      <w:tblGrid>
        <w:gridCol w:w="3600"/>
        <w:gridCol w:w="1800"/>
        <w:gridCol w:w="1800"/>
        <w:gridCol w:w="1440"/>
        <w:gridCol w:w="1800"/>
      </w:tblGrid>
      <w:tr>
        <w:trPr>
          <w:tblHeader/>
        </w:trPr>
        <w:tc>
          <w:tcPr>
            <w:tcW w:w="3600" w:type="dxa"/>
            <w:shd w:val="clear" w:color="auto" w:fill="D9D9D9"/>
          </w:tcPr>
          <w:p>
            <w:pPr>
              <w:jc w:val="center"/>
              <w:spacing w:before="40" w:after="40"/>
            </w:pPr>
            <w:r>
              <w:rPr>
                <w:rFonts w:ascii="Times New Roman" w:hAnsi="Times New Roman"/>
                <w:sz w:val="20"/>
                <w:b/>
              </w:rPr>
              <w:t xml:space="preserve">Metric</w:t>
            </w:r>
          </w:p>
        </w:tc>
        <w:tc>
          <w:tcPr>
            <w:tcW w:w="1800" w:type="dxa"/>
            <w:shd w:val="clear" w:color="auto" w:fill="D9D9D9"/>
          </w:tcPr>
          <w:p>
            <w:pPr>
              <w:jc w:val="center"/>
              <w:spacing w:before="40" w:after="40"/>
            </w:pPr>
            <w:r>
              <w:rPr>
                <w:rFonts w:ascii="Times New Roman" w:hAnsi="Times New Roman"/>
                <w:sz w:val="20"/>
                <w:b/>
              </w:rPr>
              <w:t xml:space="preserve">Full prompt</w:t>
            </w:r>
          </w:p>
        </w:tc>
        <w:tc>
          <w:tcPr>
            <w:tcW w:w="1800" w:type="dxa"/>
            <w:shd w:val="clear" w:color="auto" w:fill="D9D9D9"/>
          </w:tcPr>
          <w:p>
            <w:pPr>
              <w:jc w:val="center"/>
              <w:spacing w:before="40" w:after="40"/>
            </w:pPr>
            <w:r>
              <w:rPr>
                <w:rFonts w:ascii="Times New Roman" w:hAnsi="Times New Roman"/>
                <w:sz w:val="20"/>
                <w:b/>
              </w:rPr>
              <w:t xml:space="preserve">w/o Elite</w:t>
            </w:r>
          </w:p>
        </w:tc>
        <w:tc>
          <w:tcPr>
            <w:tcW w:w="1440" w:type="dxa"/>
            <w:shd w:val="clear" w:color="auto" w:fill="D9D9D9"/>
          </w:tcPr>
          <w:p>
            <w:pPr>
              <w:jc w:val="center"/>
              <w:spacing w:before="40" w:after="40"/>
            </w:pPr>
            <w:r>
              <w:rPr>
                <w:rFonts w:ascii="Times New Roman" w:hAnsi="Times New Roman"/>
                <w:sz w:val="20"/>
                <w:b/>
              </w:rPr>
              <w:t xml:space="preserve">Î”</w:t>
            </w:r>
          </w:p>
        </w:tc>
        <w:tc>
          <w:tcPr>
            <w:tcW w:w="1800" w:type="dxa"/>
            <w:shd w:val="clear" w:color="auto" w:fill="D9D9D9"/>
          </w:tcPr>
          <w:p>
            <w:pPr>
              <w:jc w:val="center"/>
              <w:spacing w:before="40" w:after="40"/>
            </w:pPr>
            <w:r>
              <w:rPr>
                <w:rFonts w:ascii="Times New Roman" w:hAnsi="Times New Roman"/>
                <w:sz w:val="20"/>
                <w:b/>
              </w:rPr>
              <w:t xml:space="preserve">p</w:t>
            </w:r>
          </w:p>
        </w:tc>
      </w:tr>
      <w:tr>
        <w:tc>
          <w:tcPr>
            <w:tcW w:w="3600" w:type="dxa"/>
          </w:tcPr>
          <w:p>
            <w:pPr>
              <w:jc w:val="left"/>
              <w:spacing w:before="40" w:after="40"/>
            </w:pPr>
            <w:r>
              <w:rPr>
                <w:rFonts w:ascii="Times New Roman" w:hAnsi="Times New Roman"/>
                <w:sz w:val="20"/>
              </w:rPr>
              <w:t xml:space="preserve">Fraction of useful LLM proposals</w:t>
            </w:r>
          </w:p>
        </w:tc>
        <w:tc>
          <w:tcPr>
            <w:tcW w:w="1800" w:type="dxa"/>
          </w:tcPr>
          <w:p>
            <w:pPr>
              <w:jc w:val="center"/>
              <w:spacing w:before="40" w:after="40"/>
            </w:pPr>
            <w:r>
              <w:rPr>
                <w:rFonts w:ascii="Times New Roman" w:hAnsi="Times New Roman"/>
                <w:sz w:val="20"/>
              </w:rPr>
              <w:t xml:space="preserve">13.8%</w:t>
            </w:r>
          </w:p>
        </w:tc>
        <w:tc>
          <w:tcPr>
            <w:tcW w:w="1800" w:type="dxa"/>
          </w:tcPr>
          <w:p>
            <w:pPr>
              <w:jc w:val="center"/>
              <w:spacing w:before="40" w:after="40"/>
            </w:pPr>
            <w:r>
              <w:rPr>
                <w:rFonts w:ascii="Times New Roman" w:hAnsi="Times New Roman"/>
                <w:sz w:val="20"/>
              </w:rPr>
              <w:t xml:space="preserve">0.59%</w:t>
            </w:r>
          </w:p>
        </w:tc>
        <w:tc>
          <w:tcPr>
            <w:tcW w:w="1440" w:type="dxa"/>
          </w:tcPr>
          <w:p>
            <w:pPr>
              <w:jc w:val="center"/>
              <w:spacing w:before="40" w:after="40"/>
            </w:pPr>
            <w:r>
              <w:rPr>
                <w:rFonts w:ascii="Times New Roman" w:hAnsi="Times New Roman"/>
                <w:sz w:val="20"/>
              </w:rPr>
              <w:t xml:space="preserve">-13.23Â pp</w:t>
            </w:r>
          </w:p>
        </w:tc>
        <w:tc>
          <w:tcPr>
            <w:tcW w:w="1800" w:type="dxa"/>
          </w:tcPr>
          <w:p>
            <w:pPr>
              <w:jc w:val="center"/>
              <w:spacing w:before="40" w:after="40"/>
            </w:pPr>
            <w:r>
              <w:rPr>
                <w:rFonts w:ascii="Times New Roman" w:hAnsi="Times New Roman"/>
                <w:sz w:val="20"/>
              </w:rPr>
              <w:t xml:space="preserve">pÂ &lt; 0.001Â (***)</w:t>
            </w:r>
          </w:p>
        </w:tc>
      </w:tr>
      <w:tr>
        <w:tc>
          <w:tcPr>
            <w:tcW w:w="3600" w:type="dxa"/>
          </w:tcPr>
          <w:p>
            <w:pPr>
              <w:jc w:val="left"/>
              <w:spacing w:before="40" w:after="40"/>
            </w:pPr>
            <w:r>
              <w:rPr>
                <w:rFonts w:ascii="Times New Roman" w:hAnsi="Times New Roman"/>
                <w:sz w:val="20"/>
              </w:rPr>
              <w:t xml:space="preserve">Pareto front diversity</w:t>
            </w:r>
          </w:p>
        </w:tc>
        <w:tc>
          <w:tcPr>
            <w:tcW w:w="1800" w:type="dxa"/>
          </w:tcPr>
          <w:p>
            <w:pPr>
              <w:jc w:val="center"/>
              <w:spacing w:before="40" w:after="40"/>
            </w:pPr>
            <w:r>
              <w:rPr>
                <w:rFonts w:ascii="Times New Roman" w:hAnsi="Times New Roman"/>
                <w:sz w:val="20"/>
              </w:rPr>
              <w:t xml:space="preserve">0.198</w:t>
            </w:r>
          </w:p>
        </w:tc>
        <w:tc>
          <w:tcPr>
            <w:tcW w:w="1800" w:type="dxa"/>
          </w:tcPr>
          <w:p>
            <w:pPr>
              <w:jc w:val="center"/>
              <w:spacing w:before="40" w:after="40"/>
            </w:pPr>
            <w:r>
              <w:rPr>
                <w:rFonts w:ascii="Times New Roman" w:hAnsi="Times New Roman"/>
                <w:sz w:val="20"/>
              </w:rPr>
              <w:t xml:space="preserve">0.202</w:t>
            </w:r>
          </w:p>
        </w:tc>
        <w:tc>
          <w:tcPr>
            <w:tcW w:w="1440" w:type="dxa"/>
          </w:tcPr>
          <w:p>
            <w:pPr>
              <w:jc w:val="center"/>
              <w:spacing w:before="40" w:after="40"/>
            </w:pPr>
            <w:r>
              <w:rPr>
                <w:rFonts w:ascii="Times New Roman" w:hAnsi="Times New Roman"/>
                <w:sz w:val="20"/>
              </w:rPr>
              <w:t xml:space="preserve">+0.005</w:t>
            </w:r>
          </w:p>
        </w:tc>
        <w:tc>
          <w:tcPr>
            <w:tcW w:w="1800" w:type="dxa"/>
          </w:tcPr>
          <w:p>
            <w:pPr>
              <w:jc w:val="center"/>
              <w:spacing w:before="40" w:after="40"/>
            </w:pPr>
            <w:r>
              <w:rPr>
                <w:rFonts w:ascii="Times New Roman" w:hAnsi="Times New Roman"/>
                <w:sz w:val="20"/>
              </w:rPr>
              <w:t xml:space="preserve">pÂ = 0.299Â (ns)</w:t>
            </w:r>
          </w:p>
        </w:tc>
      </w:tr>
    </w:tbl>
    <w:p>
      <w:pPr>
        <w:spacing w:before="0" w:after="80"/>
      </w:pPr>
      <w:r>
        <w:rPr>
          <w:rFonts w:ascii="Times New Roman" w:hAnsi="Times New Roman"/>
          <w:sz w:val="24"/>
        </w:rPr>
        <w:t xml:space="preserve"/>
      </w:r>
    </w:p>
    <w:p>
      <w:pPr>
        <w:jc w:val="center"/>
        <w:spacing w:before="160" w:after="80"/>
      </w:pPr>
      <w:r>
        <w:drawing>
          <wp:inline distT="0" distB="0" distL="0" distR="0">
            <wp:extent cx="5029200" cy="3481200"/>
            <wp:effectExtent l="0" t="0" r="0" b="0"/>
            <wp:docPr id="802" name="Fig8"/>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Fig8"/>
                    <ns4:cNvPicPr/>
                  </ns4:nvPicPr>
                  <ns4:blipFill>
                    <ns3:blip r:embed="rId42"/>
                    <ns3:stretch>
                      <ns3:fillRect/>
                    </ns3:stretch>
                  </ns4:blipFill>
                  <ns4:spPr>
                    <ns3:xfrm>
                      <ns3:off x="0" y="0"/>
                      <ns3:ext cx="5029200" cy="3481200"/>
                    </ns3:xfrm>
                    <ns3:prstGeom prst="rect">
                      <ns3:avLst/>
                    </ns3:prstGeom>
                  </ns4:spPr>
                </ns4:pic>
              </ns3:graphicData>
            </ns3:graphic>
          </wp:inline>
        </w:drawing>
      </w:r>
    </w:p>
    <w:p>
      <w:pPr>
        <w:spacing w:before="60" w:after="40"/>
      </w:pPr>
      <w:r>
        <w:rPr>
          <w:rFonts w:ascii="Times New Roman" w:hAnsi="Times New Roman"/>
          <w:sz w:val="24"/>
          <w:i/>
        </w:rPr>
        <w:t xml:space="preserve">FigureÂ 8. Useful LLM proposal fraction across 30 replicates for three prompt conditions. Removing Elite solutions (w/o Elite) collapses proposal quality to near zero (***), while removing the Knowledge Table has no significant effect on useful fraction (ns). Significance: Wilcoxon signed-rank test vs. Full prompt.</w:t>
      </w:r>
    </w:p>
    <w:p>
      <w:pPr>
        <w:spacing w:before="0" w:after="160"/>
      </w:pPr>
      <w:r>
        <w:rPr>
          <w:rFonts w:ascii="Times New Roman" w:hAnsi="Times New Roman"/>
          <w:sz w:val="24"/>
        </w:rPr>
        <w:t xml:space="preserve">Without Elite solutions, only 0.59% of LLM proposals are useful per replicate â€” a 96% reduction (p &lt; 0.001, ***). In zero-shot mode the LLM cannot condition on the current Pareto front, so its proposals land far from the frontier and fail to contribute to hypervolume improvement. By contrast, removing the Knowledge Table has no significant effect on useful fraction (p = 0.127, ns), confirming that domain knowledge shapes the direction of search rather than the immediate competitiveness of individual proposals.</w:t>
      </w:r>
    </w:p>
    <w:p>
      <w:pPr>
        <w:spacing w:before="120" w:after="0"/>
      </w:pPr>
      <w:r>
        <w:rPr>
          <w:rFonts w:ascii="Times New Roman" w:hAnsi="Times New Roman"/>
          <w:sz w:val="24"/>
        </w:rPr>
        <w:t xml:space="preserve"/>
      </w:r>
    </w:p>
    <w:p>
      <w:pPr>
        <w:spacing w:before="120" w:after="0"/>
      </w:pPr>
      <w:r>
        <w:rPr>
          <w:rFonts w:ascii="Times New Roman" w:hAnsi="Times New Roman"/>
          <w:sz w:val="24"/>
        </w:rPr>
        <w:t xml:space="preserve"/>
      </w:r>
    </w:p>
    <w:p>
      <w:pPr>
        <w:spacing w:before="240" w:after="80"/>
      </w:pPr>
      <w:r>
        <w:rPr>
          <w:rFonts w:ascii="Times New Roman" w:hAnsi="Times New Roman"/>
          <w:sz w:val="28"/>
          <w:b/>
        </w:rPr>
        <w:t xml:space="preserve">6. Discussion</w:t>
      </w:r>
    </w:p>
    <w:p>
      <w:pPr>
        <w:spacing w:before="0" w:after="160"/>
      </w:pPr>
      <w:r>
        <w:rPr>
          <w:rFonts w:ascii="Times New Roman" w:hAnsi="Times New Roman"/>
          <w:sz w:val="24"/>
        </w:rPr>
        <w:t xml:space="preserve"/>
      </w:r>
    </w:p>
    <w:p>
      <w:pPr>
        <w:spacing w:before="240" w:after="80"/>
      </w:pPr>
      <w:r>
        <w:rPr>
          <w:rFonts w:ascii="Times New Roman" w:hAnsi="Times New Roman"/>
          <w:sz w:val="26"/>
          <w:b/>
        </w:rPr>
        <w:t xml:space="preserve">6.1 Physical Interpretation of the Pareto Front</w:t>
      </w:r>
    </w:p>
    <w:p>
      <w:pPr>
        <w:spacing w:before="0" w:after="160"/>
      </w:pPr>
      <w:r>
        <w:rPr>
          <w:rFonts w:ascii="Times New Roman" w:hAnsi="Times New Roman"/>
          <w:sz w:val="24"/>
        </w:rPr>
        <w:t xml:space="preserve">To interpret the physical significance of the optimised Pareto front, we pooled all 30 FLAME replicates into a global non-dominated set of 85Â solutions spanning GWPÂ 137â€“278Â kgÂ COâ‚‚/mÂ³ and 28-day compressive strength 46â€“103Â MPa, and examined the statistical drivers of GWP variation across this full set.</w:t>
      </w:r>
    </w:p>
    <w:p>
      <w:pPr>
        <w:spacing w:before="0" w:after="160"/>
      </w:pPr>
      <w:r>
        <w:rPr>
          <w:rFonts w:ascii="Times New Roman" w:hAnsi="Times New Roman"/>
          <w:sz w:val="24"/>
        </w:rPr>
        <w:t xml:space="preserve"/>
      </w:r>
    </w:p>
    <w:p>
      <w:pPr>
        <w:spacing w:before="0" w:after="160"/>
      </w:pPr>
      <w:r>
        <w:rPr>
          <w:rFonts w:ascii="Times New Roman" w:hAnsi="Times New Roman"/>
          <w:sz w:val="24"/>
        </w:rPr>
        <w:t xml:space="preserve">The dominant finding is that total binder content (Portland cementÂ +Â slagÂ +Â fly ash, kg/mÂ³) is the overwhelming driver of GWP variation along the front. The Spearman rank correlation between GWP and binder content is râ‚›Â =Â +0.994 (pÂ &lt;Â 0.001), approaching a perfect monotonic relationship (FigureÂ 9a). Ordinary-least-squares regression confirms that binder content alone explains 86% of GWP variance (RÂ²Â =Â 0.862), whereas the effective binder GWP factor (the carbon-intensity-weighted average over PC, SC, and FA, which captures how much SCM substitution has occurred) explains only 32% alone (RÂ²Â =Â 0.317). In the joint model their standardised coefficients are Î²(binder)Â =Â 1.43 versus Î²(eff.Â GWPÂ factor)Â =Â 0.61 (joint RÂ²Â =Â 0.983), confirming that binder quantity dominates binder quality as a GWP lever across the full trade-off range.</w:t>
      </w:r>
    </w:p>
    <w:p>
      <w:pPr>
        <w:spacing w:before="0" w:after="160"/>
      </w:pPr>
      <w:r>
        <w:rPr>
          <w:rFonts w:ascii="Times New Roman" w:hAnsi="Times New Roman"/>
          <w:sz w:val="24"/>
        </w:rPr>
        <w:t xml:space="preserve"/>
      </w:r>
    </w:p>
    <w:p>
      <w:pPr>
        <w:spacing w:before="0" w:after="160"/>
      </w:pPr>
      <w:r>
        <w:rPr>
          <w:rFonts w:ascii="Times New Roman" w:hAnsi="Times New Roman"/>
          <w:sz w:val="24"/>
        </w:rPr>
        <w:t xml:space="preserve">The SC substitution rate shows a moderate positive Spearman correlation with GWP (râ‚›Â =Â +0.367, pÂ &lt;Â 0.001, FigureÂ 9b) â€” apparently paradoxical given that SC has a far lower carbon intensity than PC (0.052 vs.Â 0.82Â kgÂ COâ‚‚/kg). This positive association is an indirect effect of the Pareto trade-off structure: high-strength designs require both greater total binder content (raising GWP) and a higher SC fraction (to enable the low w/b ratios needed for strength), so SC% and GWP rise together at the high-strength end of the front. Conversely, the effective binder GWP factor is negatively correlated with total GWP (râ‚›Â =Â âˆ’0.623, pÂ &lt;Â 0.001): high-GWP, high-strength solutions actually carry a greener per-kilogram binder profile, but the substantially larger binder mass overwhelms this substitution benefit. The lean-binder insight follows directly: at moderate to high strength targets, the most effective GWP reduction strategy is to minimise total cementitious content â€” through higher w/b, workability optimisation, or aggregate grading â€” rather than to maximise SC substitution rate. Maximising SC% is appropriate only when very high strength is required and a low w/b is unavoidable; otherwise it confounds the more powerful binder-mass lever.</w:t>
      </w:r>
    </w:p>
    <w:p>
      <w:pPr>
        <w:spacing w:before="0" w:after="160"/>
      </w:pPr>
      <w:r>
        <w:rPr>
          <w:rFonts w:ascii="Times New Roman" w:hAnsi="Times New Roman"/>
          <w:sz w:val="24"/>
        </w:rPr>
        <w:t xml:space="preserve"/>
      </w:r>
    </w:p>
    <w:p>
      <w:pPr>
        <w:spacing w:before="120" w:after="40"/>
      </w:pPr>
      <w:r>
        <w:rPr>
          <w:rFonts w:ascii="Times New Roman" w:hAnsi="Times New Roman"/>
          <w:sz w:val="20"/>
          <w:i/>
        </w:rPr>
        <w:t xml:space="preserve">FigureÂ 9. GWP vs.Â total binder content across the 85-solution aggregate FLAME Pareto front (râ‚›Â =Â +0.994, pÂ &lt;Â 0.001). Points are coloured by SC substitution rate. The near-perfect rank correlation confirms that total binder mass is the dominant GWP lever: binder content alone accounts for 86% of GWP variance across the trade-off curve (OLS RÂ²Â =Â 0.862), versus 32% for the effective binder GWP factor (which captures SCM substitution rate). The dashed line shows the OLS fit.</w:t>
      </w:r>
    </w:p>
    <w:p>
      <w:pPr>
        <w:jc w:val="center"/>
        <w:spacing w:before="0" w:after="160"/>
      </w:pPr>
      <w:r>
        <w:drawing>
          <wp:inline distT="0" distB="114300" distL="0" distR="0">
            <wp:extent cx="5400000" cy="2408553"/>
            <wp:docPr id="9" name="Figure 9"/>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9" name="fig9_9.png"/>
                    <ns4:cNvPicPr/>
                  </ns4:nvPicPr>
                  <ns4:blipFill>
                    <ns3:blip r:embed="rId43"/>
                    <ns3:stretch>
                      <ns3:fillRect/>
                    </ns3:stretch>
                  </ns4:blipFill>
                  <ns4:spPr>
                    <ns3:xfrm>
                      <ns3:off x="0" y="0"/>
                      <ns3:ext cx="5400000" cy="2408553"/>
                    </ns3:xfrm>
                    <ns3:prstGeom prst="rect">
                      <ns3:avLst/>
                    </ns3:prstGeom>
                  </ns4:spPr>
                </ns4:pic>
              </ns3:graphicData>
            </ns3:graphic>
          </wp:inline>
        </w:drawing>
      </w:r>
    </w:p>
    <w:p>
      <w:pPr>
        <w:spacing w:before="0" w:after="160"/>
      </w:pPr>
      <w:r>
        <w:rPr>
          <w:rFonts w:ascii="Times New Roman" w:hAnsi="Times New Roman"/>
          <w:sz w:val="24"/>
        </w:rPr>
        <w:t xml:space="preserve"/>
      </w:r>
    </w:p>
    <w:p>
      <w:pPr>
        <w:spacing w:before="240" w:after="80"/>
      </w:pPr>
      <w:r>
        <w:rPr>
          <w:rFonts w:ascii="Times New Roman" w:hAnsi="Times New Roman"/>
          <w:sz w:val="26"/>
          <w:b/>
        </w:rPr>
        <w:t xml:space="preserve">6.2 FLAME Coverage of the High-Strength Region</w:t>
      </w:r>
    </w:p>
    <w:p>
      <w:pPr>
        <w:spacing w:before="0" w:after="160"/>
      </w:pPr>
      <w:r>
        <w:rPr>
          <w:rFonts w:ascii="Times New Roman" w:hAnsi="Times New Roman"/>
          <w:sz w:val="24"/>
        </w:rPr>
        <w:t xml:space="preserve">FLAME discovers 38 non-dominated designs with fâ‚‚â‚ˆÂ &gt;Â 80Â MPa against 19 for NSGA-II alone â€” a 2.0Ã— advantage. More importantly, the minimum GWP among these high-strength designs is 193.3Â kgÂ COâ‚‚/mÂ³ for FLAME versus 201.5Â kgÂ COâ‚‚/mÂ³ for NSGA-II, a saving of 8.2Â kgÂ COâ‚‚/mÂ³ at equivalent performance. The maximum achievable strength also increases from 99.7Â MPa (NSGA-II) to 103.3Â MPa (FLAME), extending the frontier by 3.6Â MPa. At the low-GWP extreme, both methods reach comparable minima (FLAMEÂ 136.8 vs.Â NSGA-IIÂ 137.3Â kgÂ COâ‚‚/mÂ³), suggesting that the lean-binder low-carbon designs are accessible through genetic search alone given sufficient generations.</w:t>
      </w:r>
    </w:p>
    <w:p>
      <w:pPr>
        <w:spacing w:before="0" w:after="160"/>
      </w:pPr>
      <w:r>
        <w:rPr>
          <w:rFonts w:ascii="Times New Roman" w:hAnsi="Times New Roman"/>
          <w:sz w:val="24"/>
        </w:rPr>
        <w:t xml:space="preserve"/>
      </w:r>
    </w:p>
    <w:p>
      <w:pPr>
        <w:spacing w:before="0" w:after="160"/>
      </w:pPr>
      <w:r>
        <w:rPr>
          <w:rFonts w:ascii="Times New Roman" w:hAnsi="Times New Roman"/>
          <w:sz w:val="24"/>
        </w:rPr>
        <w:t xml:space="preserve">The high-strength advantage can be attributed to the LLMâ€™s ability to propose mixes with very low w/b and high binder content â€” designs that occupy a narrow, hard-to-discover region of the search space. NSGA-IIâ€™s crossover and mutation operators explore this region slowly because the feasibility constraints (admixture dosage limits, aggregate proportions) become tight at high binder content, and randomly sampled mutations are frequently infeasible. The LLM, conditioned on elite solutions that already approach this region and guided by domain knowledge of the low-w/b strategy, proposes targeted mixes that pass feasibility checks at a substantially higher rate and land non-dominated, extending the front into the high-strength zone.</w:t>
      </w:r>
    </w:p>
    <w:p>
      <w:pPr>
        <w:spacing w:before="0" w:after="160"/>
      </w:pPr>
      <w:r>
        <w:rPr>
          <w:rFonts w:ascii="Times New Roman" w:hAnsi="Times New Roman"/>
          <w:sz w:val="24"/>
        </w:rPr>
        <w:t xml:space="preserve"/>
      </w:r>
    </w:p>
    <w:p>
      <w:pPr>
        <w:spacing w:before="240" w:after="80"/>
      </w:pPr>
      <w:r>
        <w:rPr>
          <w:rFonts w:ascii="Times New Roman" w:hAnsi="Times New Roman"/>
          <w:sz w:val="26"/>
          <w:b/>
        </w:rPr>
        <w:t xml:space="preserve">6.3 Limitations and Future Work</w:t>
      </w:r>
    </w:p>
    <w:p>
      <w:pPr>
        <w:spacing w:before="0" w:after="160"/>
      </w:pPr>
      <w:r>
        <w:rPr>
          <w:rFonts w:ascii="Times New Roman" w:hAnsi="Times New Roman"/>
          <w:sz w:val="24"/>
        </w:rPr>
        <w:t xml:space="preserve">Several limitations warrant attention. First, all results rely on a surrogate strength model trained on historical mix data; predictions at the high-strength extreme (fâ‚‚â‚ˆÂ &gt;Â 90Â MPa) may carry higher uncertainty and should be verified through laboratory trials. Second, each FLAME run requires approximately 15 LLM API calls per generation (1,500 calls per replicate at NÂ =Â 15, 100 generations), which imposes a non-trivial computational cost relative to pure NSGA-II; practical deployment would benefit from caching or batching strategies. Third, the promptâ€™s Knowledge Table was manually curated for this specific material system; adapting FLAME to a new concrete type or a different multi-objective problem requires re-engineering the domain knowledge component. Future work could explore automated knowledge extraction from literature, extension to three or more objectives (e.g., cost, durability, workability), and integration with active-learning experimental campaigns to close the loop between simulation-based optimization and physical validation.</w:t>
      </w:r>
    </w:p>
    <w:p>
      <w:pPr>
        <w:spacing w:before="0" w:after="160"/>
      </w:pPr>
    </w:p>
    <w:p>
      <w:pPr>
        <w:spacing w:before="0" w:after="160"/>
        <w:jc w:val="center"/>
      </w:pPr>
      <w:r>
        <w:drawing>
          <wp:inline distT="0" distB="0" distL="0" distR="0">
            <wp:extent cx="5029200" cy="3629950"/>
            <wp:effectExtent l="0" t="0" r="0" b="0"/>
            <wp:docPr id="20" name="conv_part1_h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ConvHV"/>
                    <a:srcRect/>
                    <a:stretch>
                      <a:fillRect/>
                    </a:stretch>
                  </pic:blipFill>
                  <pic:spPr bwMode="auto">
                    <a:xfrm>
                      <a:off x="0" y="0"/>
                      <a:ext cx="5029200" cy="3629950"/>
                    </a:xfrm>
                    <a:prstGeom prst="rect">
                      <a:avLst/>
                    </a:prstGeom>
                  </pic:spPr>
                </pic:pic>
              </a:graphicData>
            </a:graphic>
          </wp:inline>
        </w:drawing>
      </w:r>
    </w:p>
    <w:p>
      <w:pPr>
        <w:spacing w:before="0" w:after="160"/>
      </w:pPr>
    </w:p>
    <w:p>
      <w:pPr>
        <w:spacing w:before="0" w:after="160"/>
        <w:jc w:val="center"/>
      </w:pPr>
      <w:r>
        <w:drawing>
          <wp:inline distT="0" distB="0" distL="0" distR="0">
            <wp:extent cx="5029200" cy="3606627"/>
            <wp:effectExtent l="0" t="0" r="0" b="0"/>
            <wp:docPr id="21" name="conv_part1_p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ConvPF"/>
                    <a:srcRect/>
                    <a:stretch>
                      <a:fillRect/>
                    </a:stretch>
                  </pic:blipFill>
                  <pic:spPr bwMode="auto">
                    <a:xfrm>
                      <a:off x="0" y="0"/>
                      <a:ext cx="5029200" cy="3606627"/>
                    </a:xfrm>
                    <a:prstGeom prst="rect">
                      <a:avLst/>
                    </a:prstGeom>
                  </pic:spPr>
                </pic:pic>
              </a:graphicData>
            </a:graphic>
          </wp:inline>
        </w:drawing>
      </w:r>
    </w:p>
    <w:p>
      <w:pPr>
        <w:spacing w:before="0" w:after="160"/>
        <w:jc w:val="center"/>
      </w:pPr>
      <w:r>
        <w:drawing>
          <wp:inline distT="0" distB="0" distL="0" distR="0">
            <wp:extent cx="4933188" cy="3557016"/>
            <wp:effectExtent l="0" t="0" r="0" b="0"/>
            <wp:docPr id="22" name="conv_4way_h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wayHV"/>
                    <a:srcRect/>
                    <a:stretch>
                      <a:fillRect/>
                    </a:stretch>
                  </pic:blipFill>
                  <pic:spPr bwMode="auto">
                    <a:xfrm>
                      <a:off x="0" y="0"/>
                      <a:ext cx="4933188" cy="3557016"/>
                    </a:xfrm>
                    <a:prstGeom prst="rect">
                      <a:avLst/>
                    </a:prstGeom>
                  </pic:spPr>
                </pic:pic>
              </a:graphicData>
            </a:graphic>
          </wp:inline>
        </w:drawing>
      </w:r>
    </w:p>
    <w:p>
      <w:pPr>
        <w:spacing w:before="0" w:after="160"/>
        <w:jc w:val="center"/>
      </w:pPr>
      <w:r>
        <w:drawing>
          <wp:inline distT="0" distB="0" distL="0" distR="0">
            <wp:extent cx="4933188" cy="3538728"/>
            <wp:effectExtent l="0" t="0" r="0" b="0"/>
            <wp:docPr id="23" name="conv_4way_p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wayPF"/>
                    <a:srcRect/>
                    <a:stretch>
                      <a:fillRect/>
                    </a:stretch>
                  </pic:blipFill>
                  <pic:spPr bwMode="auto">
                    <a:xfrm>
                      <a:off x="0" y="0"/>
                      <a:ext cx="4933188" cy="3538728"/>
                    </a:xfrm>
                    <a:prstGeom prst="rect">
                      <a:avLst/>
                    </a:prstGeom>
                  </pic:spPr>
                </pic:pic>
              </a:graphicData>
            </a:graphic>
          </wp:inline>
        </w:drawing>
      </w:r>
    </w:p>
    <w:p>
      <w:pPr>
        <w:spacing w:before="0" w:after="160"/>
      </w:pPr>
    </w:p>
    <w:sectPr w:rsidR="00AE4894">
      <w:pgSz w:w="12240" w:h="15840"/>
      <w:pgMar w:top="1440" w:right="1800" w:bottom="1440" w:left="18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3026F4"/>
    <w:multiLevelType w:val="hybridMultilevel"/>
    <w:tmpl w:val="1A4AF9EC"/>
    <w:lvl w:ilvl="0" w:tplc="6EE47FD8">
      <w:start w:val="1"/>
      <w:numFmt w:val="bullet"/>
      <w:lvlText w:val="●"/>
      <w:lvlJc w:val="left"/>
      <w:pPr>
        <w:ind w:left="720" w:hanging="360"/>
      </w:pPr>
    </w:lvl>
    <w:lvl w:ilvl="1" w:tplc="18B058D4">
      <w:start w:val="1"/>
      <w:numFmt w:val="bullet"/>
      <w:lvlText w:val="○"/>
      <w:lvlJc w:val="left"/>
      <w:pPr>
        <w:ind w:left="1440" w:hanging="360"/>
      </w:pPr>
    </w:lvl>
    <w:lvl w:ilvl="2" w:tplc="37F40BC2">
      <w:start w:val="1"/>
      <w:numFmt w:val="bullet"/>
      <w:lvlText w:val="■"/>
      <w:lvlJc w:val="left"/>
      <w:pPr>
        <w:ind w:left="2160" w:hanging="360"/>
      </w:pPr>
    </w:lvl>
    <w:lvl w:ilvl="3" w:tplc="60BEEC7E">
      <w:start w:val="1"/>
      <w:numFmt w:val="bullet"/>
      <w:lvlText w:val="●"/>
      <w:lvlJc w:val="left"/>
      <w:pPr>
        <w:ind w:left="2880" w:hanging="360"/>
      </w:pPr>
    </w:lvl>
    <w:lvl w:ilvl="4" w:tplc="1D42D07E">
      <w:start w:val="1"/>
      <w:numFmt w:val="bullet"/>
      <w:lvlText w:val="○"/>
      <w:lvlJc w:val="left"/>
      <w:pPr>
        <w:ind w:left="3600" w:hanging="360"/>
      </w:pPr>
    </w:lvl>
    <w:lvl w:ilvl="5" w:tplc="F0324616">
      <w:start w:val="1"/>
      <w:numFmt w:val="bullet"/>
      <w:lvlText w:val="■"/>
      <w:lvlJc w:val="left"/>
      <w:pPr>
        <w:ind w:left="4320" w:hanging="360"/>
      </w:pPr>
    </w:lvl>
    <w:lvl w:ilvl="6" w:tplc="3CB4448E">
      <w:start w:val="1"/>
      <w:numFmt w:val="bullet"/>
      <w:lvlText w:val="●"/>
      <w:lvlJc w:val="left"/>
      <w:pPr>
        <w:ind w:left="5040" w:hanging="360"/>
      </w:pPr>
    </w:lvl>
    <w:lvl w:ilvl="7" w:tplc="606C6632">
      <w:start w:val="1"/>
      <w:numFmt w:val="bullet"/>
      <w:lvlText w:val="●"/>
      <w:lvlJc w:val="left"/>
      <w:pPr>
        <w:ind w:left="5760" w:hanging="360"/>
      </w:pPr>
    </w:lvl>
    <w:lvl w:ilvl="8" w:tplc="E64A45B4">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E4894"/>
    <w:rsid w:val="00AE4894"/>
    <w:rsid w:val="00BE683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2795839A-4F4F-453D-9899-422C5EC9FB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en-US" w:eastAsia="zh-CN"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&#65279;<?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 Id="rIdConvFig" Type="http://schemas.openxmlformats.org/officeDocument/2006/relationships/image" Target="media/convergence_everyg.png"/><Relationship Id="rIdDeltaHV" Type="http://schemas.openxmlformats.org/officeDocument/2006/relationships/image" Target="media/delta_hv_incremental_everyg.png"/><Relationship Id="rIdStep2Area" Type="http://schemas.openxmlformats.org/officeDocument/2006/relationships/image" Target="media/step2_area.png"/><Relationship Id="rIdStep3Div" Type="http://schemas.openxmlformats.org/officeDocument/2006/relationships/image" Target="media/step3_paired.png"/><Relationship Id="rId41Pareto" Type="http://schemas.openxmlformats.org/officeDocument/2006/relationships/image" Target="media/step41_pareto.png"/><Relationship Id="rId41Conv" Type="http://schemas.openxmlformats.org/officeDocument/2006/relationships/image" Target="media/step41_convergence.png"/><Relationship Id="rId42" Type="http://schemas.openxmlformats.org/officeDocument/2006/relationships/image" Target="media/image_fig8.png"/><Relationship Id="rId43" Type="http://schemas.openxmlformats.org/officeDocument/2006/relationships/image" Target="media/fig9_pareto_gwp.png"/><Relationship Id="rId44" Type="http://schemas.openxmlformats.org/officeDocument/2006/relationships/image" Target="media/fig9_pareto_gwp.png"/><Relationship Id="rIdConvHV" Type="http://schemas.openxmlformats.org/officeDocument/2006/relationships/image" Target="media/conv_part1_hv.png"/><Relationship Id="rIdConvPF" Type="http://schemas.openxmlformats.org/officeDocument/2006/relationships/image" Target="media/conv_part1_pf.png"/><Relationship Id="rId4wayHV" Type="http://schemas.openxmlformats.org/officeDocument/2006/relationships/image" Target="media/conv_4way_hv.png"/><Relationship Id="rId4wayPF" Type="http://schemas.openxmlformats.org/officeDocument/2006/relationships/image" Target="media/conv_4way_pf.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7</Pages>
  <Words>1897</Words>
  <Characters>10818</Characters>
  <Application>Microsoft Office Word</Application>
  <DocSecurity>0</DocSecurity>
  <Lines>90</Lines>
  <Paragraphs>25</Paragraphs>
  <ScaleCrop>false</ScaleCrop>
  <Company/>
  <LinksUpToDate>false</LinksUpToDate>
  <CharactersWithSpaces>12690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Tianjie Zhang</cp:lastModifiedBy>
  <cp:revision>2</cp:revision>
  <dcterms:created xsi:type="dcterms:W3CDTF">2026-08-29T16:19:00Z</dcterms:created>
  <dcterms:modified xsi:type="dcterms:W3CDTF">2026-08-29T16:22:00Z</dcterms:modified>
</cp:coreProperties>
</file>