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931" w:rsidRDefault="008071AA" w:rsidP="008071AA">
      <w:pPr>
        <w:pStyle w:val="Title"/>
        <w:spacing w:line="240" w:lineRule="auto"/>
        <w:contextualSpacing/>
        <w:rPr>
          <w:rFonts w:asciiTheme="majorHAnsi" w:hAnsiTheme="majorHAnsi"/>
        </w:rPr>
      </w:pPr>
      <w:bookmarkStart w:id="0" w:name="_GoBack"/>
      <w:bookmarkEnd w:id="0"/>
      <w:r w:rsidRPr="00EC366B">
        <w:rPr>
          <w:rFonts w:asciiTheme="majorHAnsi" w:hAnsiTheme="majorHAnsi"/>
        </w:rPr>
        <w:t>Official Codebook for the</w:t>
      </w:r>
    </w:p>
    <w:p w:rsidR="002D641C" w:rsidRDefault="008071AA" w:rsidP="008071AA">
      <w:pPr>
        <w:pStyle w:val="Title"/>
        <w:spacing w:line="240" w:lineRule="auto"/>
        <w:contextualSpacing/>
        <w:rPr>
          <w:rFonts w:asciiTheme="minorHAnsi" w:hAnsiTheme="minorHAnsi"/>
        </w:rPr>
      </w:pPr>
      <w:r>
        <w:rPr>
          <w:rFonts w:asciiTheme="majorHAnsi" w:hAnsiTheme="majorHAnsi"/>
        </w:rPr>
        <w:t>Inclusion, Dispersion and Constraint</w:t>
      </w:r>
      <w:r w:rsidR="004D4830">
        <w:rPr>
          <w:rFonts w:asciiTheme="majorHAnsi" w:hAnsiTheme="majorHAnsi"/>
        </w:rPr>
        <w:t>s</w:t>
      </w:r>
      <w:r>
        <w:rPr>
          <w:rFonts w:asciiTheme="majorHAnsi" w:hAnsiTheme="majorHAnsi"/>
        </w:rPr>
        <w:t xml:space="preserve"> Datase</w:t>
      </w:r>
      <w:r w:rsidR="00CD5FFC" w:rsidRPr="00A7196F">
        <w:rPr>
          <w:rFonts w:asciiTheme="minorHAnsi" w:hAnsiTheme="minorHAnsi"/>
        </w:rPr>
        <w:t>t</w:t>
      </w:r>
    </w:p>
    <w:p w:rsidR="006C7011" w:rsidRPr="00D26931" w:rsidRDefault="006C7011" w:rsidP="006C7011">
      <w:pPr>
        <w:jc w:val="center"/>
        <w:rPr>
          <w:b/>
          <w:lang w:val="fr-FR"/>
        </w:rPr>
      </w:pPr>
      <w:r w:rsidRPr="00D26931">
        <w:rPr>
          <w:b/>
          <w:lang w:val="fr-FR"/>
        </w:rPr>
        <w:t>Version 1.0</w:t>
      </w:r>
    </w:p>
    <w:p w:rsidR="002D641C" w:rsidRPr="00D26931" w:rsidRDefault="00CD5FFC" w:rsidP="00793550">
      <w:pPr>
        <w:pStyle w:val="Subtitle"/>
        <w:spacing w:line="240" w:lineRule="auto"/>
        <w:contextualSpacing/>
        <w:rPr>
          <w:rFonts w:asciiTheme="minorHAnsi" w:hAnsiTheme="minorHAnsi"/>
          <w:lang w:val="fr-FR"/>
        </w:rPr>
      </w:pPr>
      <w:r w:rsidRPr="00D26931">
        <w:rPr>
          <w:rFonts w:asciiTheme="minorHAnsi" w:hAnsiTheme="minorHAnsi"/>
          <w:lang w:val="fr-FR"/>
        </w:rPr>
        <w:t>National Science Foundation Grant # SES-0819507</w:t>
      </w:r>
      <w:r w:rsidR="00FB270A" w:rsidRPr="00D26931">
        <w:rPr>
          <w:rFonts w:asciiTheme="minorHAnsi" w:hAnsiTheme="minorHAnsi"/>
          <w:lang w:val="fr-FR"/>
        </w:rPr>
        <w:t>b</w:t>
      </w:r>
    </w:p>
    <w:p w:rsidR="002D641C" w:rsidRPr="00D26931" w:rsidRDefault="002D641C" w:rsidP="00793550">
      <w:pPr>
        <w:pStyle w:val="Quote"/>
        <w:spacing w:line="240" w:lineRule="auto"/>
        <w:contextualSpacing/>
        <w:rPr>
          <w:rStyle w:val="Emphasis"/>
          <w:rFonts w:ascii="Cambria" w:hAnsi="Cambria"/>
          <w:i/>
          <w:iCs/>
          <w:color w:val="auto"/>
          <w:sz w:val="24"/>
          <w:szCs w:val="24"/>
        </w:rPr>
      </w:pPr>
    </w:p>
    <w:p w:rsidR="002D641C" w:rsidRPr="00A7196F" w:rsidRDefault="00C74B38" w:rsidP="00F06B02">
      <w:pPr>
        <w:pStyle w:val="Quote"/>
        <w:spacing w:line="240" w:lineRule="auto"/>
        <w:ind w:left="2268" w:hanging="2268"/>
        <w:contextualSpacing/>
        <w:rPr>
          <w:rStyle w:val="Emphasis"/>
        </w:rPr>
      </w:pPr>
      <w:r w:rsidRPr="00A7196F">
        <w:rPr>
          <w:rStyle w:val="Emphasis"/>
          <w:rFonts w:asciiTheme="minorHAnsi" w:hAnsiTheme="minorHAnsi"/>
          <w:color w:val="auto"/>
        </w:rPr>
        <w:t>Principal Investigator:</w:t>
      </w:r>
      <w:r w:rsidR="00BD6546" w:rsidRPr="00A7196F">
        <w:rPr>
          <w:rStyle w:val="Emphasis"/>
          <w:rFonts w:asciiTheme="minorHAnsi" w:hAnsiTheme="minorHAnsi"/>
          <w:color w:val="auto"/>
        </w:rPr>
        <w:tab/>
      </w:r>
      <w:r w:rsidRPr="008C5E2C">
        <w:rPr>
          <w:rStyle w:val="Emphasis"/>
          <w:rFonts w:asciiTheme="minorHAnsi" w:hAnsiTheme="minorHAnsi"/>
          <w:b/>
          <w:color w:val="auto"/>
        </w:rPr>
        <w:t xml:space="preserve">Kaare </w:t>
      </w:r>
      <w:r w:rsidR="008C5E2C" w:rsidRPr="008C5E2C">
        <w:rPr>
          <w:rStyle w:val="Emphasis"/>
          <w:rFonts w:asciiTheme="minorHAnsi" w:hAnsiTheme="minorHAnsi"/>
          <w:b/>
          <w:color w:val="auto"/>
        </w:rPr>
        <w:t xml:space="preserve">W. </w:t>
      </w:r>
      <w:r w:rsidRPr="008C5E2C">
        <w:rPr>
          <w:rStyle w:val="Emphasis"/>
          <w:rFonts w:asciiTheme="minorHAnsi" w:hAnsiTheme="minorHAnsi"/>
          <w:b/>
          <w:color w:val="auto"/>
        </w:rPr>
        <w:t>Strøm</w:t>
      </w:r>
      <w:r w:rsidRPr="00A7196F">
        <w:rPr>
          <w:rStyle w:val="Emphasis"/>
          <w:rFonts w:asciiTheme="minorHAnsi" w:hAnsiTheme="minorHAnsi"/>
          <w:color w:val="auto"/>
        </w:rPr>
        <w:t xml:space="preserve">, University of California, San Diego (UCSD) and </w:t>
      </w:r>
      <w:r w:rsidR="00176AE4">
        <w:rPr>
          <w:rStyle w:val="Emphasis"/>
          <w:rFonts w:asciiTheme="minorHAnsi" w:hAnsiTheme="minorHAnsi"/>
          <w:color w:val="auto"/>
        </w:rPr>
        <w:t>University of</w:t>
      </w:r>
      <w:r w:rsidRPr="00A7196F">
        <w:rPr>
          <w:rStyle w:val="Emphasis"/>
          <w:rFonts w:asciiTheme="minorHAnsi" w:hAnsiTheme="minorHAnsi"/>
          <w:color w:val="auto"/>
        </w:rPr>
        <w:t xml:space="preserve"> Oslo (</w:t>
      </w:r>
      <w:r w:rsidR="00176AE4">
        <w:rPr>
          <w:rStyle w:val="Emphasis"/>
          <w:rFonts w:asciiTheme="minorHAnsi" w:hAnsiTheme="minorHAnsi"/>
          <w:color w:val="auto"/>
        </w:rPr>
        <w:t>Ui</w:t>
      </w:r>
      <w:r w:rsidRPr="00A7196F">
        <w:rPr>
          <w:rStyle w:val="Emphasis"/>
          <w:rFonts w:asciiTheme="minorHAnsi" w:hAnsiTheme="minorHAnsi"/>
          <w:color w:val="auto"/>
        </w:rPr>
        <w:t>O).</w:t>
      </w:r>
    </w:p>
    <w:p w:rsidR="008D354F" w:rsidRDefault="00C74B38" w:rsidP="008D354F">
      <w:pPr>
        <w:pStyle w:val="Quote"/>
        <w:spacing w:line="240" w:lineRule="auto"/>
        <w:ind w:left="2268" w:hanging="2268"/>
        <w:contextualSpacing/>
        <w:rPr>
          <w:rStyle w:val="Emphasis"/>
        </w:rPr>
      </w:pPr>
      <w:r w:rsidRPr="00A7196F">
        <w:rPr>
          <w:rStyle w:val="Emphasis"/>
          <w:rFonts w:asciiTheme="minorHAnsi" w:hAnsiTheme="minorHAnsi"/>
          <w:color w:val="auto"/>
        </w:rPr>
        <w:t xml:space="preserve">Co-Investigator: </w:t>
      </w:r>
      <w:r w:rsidR="00BD6546" w:rsidRPr="00A7196F">
        <w:rPr>
          <w:rStyle w:val="Emphasis"/>
          <w:rFonts w:asciiTheme="minorHAnsi" w:hAnsiTheme="minorHAnsi"/>
          <w:color w:val="auto"/>
        </w:rPr>
        <w:tab/>
      </w:r>
      <w:r w:rsidRPr="008C5E2C">
        <w:rPr>
          <w:rStyle w:val="Emphasis"/>
          <w:rFonts w:asciiTheme="minorHAnsi" w:hAnsiTheme="minorHAnsi"/>
          <w:b/>
          <w:color w:val="auto"/>
        </w:rPr>
        <w:t>Scott Gates</w:t>
      </w:r>
      <w:r w:rsidRPr="00A7196F">
        <w:rPr>
          <w:rStyle w:val="Emphasis"/>
          <w:rFonts w:asciiTheme="minorHAnsi" w:hAnsiTheme="minorHAnsi"/>
          <w:color w:val="auto"/>
        </w:rPr>
        <w:t>, International Peace Research Institute, Oslo (PRIO)</w:t>
      </w:r>
      <w:r w:rsidR="00BD6546" w:rsidRPr="00A7196F">
        <w:rPr>
          <w:rStyle w:val="Emphasis"/>
          <w:rFonts w:asciiTheme="minorHAnsi" w:hAnsiTheme="minorHAnsi"/>
          <w:color w:val="auto"/>
        </w:rPr>
        <w:t xml:space="preserve"> and Norwegian University of Science and Technology.</w:t>
      </w:r>
    </w:p>
    <w:p w:rsidR="00620378" w:rsidRDefault="00620378" w:rsidP="008D354F">
      <w:pPr>
        <w:pStyle w:val="Quote"/>
        <w:spacing w:line="240" w:lineRule="auto"/>
        <w:ind w:left="2268" w:hanging="2268"/>
        <w:contextualSpacing/>
        <w:rPr>
          <w:i w:val="0"/>
        </w:rPr>
      </w:pPr>
      <w:r>
        <w:rPr>
          <w:i w:val="0"/>
        </w:rPr>
        <w:t>Collaborators</w:t>
      </w:r>
      <w:r w:rsidR="008D354F" w:rsidRPr="008D354F">
        <w:rPr>
          <w:i w:val="0"/>
        </w:rPr>
        <w:t xml:space="preserve">: </w:t>
      </w:r>
      <w:r w:rsidR="008D354F" w:rsidRPr="008D354F">
        <w:rPr>
          <w:i w:val="0"/>
        </w:rPr>
        <w:tab/>
      </w:r>
      <w:r w:rsidR="002B1E35" w:rsidRPr="008C5E2C">
        <w:rPr>
          <w:b/>
          <w:i w:val="0"/>
        </w:rPr>
        <w:t>Benjamin A.T. Graham</w:t>
      </w:r>
      <w:r w:rsidR="002B1E35" w:rsidRPr="008D354F">
        <w:rPr>
          <w:i w:val="0"/>
        </w:rPr>
        <w:t>, University of Southern California</w:t>
      </w:r>
      <w:r>
        <w:rPr>
          <w:i w:val="0"/>
        </w:rPr>
        <w:t xml:space="preserve">; </w:t>
      </w:r>
      <w:r w:rsidRPr="008C5E2C">
        <w:rPr>
          <w:b/>
          <w:i w:val="0"/>
        </w:rPr>
        <w:t>Håvard Strand</w:t>
      </w:r>
      <w:r w:rsidR="006C7011">
        <w:rPr>
          <w:i w:val="0"/>
        </w:rPr>
        <w:t>,</w:t>
      </w:r>
      <w:r w:rsidR="00D26931">
        <w:rPr>
          <w:i w:val="0"/>
        </w:rPr>
        <w:t xml:space="preserve"> </w:t>
      </w:r>
      <w:r>
        <w:rPr>
          <w:i w:val="0"/>
        </w:rPr>
        <w:t>U</w:t>
      </w:r>
      <w:r w:rsidR="006C7011">
        <w:rPr>
          <w:i w:val="0"/>
        </w:rPr>
        <w:t>niversity of Oslo.</w:t>
      </w:r>
    </w:p>
    <w:p w:rsidR="00620378" w:rsidRPr="00620378" w:rsidRDefault="00620378" w:rsidP="00620378"/>
    <w:p w:rsidR="002D641C" w:rsidRPr="00620378" w:rsidRDefault="00620378" w:rsidP="00620378">
      <w:r>
        <w:tab/>
      </w:r>
      <w:r>
        <w:tab/>
      </w:r>
      <w:r>
        <w:tab/>
      </w:r>
    </w:p>
    <w:p w:rsidR="000A24CE" w:rsidRPr="00A7196F" w:rsidRDefault="000A24CE" w:rsidP="00793550">
      <w:pPr>
        <w:spacing w:after="100" w:afterAutospacing="1" w:line="240" w:lineRule="auto"/>
        <w:contextualSpacing/>
        <w:jc w:val="center"/>
        <w:rPr>
          <w:rFonts w:asciiTheme="minorHAnsi" w:hAnsiTheme="minorHAnsi"/>
          <w:sz w:val="28"/>
          <w:szCs w:val="28"/>
        </w:rPr>
      </w:pPr>
    </w:p>
    <w:p w:rsidR="0073158B" w:rsidRDefault="00BD6546">
      <w:pPr>
        <w:pStyle w:val="Heading1"/>
      </w:pPr>
      <w:r w:rsidRPr="00A7196F">
        <w:br w:type="page"/>
      </w:r>
      <w:r w:rsidRPr="00A7196F">
        <w:lastRenderedPageBreak/>
        <w:t>Introduction</w:t>
      </w:r>
    </w:p>
    <w:p w:rsidR="0073158B" w:rsidRDefault="00BD6546">
      <w:pPr>
        <w:pStyle w:val="First"/>
      </w:pPr>
      <w:r w:rsidRPr="00A7196F">
        <w:t>Th</w:t>
      </w:r>
      <w:r w:rsidR="0044378B" w:rsidRPr="00A7196F">
        <w:t xml:space="preserve">is codebook documents the </w:t>
      </w:r>
      <w:r w:rsidR="001A3F20">
        <w:t>Inclusion, Dispersion and Constraint</w:t>
      </w:r>
      <w:r w:rsidRPr="00A7196F">
        <w:t xml:space="preserve"> dataset collected by the Power Sharing, Agency and Civil Conflict project and supported by NSF grant </w:t>
      </w:r>
      <w:r w:rsidR="0044378B" w:rsidRPr="00A7196F">
        <w:t xml:space="preserve">number </w:t>
      </w:r>
      <w:r w:rsidR="0044378B" w:rsidRPr="00A7196F">
        <w:rPr>
          <w:rFonts w:cs="Calibri"/>
        </w:rPr>
        <w:t>SES-0819507b</w:t>
      </w:r>
      <w:r w:rsidRPr="00A7196F">
        <w:t xml:space="preserve">. The core </w:t>
      </w:r>
      <w:r w:rsidR="00392625" w:rsidRPr="00A7196F">
        <w:t xml:space="preserve">purpose </w:t>
      </w:r>
      <w:r w:rsidRPr="00A7196F">
        <w:t xml:space="preserve">of this dataset is to collect extensive data on various forms of power-sharing </w:t>
      </w:r>
      <w:r w:rsidR="00D620E2">
        <w:t xml:space="preserve">in contemporary states </w:t>
      </w:r>
      <w:r w:rsidRPr="00A7196F">
        <w:t>in order to assess the effect</w:t>
      </w:r>
      <w:r w:rsidR="00D620E2">
        <w:t>s</w:t>
      </w:r>
      <w:r w:rsidRPr="00A7196F">
        <w:t xml:space="preserve"> of these institutions </w:t>
      </w:r>
      <w:r w:rsidR="00D620E2">
        <w:t>on</w:t>
      </w:r>
      <w:r w:rsidRPr="00A7196F">
        <w:t xml:space="preserve"> public good provision and civil peace. This project builds on a distinct theory of power</w:t>
      </w:r>
      <w:r w:rsidR="004B2077" w:rsidRPr="00A7196F">
        <w:t xml:space="preserve"> </w:t>
      </w:r>
      <w:r w:rsidRPr="00A7196F">
        <w:t>sharing institutions, which</w:t>
      </w:r>
      <w:r w:rsidR="004B2077" w:rsidRPr="00A7196F">
        <w:t xml:space="preserve"> </w:t>
      </w:r>
      <w:r w:rsidRPr="00A7196F">
        <w:t xml:space="preserve">has informed the </w:t>
      </w:r>
      <w:r w:rsidR="004B2077" w:rsidRPr="00A7196F">
        <w:t>coding of this dataset. Users should familiarize themselves with this theor</w:t>
      </w:r>
      <w:r w:rsidR="007D5206" w:rsidRPr="00A7196F">
        <w:t>etical background before using the data.</w:t>
      </w:r>
    </w:p>
    <w:p w:rsidR="0073158B" w:rsidRDefault="007D5206">
      <w:pPr>
        <w:pStyle w:val="Next"/>
      </w:pPr>
      <w:r w:rsidRPr="00A7196F">
        <w:t xml:space="preserve">Unlike many other power sharing data collections, this project does not limit the data collection effort to a subset of countries, but aims </w:t>
      </w:r>
      <w:r w:rsidR="000941F7" w:rsidRPr="00A7196F">
        <w:t xml:space="preserve">at </w:t>
      </w:r>
      <w:r w:rsidRPr="00A7196F">
        <w:t xml:space="preserve">a global sample. In practice, we limit our sample </w:t>
      </w:r>
      <w:r w:rsidR="0044378B" w:rsidRPr="00A7196F">
        <w:t xml:space="preserve">to </w:t>
      </w:r>
      <w:r w:rsidR="00D620E2">
        <w:t>sovereign states</w:t>
      </w:r>
      <w:r w:rsidR="00D620E2" w:rsidRPr="00A7196F">
        <w:t xml:space="preserve"> </w:t>
      </w:r>
      <w:r w:rsidR="0044378B" w:rsidRPr="00A7196F">
        <w:t>with populations larger than than 250,</w:t>
      </w:r>
      <w:r w:rsidRPr="00A7196F">
        <w:t>000, similar to and compatible with the international system membership definiti</w:t>
      </w:r>
      <w:r w:rsidR="00EF055B">
        <w:t>on of Gleditsch &amp; Ward (2001)</w:t>
      </w:r>
      <w:r w:rsidR="00D620E2">
        <w:t>.  Our data</w:t>
      </w:r>
      <w:r w:rsidR="00EF055B">
        <w:t xml:space="preserve"> cover the years 1975-2010.</w:t>
      </w:r>
    </w:p>
    <w:p w:rsidR="0073158B" w:rsidRDefault="00EE2D87">
      <w:pPr>
        <w:pStyle w:val="Heading1"/>
        <w:rPr>
          <w:lang w:val="fr-FR"/>
        </w:rPr>
      </w:pPr>
      <w:r w:rsidRPr="00D26931">
        <w:rPr>
          <w:lang w:val="fr-FR"/>
        </w:rPr>
        <w:t>De Jure and de Facto Institutions</w:t>
      </w:r>
    </w:p>
    <w:p w:rsidR="0073158B" w:rsidRDefault="00EE2D87">
      <w:pPr>
        <w:pStyle w:val="First"/>
      </w:pPr>
      <w:r w:rsidRPr="00A7196F">
        <w:t>The variables in this dataset focus primarily on de jure, rather than de facto, institutions.</w:t>
      </w:r>
      <w:r w:rsidR="00D26931">
        <w:t xml:space="preserve"> </w:t>
      </w:r>
      <w:r w:rsidRPr="00A7196F">
        <w:t>This focus is justified on two grounds.</w:t>
      </w:r>
      <w:r w:rsidR="00D26931">
        <w:t xml:space="preserve"> </w:t>
      </w:r>
      <w:r w:rsidRPr="00A7196F">
        <w:t>First, variables capturing the nature of the de jure institutions can be more consistently sourced and more objectively coded than de facto arrangements.</w:t>
      </w:r>
      <w:r w:rsidR="00D26931">
        <w:t xml:space="preserve"> </w:t>
      </w:r>
      <w:r w:rsidRPr="00A7196F">
        <w:t xml:space="preserve">Second, formal rules of </w:t>
      </w:r>
      <w:r w:rsidR="000413AC">
        <w:t>political decision making often</w:t>
      </w:r>
      <w:r w:rsidRPr="00A7196F">
        <w:t xml:space="preserve"> continue to matter</w:t>
      </w:r>
      <w:r w:rsidR="000413AC">
        <w:t xml:space="preserve"> as baselines, goals, or expectations</w:t>
      </w:r>
      <w:r w:rsidRPr="00A7196F">
        <w:t>, even when they are being violated</w:t>
      </w:r>
      <w:r w:rsidR="000413AC">
        <w:t xml:space="preserve"> in practice</w:t>
      </w:r>
      <w:r w:rsidRPr="00A7196F">
        <w:t>.</w:t>
      </w:r>
      <w:r w:rsidR="00D26931">
        <w:t xml:space="preserve">  </w:t>
      </w:r>
      <w:r w:rsidR="000413AC">
        <w:t>Even w</w:t>
      </w:r>
      <w:r w:rsidRPr="00A7196F">
        <w:t xml:space="preserve">hen a country is de facto ruled by various militia groups –Lebanon in the mid-late 1980s for example – the constitution and other written rules </w:t>
      </w:r>
      <w:r w:rsidR="000413AC">
        <w:t xml:space="preserve">can </w:t>
      </w:r>
      <w:r w:rsidRPr="00A7196F">
        <w:t>still establish</w:t>
      </w:r>
      <w:r w:rsidR="00B052C1" w:rsidRPr="00A7196F">
        <w:t>, at the very least,</w:t>
      </w:r>
      <w:r w:rsidRPr="00A7196F">
        <w:t xml:space="preserve"> </w:t>
      </w:r>
      <w:r w:rsidR="00B052C1" w:rsidRPr="00A7196F">
        <w:t>a focal point in the</w:t>
      </w:r>
      <w:r w:rsidR="00392625" w:rsidRPr="00A7196F">
        <w:t xml:space="preserve"> bargaining over what </w:t>
      </w:r>
      <w:r w:rsidRPr="00A7196F">
        <w:t xml:space="preserve">the rules would be if everyone put down their guns, </w:t>
      </w:r>
      <w:r w:rsidR="000413AC">
        <w:t>which</w:t>
      </w:r>
      <w:r w:rsidRPr="00A7196F">
        <w:t xml:space="preserve"> in turn informs groups’ decisions</w:t>
      </w:r>
      <w:r w:rsidR="000413AC">
        <w:t xml:space="preserve"> whether or not</w:t>
      </w:r>
      <w:r w:rsidRPr="00A7196F">
        <w:t xml:space="preserve"> to put down the</w:t>
      </w:r>
      <w:r w:rsidR="000413AC">
        <w:t>ir</w:t>
      </w:r>
      <w:r w:rsidRPr="00A7196F">
        <w:t xml:space="preserve"> guns.</w:t>
      </w:r>
    </w:p>
    <w:p w:rsidR="0073158B" w:rsidRDefault="00C94192">
      <w:pPr>
        <w:pStyle w:val="Heading1"/>
      </w:pPr>
      <w:r w:rsidRPr="00A7196F">
        <w:t>Sources and Coding Procedures</w:t>
      </w:r>
    </w:p>
    <w:p w:rsidR="0073158B" w:rsidRDefault="0001787D">
      <w:pPr>
        <w:pStyle w:val="First"/>
      </w:pPr>
      <w:r w:rsidRPr="00A7196F">
        <w:t>We distinguish in the codin</w:t>
      </w:r>
      <w:r w:rsidR="001D16CB" w:rsidRPr="00A7196F">
        <w:t>g process between core sources</w:t>
      </w:r>
      <w:r w:rsidRPr="00A7196F">
        <w:t xml:space="preserve"> and non-core sources.</w:t>
      </w:r>
      <w:r w:rsidR="00D26931">
        <w:t xml:space="preserve"> </w:t>
      </w:r>
      <w:r w:rsidR="000413AC">
        <w:t>C</w:t>
      </w:r>
      <w:r w:rsidRPr="00A7196F">
        <w:t xml:space="preserve">ore sources are those </w:t>
      </w:r>
      <w:r w:rsidR="000413AC">
        <w:t xml:space="preserve">that are </w:t>
      </w:r>
      <w:r w:rsidRPr="00A7196F">
        <w:t>always consulted in order to establish the absence of a particular institutional form.</w:t>
      </w:r>
      <w:r w:rsidR="00D26931">
        <w:t xml:space="preserve"> </w:t>
      </w:r>
      <w:r w:rsidRPr="00A7196F">
        <w:t xml:space="preserve">For example, before coding a country-year as a zero for </w:t>
      </w:r>
      <w:r w:rsidRPr="00A7196F">
        <w:rPr>
          <w:i/>
        </w:rPr>
        <w:t>mveto</w:t>
      </w:r>
      <w:r w:rsidRPr="00A7196F">
        <w:t>, which would indicate that the country has no provisions allowing for minority veto over a particular policy area, the coder checks all the core sources to establish that there is no mention of such a provision.</w:t>
      </w:r>
      <w:r w:rsidR="00D26931">
        <w:t xml:space="preserve"> </w:t>
      </w:r>
      <w:r w:rsidR="001D16CB" w:rsidRPr="00A7196F">
        <w:t>All core sources, as well as the most commonly used non-core sources are listed at the end of the codebook.</w:t>
      </w:r>
      <w:r w:rsidR="00D26931">
        <w:t xml:space="preserve"> </w:t>
      </w:r>
      <w:r w:rsidR="001D16CB" w:rsidRPr="00A7196F">
        <w:t>Additional non-core sources are listed as used in the notes.</w:t>
      </w:r>
    </w:p>
    <w:p w:rsidR="0073158B" w:rsidRDefault="0001787D">
      <w:pPr>
        <w:pStyle w:val="Next"/>
      </w:pPr>
      <w:r w:rsidRPr="00A7196F">
        <w:t xml:space="preserve">Non-core sources are used to supplement core sources whenever 1) Core sources do not provide sufficiently detailed information to </w:t>
      </w:r>
      <w:r w:rsidR="001D16CB" w:rsidRPr="00A7196F">
        <w:t xml:space="preserve">allow coders </w:t>
      </w:r>
      <w:r w:rsidRPr="00A7196F">
        <w:t>make the necessary coding decisions, and 2) Non-core sources are available.</w:t>
      </w:r>
      <w:r w:rsidR="00D26931">
        <w:t xml:space="preserve"> </w:t>
      </w:r>
      <w:r w:rsidRPr="00A7196F">
        <w:t>Coders were given a high level of discretion in identifying reliable non-core sources, though material from activist organizations was avoided.</w:t>
      </w:r>
      <w:r w:rsidR="00D26931">
        <w:t xml:space="preserve"> </w:t>
      </w:r>
      <w:r w:rsidRPr="00A7196F">
        <w:t>Most non-core sources</w:t>
      </w:r>
      <w:r w:rsidR="00EF055B">
        <w:t xml:space="preserve"> were either academic papers, government </w:t>
      </w:r>
      <w:r w:rsidRPr="00A7196F">
        <w:t xml:space="preserve">documents </w:t>
      </w:r>
      <w:r w:rsidR="00153FE2" w:rsidRPr="00A7196F">
        <w:t>(often the text of specific laws)</w:t>
      </w:r>
      <w:r w:rsidR="00EF055B">
        <w:t>,</w:t>
      </w:r>
      <w:r w:rsidR="00153FE2" w:rsidRPr="00A7196F">
        <w:t xml:space="preserve"> </w:t>
      </w:r>
      <w:r w:rsidR="000413AC">
        <w:t xml:space="preserve">or </w:t>
      </w:r>
      <w:r w:rsidR="00EF055B">
        <w:t>official</w:t>
      </w:r>
      <w:r w:rsidR="001D16CB" w:rsidRPr="00A7196F">
        <w:t xml:space="preserve"> websites </w:t>
      </w:r>
      <w:r w:rsidR="00EF055B">
        <w:t>of</w:t>
      </w:r>
      <w:r w:rsidRPr="00A7196F">
        <w:t xml:space="preserve"> the governments in question.</w:t>
      </w:r>
    </w:p>
    <w:p w:rsidR="0073158B" w:rsidRDefault="000E3284">
      <w:pPr>
        <w:pStyle w:val="Next"/>
      </w:pPr>
      <w:r w:rsidRPr="00A7196F">
        <w:t xml:space="preserve">The greatest </w:t>
      </w:r>
      <w:r>
        <w:t>challenge</w:t>
      </w:r>
      <w:r w:rsidRPr="00A7196F">
        <w:t xml:space="preserve"> facing coders involved </w:t>
      </w:r>
      <w:r w:rsidR="00FF79BD">
        <w:t>determin</w:t>
      </w:r>
      <w:r w:rsidRPr="00A7196F">
        <w:t xml:space="preserve">ing </w:t>
      </w:r>
      <w:r>
        <w:t>the precise dates on which different institutional forms were adopted or abandoned</w:t>
      </w:r>
      <w:r w:rsidRPr="00A7196F">
        <w:t>.</w:t>
      </w:r>
      <w:r w:rsidR="00D26931">
        <w:t xml:space="preserve"> </w:t>
      </w:r>
      <w:r w:rsidRPr="00A7196F">
        <w:t xml:space="preserve">Constitutional provisions are easy in this regard: there is a date when a constitution enters into force and a date when it is nullified, </w:t>
      </w:r>
      <w:r w:rsidRPr="00A7196F">
        <w:lastRenderedPageBreak/>
        <w:t>amended, or superseded.</w:t>
      </w:r>
      <w:r w:rsidR="00D26931">
        <w:t xml:space="preserve"> </w:t>
      </w:r>
      <w:r w:rsidRPr="00A7196F">
        <w:t>With some rules, however, it is difficult to identify the precise date at which a law was first enacted or the date at which it was superseded.</w:t>
      </w:r>
    </w:p>
    <w:p w:rsidR="0073158B" w:rsidRDefault="000E3284">
      <w:pPr>
        <w:pStyle w:val="Next"/>
        <w:rPr>
          <w:b/>
          <w:sz w:val="32"/>
          <w:szCs w:val="32"/>
        </w:rPr>
      </w:pPr>
      <w:r w:rsidRPr="00A7196F">
        <w:t>In all cases of uncertain</w:t>
      </w:r>
      <w:r>
        <w:t>t</w:t>
      </w:r>
      <w:r w:rsidRPr="00A7196F">
        <w:t>y, coders were directed to employ a “preponderance of the evidence” standard rather than a “beyond a reasonable doubt” standard.</w:t>
      </w:r>
      <w:r w:rsidR="00D26931">
        <w:t xml:space="preserve"> </w:t>
      </w:r>
      <w:r w:rsidRPr="00A7196F">
        <w:t xml:space="preserve">Instances </w:t>
      </w:r>
      <w:r w:rsidR="001F75CB">
        <w:t>in which</w:t>
      </w:r>
      <w:r w:rsidR="001F75CB" w:rsidRPr="00A7196F">
        <w:t xml:space="preserve"> </w:t>
      </w:r>
      <w:r w:rsidRPr="00A7196F">
        <w:t>the necessary information to make an informed coding is unavailable are coded as missing.</w:t>
      </w:r>
      <w:r w:rsidR="00D26931">
        <w:t xml:space="preserve"> </w:t>
      </w:r>
      <w:r w:rsidRPr="00A7196F">
        <w:t xml:space="preserve">Instances </w:t>
      </w:r>
      <w:r w:rsidR="001F75CB">
        <w:t>in which</w:t>
      </w:r>
      <w:r w:rsidR="001F75CB" w:rsidRPr="00A7196F">
        <w:t xml:space="preserve"> </w:t>
      </w:r>
      <w:r w:rsidRPr="00A7196F">
        <w:t>information is available but the coder was uncertain were flagged for discussion in regular meetings of the coding team and a group decision was made on how to code the variable</w:t>
      </w:r>
      <w:r>
        <w:t>.</w:t>
      </w:r>
    </w:p>
    <w:p w:rsidR="00D26931" w:rsidRDefault="00E275BD" w:rsidP="00D26931">
      <w:pPr>
        <w:pStyle w:val="Heading1"/>
      </w:pPr>
      <w:r w:rsidRPr="00A7196F">
        <w:t>Intercoder Reliabil</w:t>
      </w:r>
      <w:r w:rsidR="008511DA" w:rsidRPr="00A7196F">
        <w:t>i</w:t>
      </w:r>
      <w:r w:rsidRPr="00A7196F">
        <w:t>ty</w:t>
      </w:r>
    </w:p>
    <w:p w:rsidR="0073158B" w:rsidRDefault="008511DA">
      <w:pPr>
        <w:pStyle w:val="First"/>
        <w:rPr>
          <w:sz w:val="32"/>
          <w:szCs w:val="32"/>
        </w:rPr>
      </w:pPr>
      <w:r w:rsidRPr="00A7196F">
        <w:t>Four outside coders were brought in to code a random subset of country-decades already coded by the primary coding team.</w:t>
      </w:r>
      <w:r w:rsidR="00D26931">
        <w:t xml:space="preserve"> </w:t>
      </w:r>
      <w:r w:rsidRPr="00A7196F">
        <w:t>This data was then compared to the master data to identify problematic variables or coders.</w:t>
      </w:r>
      <w:r w:rsidR="00D26931">
        <w:t xml:space="preserve"> </w:t>
      </w:r>
      <w:r w:rsidRPr="00A7196F">
        <w:t xml:space="preserve">This exercise </w:t>
      </w:r>
      <w:r w:rsidR="005975A7">
        <w:t>caused</w:t>
      </w:r>
      <w:r w:rsidR="005975A7" w:rsidRPr="00A7196F">
        <w:t xml:space="preserve"> </w:t>
      </w:r>
      <w:r w:rsidRPr="00A7196F">
        <w:t>one variable to be d</w:t>
      </w:r>
      <w:r w:rsidR="005975A7">
        <w:t>elet</w:t>
      </w:r>
      <w:r w:rsidRPr="00A7196F">
        <w:t>ed from the dataset entirely, and several coding rules to be clarified in the codebook.</w:t>
      </w:r>
      <w:r w:rsidR="00D26931">
        <w:t xml:space="preserve"> </w:t>
      </w:r>
    </w:p>
    <w:p w:rsidR="0073158B" w:rsidRDefault="001D16CB">
      <w:pPr>
        <w:pStyle w:val="Heading1"/>
      </w:pPr>
      <w:r w:rsidRPr="00A7196F">
        <w:t>Implemented vs. M</w:t>
      </w:r>
      <w:r w:rsidR="004245E1" w:rsidRPr="00A7196F">
        <w:t>andated</w:t>
      </w:r>
    </w:p>
    <w:p w:rsidR="0073158B" w:rsidRDefault="001922F7">
      <w:pPr>
        <w:pStyle w:val="First"/>
      </w:pPr>
      <w:r w:rsidRPr="00A7196F">
        <w:t>Several of the core powersharing variables in the dataset have both a mandated and an implemented component.</w:t>
      </w:r>
      <w:r w:rsidR="00D26931">
        <w:t xml:space="preserve"> </w:t>
      </w:r>
      <w:r w:rsidRPr="00A7196F">
        <w:t>This allows us to capture both t</w:t>
      </w:r>
      <w:r w:rsidR="001D16CB" w:rsidRPr="00A7196F">
        <w:t>he de jure rules and the de facto implementation of the same institution.</w:t>
      </w:r>
      <w:r w:rsidR="00D26931">
        <w:t xml:space="preserve"> </w:t>
      </w:r>
      <w:r w:rsidR="001D16CB" w:rsidRPr="00A7196F">
        <w:t>If the de jure institution does not exist, the de facto implementation of that institution is coded as -44 (NA).</w:t>
      </w:r>
    </w:p>
    <w:p w:rsidR="0073158B" w:rsidRDefault="00C94192">
      <w:pPr>
        <w:pStyle w:val="Heading1"/>
      </w:pPr>
      <w:r w:rsidRPr="00A7196F">
        <w:t>A Note on Variables</w:t>
      </w:r>
      <w:r w:rsidR="00987F78">
        <w:t xml:space="preserve"> on the Armed Forces</w:t>
      </w:r>
    </w:p>
    <w:p w:rsidR="0073158B" w:rsidRDefault="008D406A">
      <w:pPr>
        <w:pStyle w:val="First"/>
      </w:pPr>
      <w:r w:rsidRPr="00A7196F">
        <w:t xml:space="preserve">The </w:t>
      </w:r>
      <w:r w:rsidR="00987F78">
        <w:t>information on national armed forces</w:t>
      </w:r>
      <w:r w:rsidRPr="00A7196F">
        <w:t xml:space="preserve"> </w:t>
      </w:r>
      <w:r w:rsidR="001D16CB" w:rsidRPr="00A7196F">
        <w:t>in this dataset capture</w:t>
      </w:r>
      <w:r w:rsidR="00987F78">
        <w:t>s</w:t>
      </w:r>
      <w:r w:rsidRPr="00A7196F">
        <w:t xml:space="preserve"> only mand</w:t>
      </w:r>
      <w:r w:rsidR="001D16CB" w:rsidRPr="00A7196F">
        <w:t xml:space="preserve">ated institutional arrangements; </w:t>
      </w:r>
      <w:r w:rsidR="006D17DE">
        <w:t>they do</w:t>
      </w:r>
      <w:r w:rsidRPr="00A7196F">
        <w:t xml:space="preserve"> not capture any difference that may exist between mandated institutional arrangements and actual institutional practice.</w:t>
      </w:r>
      <w:r w:rsidR="00D26931">
        <w:t xml:space="preserve"> </w:t>
      </w:r>
      <w:r w:rsidRPr="00A7196F">
        <w:t xml:space="preserve">Where coders observed an obvious </w:t>
      </w:r>
      <w:r w:rsidR="004A7106">
        <w:t>discrepancy between formal institutions and actual practice</w:t>
      </w:r>
      <w:r w:rsidRPr="00A7196F">
        <w:t>, a note is made in the comments</w:t>
      </w:r>
      <w:r w:rsidR="004A7106">
        <w:t>.  However,</w:t>
      </w:r>
      <w:r w:rsidRPr="00A7196F">
        <w:t xml:space="preserve"> such deviations are not incorporated into the data itself.</w:t>
      </w:r>
      <w:r w:rsidR="00D26931">
        <w:t xml:space="preserve"> </w:t>
      </w:r>
      <w:r w:rsidR="00987F78">
        <w:t xml:space="preserve"> </w:t>
      </w:r>
      <w:r w:rsidRPr="00A7196F">
        <w:t xml:space="preserve">Additionally, </w:t>
      </w:r>
      <w:r w:rsidR="004A7106">
        <w:t>our data</w:t>
      </w:r>
      <w:r w:rsidRPr="00A7196F">
        <w:t xml:space="preserve"> do not capture regulations that are internal to the military itself.</w:t>
      </w:r>
      <w:r w:rsidR="00D26931">
        <w:t xml:space="preserve"> </w:t>
      </w:r>
      <w:r w:rsidR="00A638D6" w:rsidRPr="00A7196F">
        <w:t>We focus on the constraints placed on the military by the constitution, and not on the constraints the military places on itself or its members.</w:t>
      </w:r>
      <w:r w:rsidR="00D26931">
        <w:t xml:space="preserve"> </w:t>
      </w:r>
      <w:r w:rsidRPr="00A7196F">
        <w:t xml:space="preserve">For example, if there is no constitutional provision stating that </w:t>
      </w:r>
      <w:r w:rsidR="004A7106">
        <w:t xml:space="preserve">active </w:t>
      </w:r>
      <w:r w:rsidRPr="00A7196F">
        <w:t xml:space="preserve">members of the </w:t>
      </w:r>
      <w:r w:rsidR="004A7106">
        <w:t>armed forces</w:t>
      </w:r>
      <w:r w:rsidR="004A7106" w:rsidRPr="00A7196F">
        <w:t xml:space="preserve"> </w:t>
      </w:r>
      <w:r w:rsidRPr="00A7196F">
        <w:t xml:space="preserve">may not serve in the legislature, then no restriction is coded, even if there are rules internal to the </w:t>
      </w:r>
      <w:r w:rsidR="004A7106">
        <w:t>armed forces</w:t>
      </w:r>
      <w:r w:rsidR="004A7106" w:rsidRPr="00A7196F">
        <w:t xml:space="preserve"> </w:t>
      </w:r>
      <w:r w:rsidRPr="00A7196F">
        <w:t>that prevent officers from serving in the legislature.</w:t>
      </w:r>
    </w:p>
    <w:p w:rsidR="0073158B" w:rsidRDefault="00707F81">
      <w:pPr>
        <w:pStyle w:val="Heading1"/>
      </w:pPr>
      <w:r w:rsidRPr="00A7196F">
        <w:t>A Note on the Database of Political Institutions</w:t>
      </w:r>
    </w:p>
    <w:p w:rsidR="0073158B" w:rsidRDefault="00707F81">
      <w:pPr>
        <w:pStyle w:val="First"/>
        <w:rPr>
          <w:rFonts w:cs="Arial"/>
          <w:b/>
          <w:sz w:val="32"/>
          <w:szCs w:val="32"/>
        </w:rPr>
      </w:pPr>
      <w:r w:rsidRPr="00A7196F">
        <w:t>As part of this project, we have filled in missing values and corrected coding errors for a number of DPI variables. These extended and corrected data are now part of the most recent edition of DPI, as well as this dataset.</w:t>
      </w:r>
    </w:p>
    <w:p w:rsidR="0073158B" w:rsidRDefault="00CE01A7">
      <w:pPr>
        <w:pStyle w:val="Heading1"/>
      </w:pPr>
      <w:r w:rsidRPr="00A7196F">
        <w:lastRenderedPageBreak/>
        <w:t>Missing Data</w:t>
      </w:r>
      <w:r w:rsidR="00B052C1" w:rsidRPr="00A7196F">
        <w:t xml:space="preserve"> and Additional Codes</w:t>
      </w:r>
    </w:p>
    <w:p w:rsidR="0073158B" w:rsidRDefault="00035014">
      <w:pPr>
        <w:pStyle w:val="ListParagraph"/>
        <w:autoSpaceDE w:val="0"/>
        <w:autoSpaceDN w:val="0"/>
        <w:adjustRightInd w:val="0"/>
        <w:spacing w:after="0" w:line="240" w:lineRule="auto"/>
        <w:ind w:left="1134" w:hanging="708"/>
        <w:rPr>
          <w:rFonts w:asciiTheme="minorHAnsi" w:hAnsiTheme="minorHAnsi" w:cstheme="minorHAnsi"/>
        </w:rPr>
      </w:pPr>
      <w:r>
        <w:rPr>
          <w:rFonts w:asciiTheme="minorHAnsi" w:hAnsiTheme="minorHAnsi" w:cstheme="minorHAnsi"/>
        </w:rPr>
        <w:t xml:space="preserve">Blank: </w:t>
      </w:r>
      <w:r>
        <w:rPr>
          <w:rFonts w:asciiTheme="minorHAnsi" w:hAnsiTheme="minorHAnsi" w:cstheme="minorHAnsi"/>
        </w:rPr>
        <w:tab/>
        <w:t>Data missing (representet as “.” in the Stata version)</w:t>
      </w:r>
    </w:p>
    <w:p w:rsidR="0073158B" w:rsidRDefault="00CE01A7">
      <w:pPr>
        <w:pStyle w:val="ListParagraph"/>
        <w:autoSpaceDE w:val="0"/>
        <w:autoSpaceDN w:val="0"/>
        <w:adjustRightInd w:val="0"/>
        <w:spacing w:after="0" w:line="240" w:lineRule="auto"/>
        <w:ind w:left="1134" w:hanging="708"/>
        <w:rPr>
          <w:rFonts w:asciiTheme="minorHAnsi" w:hAnsiTheme="minorHAnsi" w:cstheme="minorHAnsi"/>
        </w:rPr>
      </w:pPr>
      <w:r w:rsidRPr="00A7196F">
        <w:rPr>
          <w:rFonts w:asciiTheme="minorHAnsi" w:hAnsiTheme="minorHAnsi" w:cstheme="minorHAnsi"/>
        </w:rPr>
        <w:t>-44</w:t>
      </w:r>
      <w:r w:rsidR="00035014">
        <w:rPr>
          <w:rFonts w:asciiTheme="minorHAnsi" w:hAnsiTheme="minorHAnsi" w:cstheme="minorHAnsi"/>
        </w:rPr>
        <w:t>:</w:t>
      </w:r>
      <w:r w:rsidR="00035014">
        <w:rPr>
          <w:rFonts w:asciiTheme="minorHAnsi" w:hAnsiTheme="minorHAnsi" w:cstheme="minorHAnsi"/>
        </w:rPr>
        <w:tab/>
      </w:r>
      <w:r w:rsidRPr="00A7196F">
        <w:rPr>
          <w:rFonts w:asciiTheme="minorHAnsi" w:hAnsiTheme="minorHAnsi" w:cstheme="minorHAnsi"/>
        </w:rPr>
        <w:t>Not applicable – a value here would be nonsensical</w:t>
      </w:r>
    </w:p>
    <w:p w:rsidR="0073158B" w:rsidRDefault="00CC072C">
      <w:pPr>
        <w:pStyle w:val="ListParagraph"/>
        <w:autoSpaceDE w:val="0"/>
        <w:autoSpaceDN w:val="0"/>
        <w:adjustRightInd w:val="0"/>
        <w:spacing w:after="0" w:line="240" w:lineRule="auto"/>
        <w:ind w:left="1134" w:hanging="708"/>
        <w:rPr>
          <w:rFonts w:asciiTheme="minorHAnsi" w:hAnsiTheme="minorHAnsi" w:cstheme="minorHAnsi"/>
        </w:rPr>
      </w:pPr>
      <w:r w:rsidRPr="00A7196F">
        <w:rPr>
          <w:rFonts w:asciiTheme="minorHAnsi" w:hAnsiTheme="minorHAnsi" w:cstheme="minorHAnsi"/>
        </w:rPr>
        <w:t>-77</w:t>
      </w:r>
      <w:r w:rsidR="00035014">
        <w:rPr>
          <w:rFonts w:asciiTheme="minorHAnsi" w:hAnsiTheme="minorHAnsi" w:cstheme="minorHAnsi"/>
        </w:rPr>
        <w:t>:</w:t>
      </w:r>
      <w:r w:rsidRPr="00A7196F">
        <w:rPr>
          <w:rFonts w:asciiTheme="minorHAnsi" w:hAnsiTheme="minorHAnsi" w:cstheme="minorHAnsi"/>
        </w:rPr>
        <w:t xml:space="preserve"> </w:t>
      </w:r>
      <w:r w:rsidR="00035014">
        <w:rPr>
          <w:rFonts w:asciiTheme="minorHAnsi" w:hAnsiTheme="minorHAnsi" w:cstheme="minorHAnsi"/>
        </w:rPr>
        <w:tab/>
      </w:r>
      <w:r w:rsidRPr="00A7196F">
        <w:rPr>
          <w:rFonts w:asciiTheme="minorHAnsi" w:hAnsiTheme="minorHAnsi" w:cstheme="minorHAnsi"/>
        </w:rPr>
        <w:t>Interregnum.</w:t>
      </w:r>
      <w:r w:rsidR="00D26931">
        <w:rPr>
          <w:rFonts w:asciiTheme="minorHAnsi" w:hAnsiTheme="minorHAnsi" w:cstheme="minorHAnsi"/>
        </w:rPr>
        <w:t xml:space="preserve"> </w:t>
      </w:r>
      <w:r w:rsidRPr="00A7196F">
        <w:rPr>
          <w:rFonts w:asciiTheme="minorHAnsi" w:hAnsiTheme="minorHAnsi" w:cstheme="minorHAnsi"/>
        </w:rPr>
        <w:t>This value is entered for all variables in units of analysis where it is unclear what institutions</w:t>
      </w:r>
      <w:r w:rsidR="00436E6E" w:rsidRPr="00A7196F">
        <w:rPr>
          <w:rFonts w:asciiTheme="minorHAnsi" w:hAnsiTheme="minorHAnsi" w:cstheme="minorHAnsi"/>
        </w:rPr>
        <w:t xml:space="preserve"> or individuals</w:t>
      </w:r>
      <w:r w:rsidR="00EF04E2" w:rsidRPr="00A7196F">
        <w:rPr>
          <w:rFonts w:asciiTheme="minorHAnsi" w:hAnsiTheme="minorHAnsi" w:cstheme="minorHAnsi"/>
        </w:rPr>
        <w:t xml:space="preserve"> govern the polity, or in cases of foreign occupation when the domestic political institutions have been superseded.</w:t>
      </w:r>
      <w:r w:rsidR="00D26931">
        <w:rPr>
          <w:rFonts w:asciiTheme="minorHAnsi" w:hAnsiTheme="minorHAnsi" w:cstheme="minorHAnsi"/>
        </w:rPr>
        <w:t xml:space="preserve"> </w:t>
      </w:r>
    </w:p>
    <w:p w:rsidR="0073158B" w:rsidRDefault="002736DF">
      <w:pPr>
        <w:pStyle w:val="Heading1"/>
      </w:pPr>
      <w:r w:rsidRPr="00A7196F">
        <w:t xml:space="preserve">Changes Within </w:t>
      </w:r>
      <w:r w:rsidR="001F75CB">
        <w:t xml:space="preserve">Calendar </w:t>
      </w:r>
      <w:r w:rsidRPr="00A7196F">
        <w:t>Year</w:t>
      </w:r>
      <w:r w:rsidR="001F75CB">
        <w:t>s</w:t>
      </w:r>
    </w:p>
    <w:p w:rsidR="00D26931" w:rsidRDefault="005D0D95" w:rsidP="00793550">
      <w:pPr>
        <w:pStyle w:val="ListParagraph"/>
        <w:autoSpaceDE w:val="0"/>
        <w:autoSpaceDN w:val="0"/>
        <w:adjustRightInd w:val="0"/>
        <w:spacing w:after="0" w:line="240" w:lineRule="auto"/>
        <w:ind w:left="0"/>
        <w:rPr>
          <w:rFonts w:asciiTheme="minorHAnsi" w:hAnsiTheme="minorHAnsi" w:cstheme="minorHAnsi"/>
        </w:rPr>
      </w:pPr>
      <w:r>
        <w:rPr>
          <w:rFonts w:asciiTheme="minorHAnsi" w:hAnsiTheme="minorHAnsi" w:cstheme="minorHAnsi"/>
        </w:rPr>
        <w:t>In the country-year version of the dataset, a</w:t>
      </w:r>
      <w:r w:rsidR="002736DF" w:rsidRPr="00A7196F">
        <w:rPr>
          <w:rFonts w:asciiTheme="minorHAnsi" w:hAnsiTheme="minorHAnsi" w:cstheme="minorHAnsi"/>
        </w:rPr>
        <w:t>ll observations are coded as of January 1</w:t>
      </w:r>
      <w:r w:rsidR="002736DF" w:rsidRPr="00A7196F">
        <w:rPr>
          <w:rFonts w:asciiTheme="minorHAnsi" w:hAnsiTheme="minorHAnsi" w:cstheme="minorHAnsi"/>
          <w:vertAlign w:val="superscript"/>
        </w:rPr>
        <w:t>st</w:t>
      </w:r>
      <w:r w:rsidR="002736DF" w:rsidRPr="00A7196F">
        <w:rPr>
          <w:rFonts w:asciiTheme="minorHAnsi" w:hAnsiTheme="minorHAnsi" w:cstheme="minorHAnsi"/>
        </w:rPr>
        <w:t xml:space="preserve"> in the y</w:t>
      </w:r>
      <w:r w:rsidR="00222C57" w:rsidRPr="00A7196F">
        <w:rPr>
          <w:rFonts w:asciiTheme="minorHAnsi" w:hAnsiTheme="minorHAnsi" w:cstheme="minorHAnsi"/>
        </w:rPr>
        <w:t>ear indicated.</w:t>
      </w:r>
      <w:r w:rsidR="00D26931">
        <w:rPr>
          <w:rFonts w:asciiTheme="minorHAnsi" w:hAnsiTheme="minorHAnsi" w:cstheme="minorHAnsi"/>
        </w:rPr>
        <w:t xml:space="preserve"> </w:t>
      </w:r>
      <w:r w:rsidR="00222C57" w:rsidRPr="00A7196F">
        <w:rPr>
          <w:rFonts w:asciiTheme="minorHAnsi" w:hAnsiTheme="minorHAnsi" w:cstheme="minorHAnsi"/>
        </w:rPr>
        <w:t>Therefore, if a</w:t>
      </w:r>
      <w:r w:rsidR="002736DF" w:rsidRPr="00A7196F">
        <w:rPr>
          <w:rFonts w:asciiTheme="minorHAnsi" w:hAnsiTheme="minorHAnsi" w:cstheme="minorHAnsi"/>
        </w:rPr>
        <w:t xml:space="preserve"> new institution</w:t>
      </w:r>
      <w:r w:rsidR="00034688" w:rsidRPr="00A7196F">
        <w:rPr>
          <w:rFonts w:asciiTheme="minorHAnsi" w:hAnsiTheme="minorHAnsi" w:cstheme="minorHAnsi"/>
        </w:rPr>
        <w:t>, such as reserved seats for a minority group, is introduced in February of 1986, it wou</w:t>
      </w:r>
      <w:r w:rsidR="00A07576" w:rsidRPr="00A7196F">
        <w:rPr>
          <w:rFonts w:asciiTheme="minorHAnsi" w:hAnsiTheme="minorHAnsi" w:cstheme="minorHAnsi"/>
        </w:rPr>
        <w:t xml:space="preserve">ld first show up in the country-year observation </w:t>
      </w:r>
      <w:r>
        <w:rPr>
          <w:rFonts w:asciiTheme="minorHAnsi" w:hAnsiTheme="minorHAnsi" w:cstheme="minorHAnsi"/>
        </w:rPr>
        <w:t>for 1987.</w:t>
      </w:r>
    </w:p>
    <w:p w:rsidR="00CE01A7" w:rsidRPr="00A7196F" w:rsidRDefault="00CE01A7" w:rsidP="005D0D95">
      <w:pPr>
        <w:autoSpaceDE w:val="0"/>
        <w:autoSpaceDN w:val="0"/>
        <w:adjustRightInd w:val="0"/>
        <w:spacing w:after="0" w:line="240" w:lineRule="auto"/>
        <w:contextualSpacing/>
        <w:rPr>
          <w:rFonts w:ascii="Arial Narrow" w:hAnsi="Arial Narrow" w:cs="Arial"/>
          <w:sz w:val="36"/>
          <w:szCs w:val="36"/>
        </w:rPr>
      </w:pPr>
    </w:p>
    <w:tbl>
      <w:tblPr>
        <w:tblStyle w:val="LightShading-Accent11"/>
        <w:tblpPr w:leftFromText="180" w:rightFromText="180" w:vertAnchor="text" w:tblpY="1"/>
        <w:tblOverlap w:val="never"/>
        <w:tblW w:w="142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526"/>
        <w:gridCol w:w="1821"/>
        <w:gridCol w:w="1693"/>
        <w:gridCol w:w="6800"/>
        <w:gridCol w:w="2370"/>
      </w:tblGrid>
      <w:tr w:rsidR="009124AC" w:rsidRPr="00A7196F">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2D641C" w:rsidRPr="00035014" w:rsidRDefault="00007EC5" w:rsidP="00BB5732">
            <w:pPr>
              <w:keepNext/>
              <w:autoSpaceDE w:val="0"/>
              <w:autoSpaceDN w:val="0"/>
              <w:adjustRightInd w:val="0"/>
              <w:spacing w:before="240" w:after="0" w:line="240" w:lineRule="auto"/>
              <w:contextualSpacing/>
              <w:outlineLvl w:val="1"/>
              <w:rPr>
                <w:rFonts w:ascii="Arial Narrow" w:hAnsi="Arial Narrow" w:cs="Arial"/>
                <w:bCs w:val="0"/>
                <w:color w:val="auto"/>
                <w:sz w:val="24"/>
              </w:rPr>
            </w:pPr>
            <w:r w:rsidRPr="00007EC5">
              <w:rPr>
                <w:rFonts w:ascii="Arial Narrow" w:hAnsi="Arial Narrow" w:cs="Arial"/>
                <w:sz w:val="24"/>
              </w:rPr>
              <w:t>Concept</w:t>
            </w:r>
          </w:p>
        </w:tc>
        <w:tc>
          <w:tcPr>
            <w:tcW w:w="1821" w:type="dxa"/>
            <w:shd w:val="clear" w:color="auto" w:fill="auto"/>
          </w:tcPr>
          <w:p w:rsidR="000A24CE" w:rsidRPr="00035014" w:rsidRDefault="00007EC5" w:rsidP="00BB5732">
            <w:pPr>
              <w:keepNext/>
              <w:autoSpaceDE w:val="0"/>
              <w:autoSpaceDN w:val="0"/>
              <w:adjustRightInd w:val="0"/>
              <w:spacing w:before="240" w:after="0" w:line="240" w:lineRule="auto"/>
              <w:contextualSpacing/>
              <w:outlineLvl w:val="1"/>
              <w:cnfStyle w:val="100000000000" w:firstRow="1" w:lastRow="0" w:firstColumn="0" w:lastColumn="0" w:oddVBand="0" w:evenVBand="0" w:oddHBand="0" w:evenHBand="0" w:firstRowFirstColumn="0" w:firstRowLastColumn="0" w:lastRowFirstColumn="0" w:lastRowLastColumn="0"/>
              <w:rPr>
                <w:rFonts w:ascii="Arial Narrow" w:hAnsi="Arial Narrow" w:cs="Arial"/>
                <w:bCs w:val="0"/>
                <w:color w:val="auto"/>
                <w:sz w:val="24"/>
              </w:rPr>
            </w:pPr>
            <w:r w:rsidRPr="00007EC5">
              <w:rPr>
                <w:rFonts w:ascii="Arial Narrow" w:hAnsi="Arial Narrow" w:cs="Arial"/>
                <w:sz w:val="24"/>
              </w:rPr>
              <w:t>Short Name</w:t>
            </w:r>
          </w:p>
        </w:tc>
        <w:tc>
          <w:tcPr>
            <w:tcW w:w="0" w:type="auto"/>
            <w:shd w:val="clear" w:color="auto" w:fill="auto"/>
          </w:tcPr>
          <w:p w:rsidR="000A24CE" w:rsidRPr="00035014" w:rsidRDefault="00007EC5" w:rsidP="00BB5732">
            <w:pPr>
              <w:keepNext/>
              <w:autoSpaceDE w:val="0"/>
              <w:autoSpaceDN w:val="0"/>
              <w:adjustRightInd w:val="0"/>
              <w:spacing w:before="240" w:after="0" w:line="240" w:lineRule="auto"/>
              <w:contextualSpacing/>
              <w:outlineLvl w:val="1"/>
              <w:cnfStyle w:val="100000000000" w:firstRow="1" w:lastRow="0" w:firstColumn="0" w:lastColumn="0" w:oddVBand="0" w:evenVBand="0" w:oddHBand="0" w:evenHBand="0" w:firstRowFirstColumn="0" w:firstRowLastColumn="0" w:lastRowFirstColumn="0" w:lastRowLastColumn="0"/>
              <w:rPr>
                <w:rFonts w:ascii="Arial Narrow" w:hAnsi="Arial Narrow" w:cs="Arial"/>
                <w:bCs w:val="0"/>
                <w:color w:val="auto"/>
                <w:sz w:val="24"/>
              </w:rPr>
            </w:pPr>
            <w:r w:rsidRPr="00007EC5">
              <w:rPr>
                <w:rFonts w:ascii="Arial Narrow" w:hAnsi="Arial Narrow" w:cs="Arial"/>
                <w:sz w:val="24"/>
              </w:rPr>
              <w:t>Long Name</w:t>
            </w:r>
          </w:p>
        </w:tc>
        <w:tc>
          <w:tcPr>
            <w:tcW w:w="6800" w:type="dxa"/>
            <w:shd w:val="clear" w:color="auto" w:fill="auto"/>
          </w:tcPr>
          <w:p w:rsidR="000A24CE" w:rsidRPr="00035014" w:rsidRDefault="00007EC5" w:rsidP="00BB5732">
            <w:pPr>
              <w:keepNext/>
              <w:autoSpaceDE w:val="0"/>
              <w:autoSpaceDN w:val="0"/>
              <w:adjustRightInd w:val="0"/>
              <w:spacing w:before="240" w:after="0" w:line="240" w:lineRule="auto"/>
              <w:contextualSpacing/>
              <w:outlineLvl w:val="1"/>
              <w:cnfStyle w:val="100000000000" w:firstRow="1" w:lastRow="0" w:firstColumn="0" w:lastColumn="0" w:oddVBand="0" w:evenVBand="0" w:oddHBand="0" w:evenHBand="0" w:firstRowFirstColumn="0" w:firstRowLastColumn="0" w:lastRowFirstColumn="0" w:lastRowLastColumn="0"/>
              <w:rPr>
                <w:rFonts w:ascii="Arial Narrow" w:hAnsi="Arial Narrow" w:cs="Arial"/>
                <w:bCs w:val="0"/>
                <w:color w:val="auto"/>
                <w:sz w:val="24"/>
              </w:rPr>
            </w:pPr>
            <w:r w:rsidRPr="00007EC5">
              <w:rPr>
                <w:rFonts w:ascii="Arial Narrow" w:hAnsi="Arial Narrow" w:cs="Arial"/>
                <w:sz w:val="24"/>
              </w:rPr>
              <w:t>Coding</w:t>
            </w:r>
          </w:p>
        </w:tc>
        <w:tc>
          <w:tcPr>
            <w:tcW w:w="0" w:type="auto"/>
            <w:shd w:val="clear" w:color="auto" w:fill="auto"/>
          </w:tcPr>
          <w:p w:rsidR="000A24CE" w:rsidRPr="00035014" w:rsidRDefault="00007EC5" w:rsidP="00BB5732">
            <w:pPr>
              <w:keepNext/>
              <w:autoSpaceDE w:val="0"/>
              <w:autoSpaceDN w:val="0"/>
              <w:adjustRightInd w:val="0"/>
              <w:spacing w:before="240" w:after="0" w:line="240" w:lineRule="auto"/>
              <w:contextualSpacing/>
              <w:outlineLvl w:val="1"/>
              <w:cnfStyle w:val="100000000000" w:firstRow="1" w:lastRow="0" w:firstColumn="0" w:lastColumn="0" w:oddVBand="0" w:evenVBand="0" w:oddHBand="0" w:evenHBand="0" w:firstRowFirstColumn="0" w:firstRowLastColumn="0" w:lastRowFirstColumn="0" w:lastRowLastColumn="0"/>
              <w:rPr>
                <w:rFonts w:ascii="Arial Narrow" w:hAnsi="Arial Narrow" w:cs="Arial"/>
                <w:bCs w:val="0"/>
                <w:color w:val="auto"/>
                <w:sz w:val="24"/>
              </w:rPr>
            </w:pPr>
            <w:r w:rsidRPr="00007EC5">
              <w:rPr>
                <w:rFonts w:ascii="Arial Narrow" w:hAnsi="Arial Narrow" w:cs="Arial"/>
                <w:sz w:val="24"/>
              </w:rPr>
              <w:t>Notes on Sourcing</w:t>
            </w:r>
          </w:p>
        </w:tc>
      </w:tr>
      <w:tr w:rsidR="009124AC" w:rsidRPr="00A7196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2718A4" w:rsidRPr="00A7196F" w:rsidRDefault="002718A4" w:rsidP="00BB5732">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Institutional Suspensions</w:t>
            </w:r>
          </w:p>
        </w:tc>
        <w:tc>
          <w:tcPr>
            <w:tcW w:w="1821" w:type="dxa"/>
            <w:shd w:val="clear" w:color="auto" w:fill="auto"/>
          </w:tcPr>
          <w:p w:rsidR="002718A4" w:rsidRPr="00A7196F" w:rsidRDefault="00AA312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consts</w:t>
            </w:r>
            <w:r w:rsidR="002718A4" w:rsidRPr="00A7196F">
              <w:rPr>
                <w:rFonts w:ascii="Arial Narrow" w:hAnsi="Arial Narrow" w:cs="Arial"/>
                <w:color w:val="auto"/>
              </w:rPr>
              <w:t>usp</w:t>
            </w:r>
          </w:p>
        </w:tc>
        <w:tc>
          <w:tcPr>
            <w:tcW w:w="0" w:type="auto"/>
            <w:shd w:val="clear" w:color="auto" w:fill="auto"/>
          </w:tcPr>
          <w:p w:rsidR="002718A4" w:rsidRPr="00A7196F" w:rsidRDefault="002A252F"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C</w:t>
            </w:r>
            <w:r w:rsidR="008D7DAC">
              <w:rPr>
                <w:rFonts w:ascii="Arial Narrow" w:hAnsi="Arial Narrow" w:cs="Arial"/>
                <w:color w:val="auto"/>
              </w:rPr>
              <w:t>onstitution</w:t>
            </w:r>
            <w:r w:rsidR="00086478">
              <w:rPr>
                <w:rFonts w:ascii="Arial Narrow" w:hAnsi="Arial Narrow" w:cs="Arial"/>
                <w:color w:val="auto"/>
              </w:rPr>
              <w:t xml:space="preserve"> suspended</w:t>
            </w:r>
          </w:p>
        </w:tc>
        <w:tc>
          <w:tcPr>
            <w:tcW w:w="6800" w:type="dxa"/>
            <w:shd w:val="clear" w:color="auto" w:fill="auto"/>
          </w:tcPr>
          <w:p w:rsidR="002718A4" w:rsidRPr="00A7196F" w:rsidRDefault="002718A4"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constitution is suspended</w:t>
            </w:r>
          </w:p>
          <w:p w:rsidR="00CA1B6A" w:rsidRPr="00A7196F" w:rsidRDefault="00CA1B6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no constitution</w:t>
            </w:r>
          </w:p>
          <w:p w:rsidR="002718A4" w:rsidRPr="00A7196F" w:rsidRDefault="002718A4"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D26931" w:rsidRDefault="002718A4"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*Code 1 if any provisions </w:t>
            </w:r>
            <w:r w:rsidR="00CA1B6A" w:rsidRPr="00A7196F">
              <w:rPr>
                <w:rFonts w:ascii="Arial Narrow" w:hAnsi="Arial Narrow" w:cs="Arial"/>
                <w:color w:val="auto"/>
              </w:rPr>
              <w:t xml:space="preserve">of the constitution </w:t>
            </w:r>
            <w:r w:rsidRPr="00A7196F">
              <w:rPr>
                <w:rFonts w:ascii="Arial Narrow" w:hAnsi="Arial Narrow" w:cs="Arial"/>
                <w:color w:val="auto"/>
              </w:rPr>
              <w:t>are suspended – partial suspensions are coded 1.</w:t>
            </w:r>
          </w:p>
          <w:p w:rsidR="003459C9" w:rsidRPr="00A7196F" w:rsidRDefault="003459C9"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there is military contravention of the constitution, it is considered suspended</w:t>
            </w:r>
            <w:r w:rsidR="00066EA2" w:rsidRPr="00A7196F">
              <w:rPr>
                <w:rFonts w:ascii="Arial Narrow" w:hAnsi="Arial Narrow" w:cs="Arial"/>
                <w:color w:val="auto"/>
              </w:rPr>
              <w:t>.</w:t>
            </w:r>
          </w:p>
          <w:p w:rsidR="00D26931" w:rsidRDefault="00066EA2"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*A constitution is no longer considered suspended once a new constitution is </w:t>
            </w:r>
            <w:r w:rsidR="00377BAA">
              <w:rPr>
                <w:rFonts w:ascii="Arial Narrow" w:hAnsi="Arial Narrow" w:cs="Arial"/>
                <w:color w:val="auto"/>
              </w:rPr>
              <w:t>adopted</w:t>
            </w:r>
            <w:r w:rsidR="00CA1B6A" w:rsidRPr="00A7196F">
              <w:rPr>
                <w:rFonts w:ascii="Arial Narrow" w:hAnsi="Arial Narrow" w:cs="Arial"/>
                <w:color w:val="auto"/>
              </w:rPr>
              <w:t xml:space="preserve">, or </w:t>
            </w:r>
            <w:r w:rsidR="00377BAA">
              <w:rPr>
                <w:rFonts w:ascii="Arial Narrow" w:hAnsi="Arial Narrow" w:cs="Arial"/>
                <w:color w:val="auto"/>
              </w:rPr>
              <w:t xml:space="preserve">once </w:t>
            </w:r>
            <w:r w:rsidR="00CA1B6A" w:rsidRPr="00A7196F">
              <w:rPr>
                <w:rFonts w:ascii="Arial Narrow" w:hAnsi="Arial Narrow" w:cs="Arial"/>
                <w:color w:val="auto"/>
              </w:rPr>
              <w:t>the old one is amended and returned to force</w:t>
            </w:r>
            <w:r w:rsidRPr="00A7196F">
              <w:rPr>
                <w:rFonts w:ascii="Arial Narrow" w:hAnsi="Arial Narrow" w:cs="Arial"/>
                <w:color w:val="auto"/>
              </w:rPr>
              <w:t>.</w:t>
            </w:r>
          </w:p>
          <w:p w:rsidR="00CC77B1" w:rsidRPr="00A7196F" w:rsidRDefault="00066EA2"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*If a constitution is suspended and returned to force within a calendar year, </w:t>
            </w:r>
            <w:r w:rsidR="00CC77B1" w:rsidRPr="00A7196F">
              <w:rPr>
                <w:rFonts w:ascii="Arial Narrow" w:hAnsi="Arial Narrow" w:cs="Arial"/>
                <w:color w:val="auto"/>
              </w:rPr>
              <w:t>this will be reflected in the polity-unit version of the dataset, but not in the country-year data</w:t>
            </w:r>
          </w:p>
          <w:p w:rsidR="002718A4" w:rsidRPr="00A7196F" w:rsidRDefault="00CA1B6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no constitutional suspension is mentioned in the core sources, a 0 is coded.</w:t>
            </w:r>
          </w:p>
        </w:tc>
        <w:tc>
          <w:tcPr>
            <w:tcW w:w="0" w:type="auto"/>
            <w:vMerge w:val="restart"/>
            <w:shd w:val="clear" w:color="auto" w:fill="auto"/>
          </w:tcPr>
          <w:p w:rsidR="002718A4" w:rsidRPr="00A7196F" w:rsidRDefault="00240F5D" w:rsidP="009124AC">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These three variables are coded </w:t>
            </w:r>
            <w:r w:rsidR="00086501" w:rsidRPr="00A7196F">
              <w:rPr>
                <w:rFonts w:ascii="Arial Narrow" w:hAnsi="Arial Narrow" w:cs="Arial"/>
                <w:color w:val="auto"/>
              </w:rPr>
              <w:t xml:space="preserve">primarily </w:t>
            </w:r>
            <w:r w:rsidRPr="00A7196F">
              <w:rPr>
                <w:rFonts w:ascii="Arial Narrow" w:hAnsi="Arial Narrow" w:cs="Arial"/>
                <w:color w:val="auto"/>
              </w:rPr>
              <w:t>using the</w:t>
            </w:r>
            <w:r w:rsidR="009124AC">
              <w:rPr>
                <w:rFonts w:ascii="Arial Narrow" w:hAnsi="Arial Narrow" w:cs="Arial"/>
                <w:color w:val="auto"/>
              </w:rPr>
              <w:t xml:space="preserve"> history section of the</w:t>
            </w:r>
            <w:r w:rsidRPr="00A7196F">
              <w:rPr>
                <w:rFonts w:ascii="Arial Narrow" w:hAnsi="Arial Narrow" w:cs="Arial"/>
                <w:color w:val="auto"/>
              </w:rPr>
              <w:t xml:space="preserve"> Europa</w:t>
            </w:r>
            <w:r w:rsidR="009124AC">
              <w:rPr>
                <w:rFonts w:ascii="Arial Narrow" w:hAnsi="Arial Narrow" w:cs="Arial"/>
                <w:color w:val="auto"/>
              </w:rPr>
              <w:t xml:space="preserve"> World Yearbook for</w:t>
            </w:r>
            <w:r w:rsidRPr="00A7196F">
              <w:rPr>
                <w:rFonts w:ascii="Arial Narrow" w:hAnsi="Arial Narrow" w:cs="Arial"/>
                <w:color w:val="auto"/>
              </w:rPr>
              <w:t xml:space="preserve"> each country.</w:t>
            </w:r>
            <w:r w:rsidR="00D26931">
              <w:rPr>
                <w:rFonts w:ascii="Arial Narrow" w:hAnsi="Arial Narrow" w:cs="Arial"/>
                <w:color w:val="auto"/>
              </w:rPr>
              <w:t xml:space="preserve"> </w:t>
            </w:r>
          </w:p>
        </w:tc>
      </w:tr>
      <w:tr w:rsidR="009124AC" w:rsidRPr="00A7196F">
        <w:trPr>
          <w:trHeight w:val="630"/>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2718A4" w:rsidRPr="00A7196F" w:rsidRDefault="002718A4" w:rsidP="00BB5732">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2718A4" w:rsidRPr="00A7196F" w:rsidRDefault="00712F2E"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w:t>
            </w:r>
            <w:r w:rsidR="002718A4" w:rsidRPr="00A7196F">
              <w:rPr>
                <w:rFonts w:ascii="Arial Narrow" w:hAnsi="Arial Narrow" w:cs="Arial"/>
                <w:color w:val="auto"/>
              </w:rPr>
              <w:t>reaty</w:t>
            </w:r>
          </w:p>
        </w:tc>
        <w:tc>
          <w:tcPr>
            <w:tcW w:w="0" w:type="auto"/>
            <w:shd w:val="clear" w:color="auto" w:fill="auto"/>
          </w:tcPr>
          <w:p w:rsidR="002718A4" w:rsidRPr="00A7196F" w:rsidRDefault="002A252F"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T</w:t>
            </w:r>
            <w:r w:rsidR="00086478">
              <w:rPr>
                <w:rFonts w:ascii="Arial Narrow" w:hAnsi="Arial Narrow" w:cs="Arial"/>
                <w:color w:val="auto"/>
              </w:rPr>
              <w:t xml:space="preserve">reaty </w:t>
            </w:r>
          </w:p>
        </w:tc>
        <w:tc>
          <w:tcPr>
            <w:tcW w:w="6800" w:type="dxa"/>
            <w:shd w:val="clear" w:color="auto" w:fill="auto"/>
          </w:tcPr>
          <w:p w:rsidR="00D26931" w:rsidRDefault="002718A4"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A7196F">
              <w:rPr>
                <w:rFonts w:ascii="Arial Narrow" w:hAnsi="Arial Narrow"/>
                <w:color w:val="auto"/>
              </w:rPr>
              <w:t>1 if a peace treaty</w:t>
            </w:r>
            <w:r w:rsidR="00483E5F" w:rsidRPr="00A7196F">
              <w:rPr>
                <w:rFonts w:ascii="Arial Narrow" w:hAnsi="Arial Narrow"/>
                <w:color w:val="auto"/>
              </w:rPr>
              <w:t>,</w:t>
            </w:r>
            <w:r w:rsidRPr="00A7196F">
              <w:rPr>
                <w:rFonts w:ascii="Arial Narrow" w:hAnsi="Arial Narrow"/>
                <w:color w:val="auto"/>
              </w:rPr>
              <w:t xml:space="preserve"> or similar accord is in effect</w:t>
            </w:r>
            <w:r w:rsidR="00625680">
              <w:rPr>
                <w:rFonts w:ascii="Arial Narrow" w:hAnsi="Arial Narrow"/>
                <w:color w:val="auto"/>
              </w:rPr>
              <w:t xml:space="preserve"> </w:t>
            </w:r>
            <w:r w:rsidR="00625680" w:rsidRPr="00A7196F">
              <w:rPr>
                <w:rFonts w:ascii="Arial Narrow" w:hAnsi="Arial Narrow"/>
                <w:color w:val="auto"/>
              </w:rPr>
              <w:t>(in lieu of a constitution)</w:t>
            </w:r>
            <w:r w:rsidRPr="00A7196F">
              <w:rPr>
                <w:rFonts w:ascii="Arial Narrow" w:hAnsi="Arial Narrow"/>
                <w:color w:val="auto"/>
              </w:rPr>
              <w:t xml:space="preserve"> and mandates specific political institutions;</w:t>
            </w:r>
          </w:p>
          <w:p w:rsidR="00D26931" w:rsidRDefault="002718A4"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A7196F">
              <w:rPr>
                <w:rFonts w:ascii="Arial Narrow" w:hAnsi="Arial Narrow"/>
                <w:color w:val="auto"/>
              </w:rPr>
              <w:t>0 otherwise.</w:t>
            </w:r>
          </w:p>
          <w:p w:rsidR="00D26931" w:rsidRDefault="002718A4"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A7196F">
              <w:rPr>
                <w:rFonts w:ascii="Arial Narrow" w:hAnsi="Arial Narrow"/>
                <w:color w:val="auto"/>
              </w:rPr>
              <w:t>*Countries that have no constitution in effect but are not governed by peace treaties (e.g. non-constitutional monarchy, newly independent states which have not yet adopted a constitution) are coded 0.</w:t>
            </w:r>
          </w:p>
          <w:p w:rsidR="00066EA2" w:rsidRPr="00A7196F" w:rsidRDefault="008C7C68"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A7196F">
              <w:rPr>
                <w:rFonts w:ascii="Arial Narrow" w:hAnsi="Arial Narrow"/>
                <w:color w:val="auto"/>
              </w:rPr>
              <w:t xml:space="preserve">*If a constitution is in effect (i.e. is not </w:t>
            </w:r>
            <w:r w:rsidR="002B1E35" w:rsidRPr="00A7196F">
              <w:rPr>
                <w:rFonts w:ascii="Arial Narrow" w:hAnsi="Arial Narrow"/>
                <w:color w:val="auto"/>
              </w:rPr>
              <w:t>superseded</w:t>
            </w:r>
            <w:r w:rsidRPr="00A7196F">
              <w:rPr>
                <w:rFonts w:ascii="Arial Narrow" w:hAnsi="Arial Narrow"/>
                <w:color w:val="auto"/>
              </w:rPr>
              <w:t xml:space="preserve"> by a peace treaty) code 0.</w:t>
            </w:r>
            <w:r w:rsidR="00D26931">
              <w:rPr>
                <w:rFonts w:ascii="Arial Narrow" w:hAnsi="Arial Narrow"/>
                <w:color w:val="auto"/>
              </w:rPr>
              <w:t xml:space="preserve"> </w:t>
            </w:r>
            <w:r w:rsidRPr="00A7196F">
              <w:rPr>
                <w:rFonts w:ascii="Arial Narrow" w:hAnsi="Arial Narrow"/>
                <w:color w:val="auto"/>
              </w:rPr>
              <w:t>It will be common for a country to be coded 1 for a year or two after a peace treaty is signed but before the terms of that treaty are enshrined in a constitution.</w:t>
            </w:r>
          </w:p>
          <w:p w:rsidR="002718A4" w:rsidRPr="00A7196F" w:rsidRDefault="00066EA2" w:rsidP="00625680">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A7196F">
              <w:rPr>
                <w:rFonts w:ascii="Arial Narrow" w:hAnsi="Arial Narrow"/>
                <w:color w:val="auto"/>
              </w:rPr>
              <w:t>* If a state withdraws from the treaty in question, or announces its intention no longer</w:t>
            </w:r>
            <w:r w:rsidR="00625680" w:rsidRPr="00A7196F">
              <w:rPr>
                <w:rFonts w:ascii="Arial Narrow" w:hAnsi="Arial Narrow"/>
                <w:color w:val="auto"/>
              </w:rPr>
              <w:t xml:space="preserve"> to </w:t>
            </w:r>
            <w:r w:rsidRPr="00A7196F">
              <w:rPr>
                <w:rFonts w:ascii="Arial Narrow" w:hAnsi="Arial Narrow"/>
                <w:color w:val="auto"/>
              </w:rPr>
              <w:t>abide by its terms, code 0 thereafter.</w:t>
            </w:r>
          </w:p>
        </w:tc>
        <w:tc>
          <w:tcPr>
            <w:tcW w:w="0" w:type="auto"/>
            <w:vMerge/>
            <w:shd w:val="clear" w:color="auto" w:fill="auto"/>
          </w:tcPr>
          <w:p w:rsidR="002718A4" w:rsidRPr="00A7196F" w:rsidRDefault="002718A4"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2718A4" w:rsidRPr="00A7196F" w:rsidRDefault="002718A4" w:rsidP="00BB5732">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2718A4" w:rsidRPr="00A7196F" w:rsidRDefault="00F00B71"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m</w:t>
            </w:r>
            <w:r w:rsidR="00AA312A" w:rsidRPr="00A7196F">
              <w:rPr>
                <w:rFonts w:ascii="Arial Narrow" w:hAnsi="Arial Narrow" w:cs="Arial"/>
                <w:color w:val="auto"/>
              </w:rPr>
              <w:t>artiall</w:t>
            </w:r>
            <w:r w:rsidR="002718A4" w:rsidRPr="00A7196F">
              <w:rPr>
                <w:rFonts w:ascii="Arial Narrow" w:hAnsi="Arial Narrow" w:cs="Arial"/>
                <w:color w:val="auto"/>
              </w:rPr>
              <w:t>aw</w:t>
            </w:r>
            <w:r>
              <w:rPr>
                <w:rFonts w:ascii="Arial Narrow" w:hAnsi="Arial Narrow" w:cs="Arial"/>
                <w:color w:val="auto"/>
              </w:rPr>
              <w:t>_binary</w:t>
            </w:r>
          </w:p>
        </w:tc>
        <w:tc>
          <w:tcPr>
            <w:tcW w:w="0" w:type="auto"/>
            <w:shd w:val="clear" w:color="auto" w:fill="auto"/>
          </w:tcPr>
          <w:p w:rsidR="002718A4" w:rsidRPr="00A7196F" w:rsidRDefault="002A252F"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M</w:t>
            </w:r>
            <w:r w:rsidR="002718A4" w:rsidRPr="00A7196F">
              <w:rPr>
                <w:rFonts w:ascii="Arial Narrow" w:hAnsi="Arial Narrow" w:cs="Arial"/>
                <w:color w:val="auto"/>
              </w:rPr>
              <w:t>artial law</w:t>
            </w:r>
          </w:p>
        </w:tc>
        <w:tc>
          <w:tcPr>
            <w:tcW w:w="6800" w:type="dxa"/>
            <w:shd w:val="clear" w:color="auto" w:fill="auto"/>
          </w:tcPr>
          <w:p w:rsidR="00086501" w:rsidRPr="00A7196F" w:rsidRDefault="00604316"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1</w:t>
            </w:r>
            <w:r w:rsidR="00086501" w:rsidRPr="00A7196F">
              <w:rPr>
                <w:rFonts w:ascii="Arial Narrow" w:hAnsi="Arial Narrow" w:cs="Arial"/>
                <w:color w:val="auto"/>
              </w:rPr>
              <w:t xml:space="preserve"> If martial law is in force in all or part of the</w:t>
            </w:r>
            <w:r w:rsidR="002718A4" w:rsidRPr="00A7196F">
              <w:rPr>
                <w:rFonts w:ascii="Arial Narrow" w:hAnsi="Arial Narrow" w:cs="Arial"/>
                <w:color w:val="auto"/>
              </w:rPr>
              <w:t xml:space="preserve"> country</w:t>
            </w:r>
          </w:p>
          <w:p w:rsidR="002718A4" w:rsidRPr="00A7196F" w:rsidRDefault="002718A4"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2718A4" w:rsidRPr="00A7196F" w:rsidRDefault="00086501" w:rsidP="00BB573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w:t>
            </w:r>
            <w:r w:rsidR="00CA73CD" w:rsidRPr="00A7196F">
              <w:rPr>
                <w:rFonts w:ascii="Arial Narrow" w:hAnsi="Arial Narrow" w:cs="Arial"/>
                <w:color w:val="auto"/>
              </w:rPr>
              <w:t>If no mention of martial law is made in the core sources, code 0.</w:t>
            </w:r>
            <w:r w:rsidR="00D26931">
              <w:rPr>
                <w:rFonts w:ascii="Arial Narrow" w:hAnsi="Arial Narrow" w:cs="Arial"/>
                <w:color w:val="auto"/>
              </w:rPr>
              <w:t xml:space="preserve"> </w:t>
            </w:r>
          </w:p>
        </w:tc>
        <w:tc>
          <w:tcPr>
            <w:tcW w:w="0" w:type="auto"/>
            <w:vMerge/>
            <w:shd w:val="clear" w:color="auto" w:fill="auto"/>
          </w:tcPr>
          <w:p w:rsidR="002718A4" w:rsidRPr="00A7196F" w:rsidRDefault="002718A4"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1396"/>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C165A3" w:rsidRPr="00A7196F" w:rsidRDefault="00C165A3" w:rsidP="00BB5732">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Grand Coalition</w:t>
            </w:r>
          </w:p>
        </w:tc>
        <w:tc>
          <w:tcPr>
            <w:tcW w:w="1821" w:type="dxa"/>
            <w:shd w:val="clear" w:color="auto" w:fill="auto"/>
          </w:tcPr>
          <w:p w:rsidR="00C165A3" w:rsidRPr="00A7196F" w:rsidRDefault="00712F2E"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gcm</w:t>
            </w:r>
            <w:r w:rsidR="00C165A3" w:rsidRPr="00A7196F">
              <w:rPr>
                <w:rFonts w:ascii="Arial Narrow" w:hAnsi="Arial Narrow" w:cs="Arial"/>
                <w:color w:val="auto"/>
              </w:rPr>
              <w:t>an</w:t>
            </w:r>
          </w:p>
        </w:tc>
        <w:tc>
          <w:tcPr>
            <w:tcW w:w="0" w:type="auto"/>
            <w:shd w:val="clear" w:color="auto" w:fill="auto"/>
          </w:tcPr>
          <w:p w:rsidR="00C165A3" w:rsidRPr="00A7196F" w:rsidRDefault="00086478"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 xml:space="preserve">Mandated </w:t>
            </w:r>
            <w:r w:rsidR="00C165A3" w:rsidRPr="00A7196F">
              <w:rPr>
                <w:rFonts w:ascii="Arial Narrow" w:hAnsi="Arial Narrow" w:cs="Arial"/>
                <w:color w:val="auto"/>
              </w:rPr>
              <w:t xml:space="preserve">Grand Coalition </w:t>
            </w:r>
          </w:p>
        </w:tc>
        <w:tc>
          <w:tcPr>
            <w:tcW w:w="6800" w:type="dxa"/>
            <w:shd w:val="clear" w:color="auto" w:fill="auto"/>
          </w:tcPr>
          <w:p w:rsidR="00C165A3" w:rsidRPr="00A7196F" w:rsidRDefault="00C165A3"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 constitutional provision (or a provision in a peace accord in the case of transitional governments) requiring representation by all major political parties (or relevant political organizations) in the cabinet</w:t>
            </w:r>
          </w:p>
          <w:p w:rsidR="00C165A3" w:rsidRPr="00A7196F" w:rsidRDefault="00C165A3"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tc>
        <w:tc>
          <w:tcPr>
            <w:tcW w:w="0" w:type="auto"/>
            <w:vMerge w:val="restart"/>
            <w:shd w:val="clear" w:color="auto" w:fill="auto"/>
          </w:tcPr>
          <w:p w:rsidR="00C165A3" w:rsidRPr="00A7196F" w:rsidRDefault="00C165A3" w:rsidP="009124AC">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The constitution is obviously</w:t>
            </w:r>
            <w:r w:rsidR="006208DA">
              <w:rPr>
                <w:rFonts w:ascii="Arial Narrow" w:hAnsi="Arial Narrow" w:cs="Arial"/>
                <w:color w:val="auto"/>
              </w:rPr>
              <w:t xml:space="preserve"> the authoritative source for gcm</w:t>
            </w:r>
            <w:r w:rsidRPr="00A7196F">
              <w:rPr>
                <w:rFonts w:ascii="Arial Narrow" w:hAnsi="Arial Narrow" w:cs="Arial"/>
                <w:color w:val="auto"/>
              </w:rPr>
              <w:t xml:space="preserve">an, but </w:t>
            </w:r>
            <w:r w:rsidR="002E2C47" w:rsidRPr="00A7196F">
              <w:rPr>
                <w:rFonts w:ascii="Arial Narrow" w:hAnsi="Arial Narrow" w:cs="Arial"/>
                <w:color w:val="auto"/>
              </w:rPr>
              <w:t>such arrangements are</w:t>
            </w:r>
            <w:r w:rsidRPr="00A7196F">
              <w:rPr>
                <w:rFonts w:ascii="Arial Narrow" w:hAnsi="Arial Narrow" w:cs="Arial"/>
                <w:color w:val="auto"/>
              </w:rPr>
              <w:t xml:space="preserve"> also almost always mentioned in </w:t>
            </w:r>
            <w:r w:rsidR="009124AC">
              <w:rPr>
                <w:rFonts w:ascii="Arial Narrow" w:hAnsi="Arial Narrow" w:cs="Arial"/>
                <w:color w:val="auto"/>
              </w:rPr>
              <w:t xml:space="preserve">the history section of the </w:t>
            </w:r>
            <w:r w:rsidRPr="00A7196F">
              <w:rPr>
                <w:rFonts w:ascii="Arial Narrow" w:hAnsi="Arial Narrow" w:cs="Arial"/>
                <w:color w:val="auto"/>
              </w:rPr>
              <w:t xml:space="preserve">Europa </w:t>
            </w:r>
            <w:r w:rsidR="009124AC">
              <w:rPr>
                <w:rFonts w:ascii="Arial Narrow" w:hAnsi="Arial Narrow" w:cs="Arial"/>
                <w:color w:val="auto"/>
              </w:rPr>
              <w:t xml:space="preserve">World Year Book </w:t>
            </w:r>
            <w:r w:rsidRPr="00A7196F">
              <w:rPr>
                <w:rFonts w:ascii="Arial Narrow" w:hAnsi="Arial Narrow" w:cs="Arial"/>
                <w:color w:val="auto"/>
              </w:rPr>
              <w:t>and the “constitution and government” subsection of the Political Handbook</w:t>
            </w:r>
            <w:r w:rsidR="009124AC">
              <w:rPr>
                <w:rFonts w:ascii="Arial Narrow" w:hAnsi="Arial Narrow" w:cs="Arial"/>
                <w:color w:val="auto"/>
              </w:rPr>
              <w:t xml:space="preserve"> of the World</w:t>
            </w:r>
            <w:r w:rsidRPr="00A7196F">
              <w:rPr>
                <w:rFonts w:ascii="Arial Narrow" w:hAnsi="Arial Narrow" w:cs="Arial"/>
                <w:color w:val="auto"/>
              </w:rPr>
              <w:t xml:space="preserve">. </w:t>
            </w:r>
          </w:p>
        </w:tc>
      </w:tr>
      <w:tr w:rsidR="009124AC" w:rsidRPr="00A7196F">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C165A3" w:rsidRPr="00A7196F" w:rsidRDefault="00C165A3" w:rsidP="00BB5732">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C165A3" w:rsidRPr="00A7196F" w:rsidRDefault="00712F2E"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gci</w:t>
            </w:r>
            <w:r w:rsidR="00C165A3" w:rsidRPr="00A7196F">
              <w:rPr>
                <w:rFonts w:ascii="Arial Narrow" w:hAnsi="Arial Narrow" w:cs="Arial"/>
                <w:color w:val="auto"/>
              </w:rPr>
              <w:t>mp</w:t>
            </w:r>
          </w:p>
        </w:tc>
        <w:tc>
          <w:tcPr>
            <w:tcW w:w="0" w:type="auto"/>
            <w:shd w:val="clear" w:color="auto" w:fill="auto"/>
          </w:tcPr>
          <w:p w:rsidR="00C165A3" w:rsidRPr="00A7196F" w:rsidRDefault="00C165A3"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Grand Coalition Implemented</w:t>
            </w:r>
          </w:p>
        </w:tc>
        <w:tc>
          <w:tcPr>
            <w:tcW w:w="6800" w:type="dxa"/>
            <w:shd w:val="clear" w:color="auto" w:fill="auto"/>
          </w:tcPr>
          <w:p w:rsidR="00D26931" w:rsidRDefault="00C165A3"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not implemented</w:t>
            </w:r>
          </w:p>
          <w:p w:rsidR="00C165A3" w:rsidRPr="00A7196F" w:rsidRDefault="00C165A3"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implemented – if all major political parties are indeed represented in the cabinet.</w:t>
            </w:r>
          </w:p>
        </w:tc>
        <w:tc>
          <w:tcPr>
            <w:tcW w:w="0" w:type="auto"/>
            <w:vMerge/>
            <w:shd w:val="clear" w:color="auto" w:fill="auto"/>
          </w:tcPr>
          <w:p w:rsidR="00C165A3" w:rsidRPr="00A7196F" w:rsidRDefault="00C165A3"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13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C165A3" w:rsidRPr="00A7196F" w:rsidRDefault="00C165A3" w:rsidP="00BB5732">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C165A3" w:rsidRPr="00A7196F" w:rsidRDefault="00712F2E"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u</w:t>
            </w:r>
            <w:r w:rsidR="00C165A3" w:rsidRPr="00A7196F">
              <w:rPr>
                <w:rFonts w:ascii="Arial Narrow" w:hAnsi="Arial Narrow" w:cs="Arial"/>
                <w:color w:val="auto"/>
              </w:rPr>
              <w:t>nity</w:t>
            </w:r>
          </w:p>
        </w:tc>
        <w:tc>
          <w:tcPr>
            <w:tcW w:w="0" w:type="auto"/>
            <w:shd w:val="clear" w:color="auto" w:fill="auto"/>
          </w:tcPr>
          <w:p w:rsidR="00C165A3" w:rsidRPr="00A7196F" w:rsidRDefault="00C165A3"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National Unity Government</w:t>
            </w:r>
          </w:p>
        </w:tc>
        <w:tc>
          <w:tcPr>
            <w:tcW w:w="6800" w:type="dxa"/>
            <w:shd w:val="clear" w:color="auto" w:fill="auto"/>
          </w:tcPr>
          <w:p w:rsidR="00D26931" w:rsidRDefault="00C165A3"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members of opposition parties or groups are represented in the cabinet, but a grand coalition is NOT mandated in the</w:t>
            </w:r>
            <w:r w:rsidR="00323837">
              <w:rPr>
                <w:rFonts w:ascii="Arial Narrow" w:hAnsi="Arial Narrow" w:cs="Arial"/>
                <w:color w:val="auto"/>
              </w:rPr>
              <w:t xml:space="preserve"> constitution or a peace treaty</w:t>
            </w:r>
          </w:p>
          <w:p w:rsidR="00C165A3" w:rsidRPr="00A7196F" w:rsidRDefault="00C165A3"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C165A3" w:rsidRPr="00A7196F" w:rsidRDefault="00C165A3"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*Unity may be scored 1 even in non-parliamentary systems, and in situations when the government is not elected (as is often the case in transitional governments).</w:t>
            </w:r>
          </w:p>
        </w:tc>
        <w:tc>
          <w:tcPr>
            <w:tcW w:w="0" w:type="auto"/>
            <w:shd w:val="clear" w:color="auto" w:fill="auto"/>
          </w:tcPr>
          <w:p w:rsidR="00C165A3" w:rsidRPr="00A7196F" w:rsidRDefault="006208DA"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Core sources</w:t>
            </w:r>
          </w:p>
        </w:tc>
      </w:tr>
      <w:tr w:rsidR="009124AC" w:rsidRPr="00A7196F">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6208DA" w:rsidRPr="00A7196F" w:rsidRDefault="006208DA" w:rsidP="00BB5732">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6208DA" w:rsidRPr="00A7196F" w:rsidRDefault="006208D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gcseats1</w:t>
            </w:r>
          </w:p>
        </w:tc>
        <w:tc>
          <w:tcPr>
            <w:tcW w:w="0" w:type="auto"/>
            <w:shd w:val="clear" w:color="auto" w:fill="auto"/>
          </w:tcPr>
          <w:p w:rsidR="00086478" w:rsidRDefault="0067543F"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G</w:t>
            </w:r>
            <w:r w:rsidR="00086478">
              <w:rPr>
                <w:rFonts w:ascii="Arial Narrow" w:hAnsi="Arial Narrow" w:cs="Arial"/>
                <w:color w:val="auto"/>
              </w:rPr>
              <w:t xml:space="preserve">rand </w:t>
            </w:r>
            <w:r>
              <w:rPr>
                <w:rFonts w:ascii="Arial Narrow" w:hAnsi="Arial Narrow" w:cs="Arial"/>
                <w:color w:val="auto"/>
              </w:rPr>
              <w:t>C</w:t>
            </w:r>
            <w:r w:rsidR="006208DA" w:rsidRPr="00A7196F">
              <w:rPr>
                <w:rFonts w:ascii="Arial Narrow" w:hAnsi="Arial Narrow" w:cs="Arial"/>
                <w:color w:val="auto"/>
              </w:rPr>
              <w:t xml:space="preserve">oalition by seats </w:t>
            </w:r>
            <w:r w:rsidR="00086478">
              <w:rPr>
                <w:rFonts w:ascii="Arial Narrow" w:hAnsi="Arial Narrow" w:cs="Arial"/>
                <w:color w:val="auto"/>
              </w:rPr>
              <w:t>1</w:t>
            </w:r>
          </w:p>
          <w:p w:rsidR="006208DA" w:rsidRPr="00A7196F" w:rsidRDefault="006208D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w:t>
            </w:r>
            <w:r w:rsidR="00086478">
              <w:rPr>
                <w:rFonts w:ascii="Arial Narrow" w:hAnsi="Arial Narrow" w:cs="Arial"/>
                <w:color w:val="auto"/>
              </w:rPr>
              <w:t>Two</w:t>
            </w:r>
            <w:r w:rsidRPr="00A7196F">
              <w:rPr>
                <w:rFonts w:ascii="Arial Narrow" w:hAnsi="Arial Narrow" w:cs="Arial"/>
                <w:color w:val="auto"/>
              </w:rPr>
              <w:t xml:space="preserve"> largest parties in government)</w:t>
            </w:r>
          </w:p>
        </w:tc>
        <w:tc>
          <w:tcPr>
            <w:tcW w:w="6800" w:type="dxa"/>
            <w:shd w:val="clear" w:color="auto" w:fill="auto"/>
          </w:tcPr>
          <w:p w:rsidR="00BB4338" w:rsidRDefault="00540533">
            <w:pPr>
              <w:pStyle w:val="PlainText"/>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1 </w:t>
            </w:r>
            <w:r w:rsidR="006208DA" w:rsidRPr="00035014">
              <w:rPr>
                <w:rFonts w:ascii="Arial Narrow" w:hAnsi="Arial Narrow" w:cs="Arial"/>
                <w:color w:val="auto"/>
                <w:sz w:val="22"/>
                <w:szCs w:val="22"/>
              </w:rPr>
              <w:t xml:space="preserve">if </w:t>
            </w:r>
            <w:r w:rsidR="00BB4338">
              <w:rPr>
                <w:rFonts w:ascii="Arial Narrow" w:hAnsi="Arial Narrow" w:cs="Arial"/>
                <w:color w:val="auto"/>
                <w:sz w:val="22"/>
                <w:szCs w:val="22"/>
              </w:rPr>
              <w:t xml:space="preserve">all of </w:t>
            </w:r>
            <w:r w:rsidR="006208DA" w:rsidRPr="00035014">
              <w:rPr>
                <w:rFonts w:ascii="Arial Narrow" w:hAnsi="Arial Narrow" w:cs="Arial"/>
                <w:color w:val="auto"/>
                <w:sz w:val="22"/>
                <w:szCs w:val="22"/>
              </w:rPr>
              <w:t>the following three things are true:</w:t>
            </w:r>
            <w:r w:rsidR="00035014">
              <w:rPr>
                <w:rFonts w:ascii="Arial Narrow" w:hAnsi="Arial Narrow" w:cs="Arial"/>
                <w:color w:val="auto"/>
                <w:sz w:val="22"/>
                <w:szCs w:val="22"/>
              </w:rPr>
              <w:t xml:space="preserve"> </w:t>
            </w:r>
          </w:p>
          <w:p w:rsidR="0073158B" w:rsidRDefault="00035014">
            <w:pPr>
              <w:pStyle w:val="PlainText"/>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 A</w:t>
            </w:r>
            <w:r w:rsidR="00540533">
              <w:rPr>
                <w:rFonts w:ascii="Arial Narrow" w:hAnsi="Arial Narrow" w:cs="Arial"/>
                <w:color w:val="auto"/>
                <w:sz w:val="22"/>
                <w:szCs w:val="22"/>
              </w:rPr>
              <w:t>:</w:t>
            </w:r>
            <w:r>
              <w:rPr>
                <w:rFonts w:ascii="Arial Narrow" w:hAnsi="Arial Narrow" w:cs="Arial"/>
                <w:color w:val="auto"/>
                <w:sz w:val="22"/>
                <w:szCs w:val="22"/>
              </w:rPr>
              <w:t xml:space="preserve"> </w:t>
            </w:r>
            <w:r w:rsidR="006208DA" w:rsidRPr="00035014">
              <w:rPr>
                <w:rFonts w:ascii="Arial Narrow" w:hAnsi="Arial Narrow" w:cs="Arial"/>
                <w:color w:val="auto"/>
                <w:sz w:val="22"/>
                <w:szCs w:val="22"/>
              </w:rPr>
              <w:t>the two largest parties are both in government AND</w:t>
            </w:r>
          </w:p>
          <w:p w:rsidR="0073158B" w:rsidRDefault="00035014">
            <w:pPr>
              <w:pStyle w:val="PlainText"/>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 B</w:t>
            </w:r>
            <w:r w:rsidR="00540533">
              <w:rPr>
                <w:rFonts w:ascii="Arial Narrow" w:hAnsi="Arial Narrow" w:cs="Arial"/>
                <w:color w:val="auto"/>
                <w:sz w:val="22"/>
                <w:szCs w:val="22"/>
              </w:rPr>
              <w:t>:</w:t>
            </w:r>
            <w:r>
              <w:rPr>
                <w:rFonts w:ascii="Arial Narrow" w:hAnsi="Arial Narrow" w:cs="Arial"/>
                <w:color w:val="auto"/>
                <w:sz w:val="22"/>
                <w:szCs w:val="22"/>
              </w:rPr>
              <w:t xml:space="preserve"> </w:t>
            </w:r>
            <w:r w:rsidR="006208DA" w:rsidRPr="00035014">
              <w:rPr>
                <w:rFonts w:ascii="Arial Narrow" w:hAnsi="Arial Narrow" w:cs="Arial"/>
                <w:color w:val="auto"/>
                <w:sz w:val="22"/>
                <w:szCs w:val="22"/>
              </w:rPr>
              <w:t>the government is a majority government AND</w:t>
            </w:r>
          </w:p>
          <w:p w:rsidR="0073158B" w:rsidRDefault="00035014">
            <w:pPr>
              <w:pStyle w:val="PlainText"/>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 C</w:t>
            </w:r>
            <w:r w:rsidR="00540533">
              <w:rPr>
                <w:rFonts w:ascii="Arial Narrow" w:hAnsi="Arial Narrow" w:cs="Arial"/>
                <w:color w:val="auto"/>
                <w:sz w:val="22"/>
                <w:szCs w:val="22"/>
              </w:rPr>
              <w:t>:</w:t>
            </w:r>
            <w:r>
              <w:rPr>
                <w:rFonts w:ascii="Arial Narrow" w:hAnsi="Arial Narrow" w:cs="Arial"/>
                <w:color w:val="auto"/>
                <w:sz w:val="22"/>
                <w:szCs w:val="22"/>
              </w:rPr>
              <w:t xml:space="preserve"> </w:t>
            </w:r>
            <w:r w:rsidR="006208DA" w:rsidRPr="00035014">
              <w:rPr>
                <w:rFonts w:ascii="Arial Narrow" w:hAnsi="Arial Narrow" w:cs="Arial"/>
                <w:color w:val="auto"/>
                <w:sz w:val="22"/>
                <w:szCs w:val="22"/>
              </w:rPr>
              <w:t>the legislature is competitive (liec &gt; 6 in Database of Political Institutions)</w:t>
            </w:r>
            <w:r w:rsidR="00BB4338">
              <w:rPr>
                <w:rFonts w:ascii="Arial Narrow" w:hAnsi="Arial Narrow" w:cs="Arial"/>
                <w:color w:val="auto"/>
                <w:sz w:val="22"/>
                <w:szCs w:val="22"/>
              </w:rPr>
              <w:t>;</w:t>
            </w:r>
          </w:p>
          <w:p w:rsidR="006208DA" w:rsidRPr="00A208A1" w:rsidRDefault="00007EC5" w:rsidP="00BB5732">
            <w:pPr>
              <w:pStyle w:val="PlainText"/>
              <w:keepNext/>
              <w:spacing w:before="240"/>
              <w:contextualSpacing/>
              <w:outlineLvl w:val="1"/>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sidRPr="00A208A1">
              <w:rPr>
                <w:rFonts w:ascii="Arial Narrow" w:hAnsi="Arial Narrow" w:cs="Arial"/>
                <w:color w:val="auto"/>
                <w:sz w:val="22"/>
                <w:szCs w:val="22"/>
              </w:rPr>
              <w:t>0 otherwise</w:t>
            </w:r>
          </w:p>
          <w:p w:rsidR="006208DA" w:rsidRPr="00A7196F" w:rsidRDefault="00007EC5"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208A1">
              <w:rPr>
                <w:rFonts w:ascii="Arial Narrow" w:hAnsi="Arial Narrow" w:cs="Arial"/>
                <w:color w:val="auto"/>
              </w:rPr>
              <w:t>*Note: We normally date the beginning of</w:t>
            </w:r>
            <w:r w:rsidR="009124AC">
              <w:rPr>
                <w:rFonts w:ascii="Arial Narrow" w:hAnsi="Arial Narrow" w:cs="Arial"/>
                <w:color w:val="auto"/>
              </w:rPr>
              <w:t xml:space="preserve"> a Grand Coalition</w:t>
            </w:r>
            <w:r w:rsidRPr="00A208A1">
              <w:rPr>
                <w:rFonts w:ascii="Arial Narrow" w:hAnsi="Arial Narrow" w:cs="Arial"/>
                <w:color w:val="auto"/>
              </w:rPr>
              <w:t xml:space="preserve"> as the date of election. We deviate from this if there is more than a month between the election and the power sharing or if there are significant intervening events e.g. if election </w:t>
            </w:r>
            <w:r w:rsidRPr="00A208A1">
              <w:rPr>
                <w:rFonts w:ascii="Arial Narrow" w:hAnsi="Arial Narrow" w:cs="Arial"/>
                <w:color w:val="auto"/>
              </w:rPr>
              <w:sym w:font="Wingdings" w:char="F0E0"/>
            </w:r>
            <w:r w:rsidRPr="00A208A1">
              <w:rPr>
                <w:rFonts w:ascii="Arial Narrow" w:hAnsi="Arial Narrow" w:cs="Arial"/>
                <w:color w:val="auto"/>
              </w:rPr>
              <w:t xml:space="preserve"> riots </w:t>
            </w:r>
            <w:r w:rsidRPr="00A208A1">
              <w:rPr>
                <w:rFonts w:ascii="Arial Narrow" w:hAnsi="Arial Narrow" w:cs="Arial"/>
                <w:color w:val="auto"/>
              </w:rPr>
              <w:sym w:font="Wingdings" w:char="F0E0"/>
            </w:r>
            <w:r w:rsidRPr="00A208A1">
              <w:rPr>
                <w:rFonts w:ascii="Arial Narrow" w:hAnsi="Arial Narrow" w:cs="Arial"/>
                <w:color w:val="auto"/>
              </w:rPr>
              <w:t xml:space="preserve"> power sharing.</w:t>
            </w:r>
            <w:r w:rsidR="00D26931">
              <w:rPr>
                <w:rFonts w:ascii="Arial Narrow" w:hAnsi="Arial Narrow" w:cs="Arial"/>
                <w:color w:val="auto"/>
              </w:rPr>
              <w:t xml:space="preserve"> </w:t>
            </w:r>
          </w:p>
        </w:tc>
        <w:tc>
          <w:tcPr>
            <w:tcW w:w="0" w:type="auto"/>
            <w:vMerge w:val="restart"/>
            <w:shd w:val="clear" w:color="auto" w:fill="auto"/>
          </w:tcPr>
          <w:p w:rsidR="006208DA" w:rsidRPr="00A7196F" w:rsidRDefault="001014B8" w:rsidP="009124AC">
            <w:p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 xml:space="preserve">These 3 variables are </w:t>
            </w:r>
            <w:r w:rsidR="004A68A7">
              <w:rPr>
                <w:rFonts w:ascii="Arial Narrow" w:hAnsi="Arial Narrow" w:cs="Arial"/>
                <w:color w:val="auto"/>
              </w:rPr>
              <w:t>constructed by algorithm</w:t>
            </w:r>
            <w:r w:rsidR="006208DA">
              <w:rPr>
                <w:rFonts w:ascii="Arial Narrow" w:hAnsi="Arial Narrow" w:cs="Arial"/>
                <w:color w:val="auto"/>
              </w:rPr>
              <w:t xml:space="preserve"> based on </w:t>
            </w:r>
            <w:r w:rsidR="009124AC">
              <w:rPr>
                <w:rFonts w:ascii="Arial Narrow" w:hAnsi="Arial Narrow" w:cs="Arial"/>
                <w:color w:val="auto"/>
              </w:rPr>
              <w:t xml:space="preserve">Database of Political Institutions </w:t>
            </w:r>
            <w:r w:rsidR="006208DA">
              <w:rPr>
                <w:rFonts w:ascii="Arial Narrow" w:hAnsi="Arial Narrow" w:cs="Arial"/>
                <w:color w:val="auto"/>
              </w:rPr>
              <w:t>seat share data.</w:t>
            </w:r>
          </w:p>
        </w:tc>
      </w:tr>
      <w:tr w:rsidR="009124AC" w:rsidRPr="00A7196F">
        <w:trPr>
          <w:trHeight w:val="935"/>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6208DA" w:rsidRPr="00A7196F" w:rsidRDefault="006208DA" w:rsidP="00BB5732">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6208DA" w:rsidRPr="00A7196F" w:rsidRDefault="006208DA"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gcseats2</w:t>
            </w:r>
          </w:p>
        </w:tc>
        <w:tc>
          <w:tcPr>
            <w:tcW w:w="0" w:type="auto"/>
            <w:shd w:val="clear" w:color="auto" w:fill="auto"/>
          </w:tcPr>
          <w:p w:rsidR="006208DA" w:rsidRPr="00A7196F" w:rsidRDefault="0067543F" w:rsidP="00BB5732">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G</w:t>
            </w:r>
            <w:r w:rsidR="00086478">
              <w:rPr>
                <w:rFonts w:ascii="Arial Narrow" w:hAnsi="Arial Narrow" w:cs="Arial"/>
                <w:color w:val="auto"/>
              </w:rPr>
              <w:t xml:space="preserve">rand </w:t>
            </w:r>
            <w:r>
              <w:rPr>
                <w:rFonts w:ascii="Arial Narrow" w:hAnsi="Arial Narrow" w:cs="Arial"/>
                <w:color w:val="auto"/>
              </w:rPr>
              <w:t>C</w:t>
            </w:r>
            <w:r w:rsidR="006208DA" w:rsidRPr="00A7196F">
              <w:rPr>
                <w:rFonts w:ascii="Arial Narrow" w:hAnsi="Arial Narrow" w:cs="Arial"/>
                <w:color w:val="auto"/>
              </w:rPr>
              <w:t>oalition</w:t>
            </w:r>
            <w:r w:rsidR="00086478">
              <w:rPr>
                <w:rFonts w:ascii="Arial Narrow" w:hAnsi="Arial Narrow" w:cs="Arial"/>
                <w:color w:val="auto"/>
              </w:rPr>
              <w:t xml:space="preserve"> by seats 2</w:t>
            </w:r>
            <w:r w:rsidR="006208DA" w:rsidRPr="00A7196F">
              <w:rPr>
                <w:rFonts w:ascii="Arial Narrow" w:hAnsi="Arial Narrow" w:cs="Arial"/>
                <w:color w:val="auto"/>
              </w:rPr>
              <w:t xml:space="preserve"> (Excess party in coalition)</w:t>
            </w:r>
          </w:p>
        </w:tc>
        <w:tc>
          <w:tcPr>
            <w:tcW w:w="6800" w:type="dxa"/>
            <w:shd w:val="clear" w:color="auto" w:fill="auto"/>
          </w:tcPr>
          <w:p w:rsidR="006208DA" w:rsidRPr="00A7196F" w:rsidRDefault="006208DA" w:rsidP="00BB5732">
            <w:pPr>
              <w:pStyle w:val="PlainText"/>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2"/>
                <w:szCs w:val="22"/>
              </w:rPr>
            </w:pPr>
            <w:r w:rsidRPr="00A7196F">
              <w:rPr>
                <w:rFonts w:ascii="Arial Narrow" w:hAnsi="Arial Narrow" w:cs="Arial"/>
                <w:color w:val="auto"/>
                <w:sz w:val="22"/>
                <w:szCs w:val="22"/>
              </w:rPr>
              <w:t xml:space="preserve">1 if </w:t>
            </w:r>
            <w:r w:rsidR="00B874BD">
              <w:rPr>
                <w:rFonts w:ascii="Arial Narrow" w:hAnsi="Arial Narrow" w:cs="Arial"/>
                <w:color w:val="auto"/>
                <w:sz w:val="22"/>
                <w:szCs w:val="22"/>
              </w:rPr>
              <w:t xml:space="preserve">all of </w:t>
            </w:r>
            <w:r w:rsidRPr="00A7196F">
              <w:rPr>
                <w:rFonts w:ascii="Arial Narrow" w:hAnsi="Arial Narrow" w:cs="Arial"/>
                <w:color w:val="auto"/>
                <w:sz w:val="22"/>
                <w:szCs w:val="22"/>
              </w:rPr>
              <w:t>the following three things are true:</w:t>
            </w:r>
          </w:p>
          <w:p w:rsidR="0073158B" w:rsidRDefault="00035014">
            <w:pPr>
              <w:pStyle w:val="PlainText"/>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  A</w:t>
            </w:r>
            <w:r w:rsidR="00540533">
              <w:rPr>
                <w:rFonts w:ascii="Arial Narrow" w:hAnsi="Arial Narrow" w:cs="Arial"/>
                <w:color w:val="auto"/>
                <w:sz w:val="22"/>
                <w:szCs w:val="22"/>
              </w:rPr>
              <w:t>:</w:t>
            </w:r>
            <w:r>
              <w:rPr>
                <w:rFonts w:ascii="Arial Narrow" w:hAnsi="Arial Narrow" w:cs="Arial"/>
                <w:color w:val="auto"/>
                <w:sz w:val="22"/>
                <w:szCs w:val="22"/>
              </w:rPr>
              <w:t xml:space="preserve"> </w:t>
            </w:r>
            <w:r w:rsidR="006208DA" w:rsidRPr="00A7196F">
              <w:rPr>
                <w:rFonts w:ascii="Arial Narrow" w:hAnsi="Arial Narrow" w:cs="Arial"/>
                <w:color w:val="auto"/>
                <w:sz w:val="22"/>
                <w:szCs w:val="22"/>
              </w:rPr>
              <w:t>a government coalition contains an excess party – i.e. a member without which it would still represents a majority of the seats in the legislature</w:t>
            </w:r>
          </w:p>
          <w:p w:rsidR="0073158B" w:rsidRDefault="00035014">
            <w:pPr>
              <w:pStyle w:val="PlainText"/>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  B</w:t>
            </w:r>
            <w:r w:rsidR="00540533">
              <w:rPr>
                <w:rFonts w:ascii="Arial Narrow" w:hAnsi="Arial Narrow" w:cs="Arial"/>
                <w:color w:val="auto"/>
                <w:sz w:val="22"/>
                <w:szCs w:val="22"/>
              </w:rPr>
              <w:t>:</w:t>
            </w:r>
            <w:r>
              <w:rPr>
                <w:rFonts w:ascii="Arial Narrow" w:hAnsi="Arial Narrow" w:cs="Arial"/>
                <w:color w:val="auto"/>
                <w:sz w:val="22"/>
                <w:szCs w:val="22"/>
              </w:rPr>
              <w:t xml:space="preserve"> </w:t>
            </w:r>
            <w:r w:rsidR="006208DA" w:rsidRPr="00A7196F">
              <w:rPr>
                <w:rFonts w:ascii="Arial Narrow" w:hAnsi="Arial Narrow" w:cs="Arial"/>
                <w:color w:val="auto"/>
                <w:sz w:val="22"/>
                <w:szCs w:val="22"/>
              </w:rPr>
              <w:t>the government is a majority government AND</w:t>
            </w:r>
          </w:p>
          <w:p w:rsidR="0073158B" w:rsidRDefault="00035014">
            <w:pPr>
              <w:pStyle w:val="PlainText"/>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 xml:space="preserve">  C</w:t>
            </w:r>
            <w:r w:rsidR="00540533">
              <w:rPr>
                <w:rFonts w:ascii="Arial Narrow" w:hAnsi="Arial Narrow" w:cs="Arial"/>
                <w:color w:val="auto"/>
                <w:sz w:val="22"/>
                <w:szCs w:val="22"/>
              </w:rPr>
              <w:t xml:space="preserve">: </w:t>
            </w:r>
            <w:r w:rsidR="006208DA" w:rsidRPr="00A7196F">
              <w:rPr>
                <w:rFonts w:ascii="Arial Narrow" w:hAnsi="Arial Narrow" w:cs="Arial"/>
                <w:color w:val="auto"/>
                <w:sz w:val="22"/>
                <w:szCs w:val="22"/>
              </w:rPr>
              <w:t>the legislature is competitive (liec &gt; 6 in Database of Political Institutions)</w:t>
            </w:r>
          </w:p>
          <w:p w:rsidR="006208DA" w:rsidRPr="00A7196F" w:rsidRDefault="006208DA" w:rsidP="00BB5732">
            <w:pPr>
              <w:pStyle w:val="PlainText"/>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2"/>
                <w:szCs w:val="22"/>
              </w:rPr>
            </w:pPr>
            <w:r w:rsidRPr="00A7196F">
              <w:rPr>
                <w:rFonts w:ascii="Arial Narrow" w:hAnsi="Arial Narrow" w:cs="Arial"/>
                <w:color w:val="auto"/>
                <w:sz w:val="22"/>
                <w:szCs w:val="22"/>
              </w:rPr>
              <w:t>0 otherwise</w:t>
            </w:r>
          </w:p>
          <w:p w:rsidR="006208DA" w:rsidRPr="00A7196F" w:rsidRDefault="006208DA" w:rsidP="00B874B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Courier New"/>
                <w:color w:val="auto"/>
                <w:lang w:eastAsia="nb-NO"/>
              </w:rPr>
              <w:t xml:space="preserve">*Note: If the first 4 parties are required to reach a majority, the raw DPI data does not allow </w:t>
            </w:r>
            <w:r w:rsidR="00B874BD">
              <w:rPr>
                <w:rFonts w:ascii="Arial Narrow" w:hAnsi="Arial Narrow" w:cs="Courier New"/>
                <w:color w:val="auto"/>
                <w:lang w:eastAsia="nb-NO"/>
              </w:rPr>
              <w:t>excess</w:t>
            </w:r>
            <w:r w:rsidR="00B874BD" w:rsidRPr="00A7196F">
              <w:rPr>
                <w:rFonts w:ascii="Arial Narrow" w:hAnsi="Arial Narrow" w:cs="Courier New"/>
                <w:color w:val="auto"/>
                <w:lang w:eastAsia="nb-NO"/>
              </w:rPr>
              <w:t xml:space="preserve"> </w:t>
            </w:r>
            <w:r w:rsidRPr="00A7196F">
              <w:rPr>
                <w:rFonts w:ascii="Arial Narrow" w:hAnsi="Arial Narrow" w:cs="Courier New"/>
                <w:color w:val="auto"/>
                <w:lang w:eastAsia="nb-NO"/>
              </w:rPr>
              <w:t>parties to be coded.</w:t>
            </w:r>
            <w:r w:rsidR="00D26931">
              <w:rPr>
                <w:rFonts w:ascii="Arial Narrow" w:hAnsi="Arial Narrow" w:cs="Courier New"/>
                <w:color w:val="auto"/>
                <w:lang w:eastAsia="nb-NO"/>
              </w:rPr>
              <w:t xml:space="preserve"> </w:t>
            </w:r>
            <w:r w:rsidRPr="00A7196F">
              <w:rPr>
                <w:rFonts w:ascii="Arial Narrow" w:hAnsi="Arial Narrow" w:cs="Courier New"/>
                <w:color w:val="auto"/>
                <w:lang w:eastAsia="nb-NO"/>
              </w:rPr>
              <w:t>However, this is likely rare.</w:t>
            </w:r>
            <w:r w:rsidR="00D26931">
              <w:rPr>
                <w:rFonts w:ascii="Arial Narrow" w:hAnsi="Arial Narrow" w:cs="Courier New"/>
                <w:color w:val="auto"/>
                <w:lang w:eastAsia="nb-NO"/>
              </w:rPr>
              <w:t xml:space="preserve"> </w:t>
            </w:r>
            <w:r w:rsidRPr="00A7196F">
              <w:rPr>
                <w:rFonts w:ascii="Arial Narrow" w:hAnsi="Arial Narrow" w:cs="Courier New"/>
                <w:color w:val="auto"/>
                <w:lang w:eastAsia="nb-NO"/>
              </w:rPr>
              <w:t xml:space="preserve">A 4th </w:t>
            </w:r>
            <w:r w:rsidR="00B874BD">
              <w:rPr>
                <w:rFonts w:ascii="Arial Narrow" w:hAnsi="Arial Narrow" w:cs="Courier New"/>
                <w:color w:val="auto"/>
                <w:lang w:eastAsia="nb-NO"/>
              </w:rPr>
              <w:t>excess</w:t>
            </w:r>
            <w:r w:rsidR="00B874BD" w:rsidRPr="00A7196F">
              <w:rPr>
                <w:rFonts w:ascii="Arial Narrow" w:hAnsi="Arial Narrow" w:cs="Courier New"/>
                <w:color w:val="auto"/>
                <w:lang w:eastAsia="nb-NO"/>
              </w:rPr>
              <w:t xml:space="preserve"> </w:t>
            </w:r>
            <w:r w:rsidRPr="00A7196F">
              <w:rPr>
                <w:rFonts w:ascii="Arial Narrow" w:hAnsi="Arial Narrow" w:cs="Courier New"/>
                <w:color w:val="auto"/>
                <w:lang w:eastAsia="nb-NO"/>
              </w:rPr>
              <w:t>party only occurs in 10 country years in the data and we would expect that a constellation of 4 or more necessary parties AND an extraneous party to be quite rare.</w:t>
            </w:r>
          </w:p>
        </w:tc>
        <w:tc>
          <w:tcPr>
            <w:tcW w:w="0" w:type="auto"/>
            <w:vMerge/>
            <w:shd w:val="clear" w:color="auto" w:fill="auto"/>
          </w:tcPr>
          <w:p w:rsidR="006208DA" w:rsidRPr="00A7196F" w:rsidRDefault="006208DA" w:rsidP="00BB5732">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6208DA" w:rsidRPr="00A7196F" w:rsidRDefault="006208DA" w:rsidP="00BB5732">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6208DA" w:rsidRPr="00A7196F" w:rsidRDefault="006208D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gcseats3</w:t>
            </w:r>
          </w:p>
        </w:tc>
        <w:tc>
          <w:tcPr>
            <w:tcW w:w="0" w:type="auto"/>
            <w:shd w:val="clear" w:color="auto" w:fill="auto"/>
          </w:tcPr>
          <w:p w:rsidR="006208DA" w:rsidRPr="00A7196F" w:rsidRDefault="0067543F"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G</w:t>
            </w:r>
            <w:r w:rsidR="006208DA" w:rsidRPr="00A7196F">
              <w:rPr>
                <w:rFonts w:ascii="Arial Narrow" w:hAnsi="Arial Narrow" w:cs="Arial"/>
                <w:color w:val="auto"/>
              </w:rPr>
              <w:t xml:space="preserve">rand </w:t>
            </w:r>
            <w:r>
              <w:rPr>
                <w:rFonts w:ascii="Arial Narrow" w:hAnsi="Arial Narrow" w:cs="Arial"/>
                <w:color w:val="auto"/>
              </w:rPr>
              <w:t>C</w:t>
            </w:r>
            <w:r w:rsidR="006208DA" w:rsidRPr="00A7196F">
              <w:rPr>
                <w:rFonts w:ascii="Arial Narrow" w:hAnsi="Arial Narrow" w:cs="Arial"/>
                <w:color w:val="auto"/>
              </w:rPr>
              <w:t>oalition</w:t>
            </w:r>
            <w:r w:rsidR="00086478">
              <w:rPr>
                <w:rFonts w:ascii="Arial Narrow" w:hAnsi="Arial Narrow" w:cs="Arial"/>
                <w:color w:val="auto"/>
              </w:rPr>
              <w:t xml:space="preserve"> by seats</w:t>
            </w:r>
            <w:r w:rsidR="006208DA" w:rsidRPr="00A7196F">
              <w:rPr>
                <w:rFonts w:ascii="Arial Narrow" w:hAnsi="Arial Narrow" w:cs="Arial"/>
                <w:color w:val="auto"/>
              </w:rPr>
              <w:t xml:space="preserve"> (</w:t>
            </w:r>
            <w:r w:rsidR="00086478">
              <w:rPr>
                <w:rFonts w:ascii="Arial Narrow" w:hAnsi="Arial Narrow" w:cs="Arial"/>
                <w:color w:val="auto"/>
              </w:rPr>
              <w:t>either</w:t>
            </w:r>
            <w:r w:rsidR="006208DA" w:rsidRPr="00A7196F">
              <w:rPr>
                <w:rFonts w:ascii="Arial Narrow" w:hAnsi="Arial Narrow" w:cs="Arial"/>
                <w:color w:val="auto"/>
              </w:rPr>
              <w:t>)</w:t>
            </w:r>
          </w:p>
        </w:tc>
        <w:tc>
          <w:tcPr>
            <w:tcW w:w="6800" w:type="dxa"/>
            <w:shd w:val="clear" w:color="auto" w:fill="auto"/>
          </w:tcPr>
          <w:p w:rsidR="006208DA" w:rsidRPr="00A7196F" w:rsidRDefault="00AE7B5D" w:rsidP="00BB5732">
            <w:pPr>
              <w:pStyle w:val="PlainText"/>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Pr>
                <w:rFonts w:ascii="Arial Narrow" w:hAnsi="Arial Narrow" w:cs="Arial"/>
                <w:color w:val="auto"/>
                <w:sz w:val="22"/>
                <w:szCs w:val="22"/>
              </w:rPr>
              <w:t>1 if gcseats1 or gc</w:t>
            </w:r>
            <w:r w:rsidR="006208DA" w:rsidRPr="00A7196F">
              <w:rPr>
                <w:rFonts w:ascii="Arial Narrow" w:hAnsi="Arial Narrow" w:cs="Arial"/>
                <w:color w:val="auto"/>
                <w:sz w:val="22"/>
                <w:szCs w:val="22"/>
              </w:rPr>
              <w:t>seats2 = 1</w:t>
            </w:r>
          </w:p>
          <w:p w:rsidR="006208DA" w:rsidRPr="00A7196F" w:rsidRDefault="006208DA" w:rsidP="00BB5732">
            <w:pPr>
              <w:pStyle w:val="PlainText"/>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2"/>
                <w:szCs w:val="22"/>
              </w:rPr>
            </w:pPr>
            <w:r w:rsidRPr="00A7196F">
              <w:rPr>
                <w:rFonts w:ascii="Arial Narrow" w:hAnsi="Arial Narrow" w:cs="Arial"/>
                <w:color w:val="auto"/>
                <w:sz w:val="22"/>
                <w:szCs w:val="22"/>
              </w:rPr>
              <w:t>0 otherwise</w:t>
            </w:r>
          </w:p>
        </w:tc>
        <w:tc>
          <w:tcPr>
            <w:tcW w:w="0" w:type="auto"/>
            <w:vMerge/>
            <w:shd w:val="clear" w:color="auto" w:fill="auto"/>
          </w:tcPr>
          <w:p w:rsidR="006208DA" w:rsidRPr="00A7196F" w:rsidRDefault="006208DA" w:rsidP="00BB5732">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474"/>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Parties</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partynoethnic</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Ethnic Party Ban</w:t>
            </w:r>
          </w:p>
        </w:tc>
        <w:tc>
          <w:tcPr>
            <w:tcW w:w="6800" w:type="dxa"/>
            <w:shd w:val="clear" w:color="auto" w:fill="auto"/>
          </w:tcPr>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 law or constitutional amendment banning ethnically, religiously, or regionally based parties.</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 or if no evidence of such a policy is found in The Political Handbook of the World, the Parline database, or the constitution.</w:t>
            </w:r>
          </w:p>
          <w:p w:rsidR="009A343E" w:rsidRPr="00A7196F" w:rsidRDefault="009A343E" w:rsidP="009A343E">
            <w:pPr>
              <w:pStyle w:val="PlainText"/>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2"/>
                <w:szCs w:val="22"/>
              </w:rPr>
            </w:pPr>
            <w:r w:rsidRPr="00A7196F">
              <w:rPr>
                <w:rFonts w:ascii="Arial Narrow" w:hAnsi="Arial Narrow" w:cs="Arial"/>
                <w:color w:val="auto"/>
              </w:rPr>
              <w:t>-44 if no parties or only 1 party is allowed are allowed.</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 xml:space="preserve">This is rare, and </w:t>
            </w:r>
            <w:r w:rsidRPr="00A7196F">
              <w:rPr>
                <w:rFonts w:ascii="Arial Narrow" w:hAnsi="Arial Narrow" w:cs="Arial"/>
                <w:color w:val="auto"/>
              </w:rPr>
              <w:t xml:space="preserve">generally noted, if </w:t>
            </w:r>
            <w:r>
              <w:rPr>
                <w:rFonts w:ascii="Arial Narrow" w:hAnsi="Arial Narrow" w:cs="Arial"/>
                <w:color w:val="auto"/>
              </w:rPr>
              <w:t>it</w:t>
            </w:r>
            <w:r w:rsidRPr="00A7196F">
              <w:rPr>
                <w:rFonts w:ascii="Arial Narrow" w:hAnsi="Arial Narrow" w:cs="Arial"/>
                <w:color w:val="auto"/>
              </w:rPr>
              <w:t xml:space="preserve"> exist</w:t>
            </w:r>
            <w:r>
              <w:rPr>
                <w:rFonts w:ascii="Arial Narrow" w:hAnsi="Arial Narrow" w:cs="Arial"/>
                <w:color w:val="auto"/>
              </w:rPr>
              <w:t>s</w:t>
            </w:r>
            <w:r w:rsidRPr="00A7196F">
              <w:rPr>
                <w:rFonts w:ascii="Arial Narrow" w:hAnsi="Arial Narrow" w:cs="Arial"/>
                <w:color w:val="auto"/>
              </w:rPr>
              <w:t xml:space="preserve">, either in the “electoral system” section of Parline or the “Political Parties” section of the </w:t>
            </w:r>
            <w:r>
              <w:rPr>
                <w:rFonts w:ascii="Arial Narrow" w:hAnsi="Arial Narrow" w:cs="Arial"/>
                <w:color w:val="auto"/>
              </w:rPr>
              <w:t>Political</w:t>
            </w:r>
            <w:r w:rsidRPr="00A7196F">
              <w:rPr>
                <w:rFonts w:ascii="Arial Narrow" w:hAnsi="Arial Narrow" w:cs="Arial"/>
                <w:color w:val="auto"/>
              </w:rPr>
              <w:t xml:space="preserve"> Handbook</w:t>
            </w:r>
            <w:r>
              <w:rPr>
                <w:rFonts w:ascii="Arial Narrow" w:hAnsi="Arial Narrow" w:cs="Arial"/>
                <w:color w:val="auto"/>
              </w:rPr>
              <w:t xml:space="preserve"> of the World</w:t>
            </w:r>
            <w:r w:rsidRPr="00A7196F">
              <w:rPr>
                <w:rFonts w:ascii="Arial Narrow" w:hAnsi="Arial Narrow" w:cs="Arial"/>
                <w:color w:val="auto"/>
              </w:rPr>
              <w:t>.</w:t>
            </w:r>
          </w:p>
        </w:tc>
      </w:tr>
      <w:tr w:rsidR="009124AC" w:rsidRPr="00A7196F">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Mutual Veto</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mveto</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Mutual Veto</w:t>
            </w:r>
          </w:p>
        </w:tc>
        <w:tc>
          <w:tcPr>
            <w:tcW w:w="6800" w:type="dxa"/>
            <w:shd w:val="clear" w:color="auto" w:fill="auto"/>
          </w:tcPr>
          <w:p w:rsidR="00B874BD"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any provision for minority veto over a particular area of policy</w:t>
            </w:r>
            <w:r w:rsidR="00B874BD">
              <w:rPr>
                <w:rFonts w:ascii="Arial Narrow" w:hAnsi="Arial Narrow" w:cs="Arial"/>
                <w:color w:val="auto"/>
              </w:rPr>
              <w:t>;</w:t>
            </w:r>
            <w:r w:rsidRPr="00A7196F">
              <w:rPr>
                <w:rFonts w:ascii="Arial Narrow" w:hAnsi="Arial Narrow" w:cs="Arial"/>
                <w:color w:val="auto"/>
              </w:rPr>
              <w:t xml:space="preserve"> </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e.g. if the approval of an ethnic minority is necessary for any change of language or cultural policy.</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 or if no evidence of such a policy is found in The Europa World Factbook, The Political Handbook of the World, the Parline database, or the constitution.</w:t>
            </w:r>
          </w:p>
        </w:tc>
        <w:tc>
          <w:tcPr>
            <w:tcW w:w="0" w:type="auto"/>
            <w:vMerge w:val="restart"/>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These two arrangements are rare, but are generally listed in multiple sources if they exist.</w:t>
            </w:r>
          </w:p>
        </w:tc>
      </w:tr>
      <w:tr w:rsidR="009124AC" w:rsidRPr="00A7196F">
        <w:trPr>
          <w:trHeight w:val="1154"/>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Reserved Exec Positions</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resman</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Reserved Executive Positions (Mandated)</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1 if it is mandated that particular executive positions be reserved for members of particular </w:t>
            </w:r>
            <w:r w:rsidR="009124AC" w:rsidRPr="00A7196F">
              <w:rPr>
                <w:rFonts w:ascii="Arial Narrow" w:hAnsi="Arial Narrow" w:cs="Arial"/>
                <w:color w:val="auto"/>
              </w:rPr>
              <w:t>particular ethnic, linguistic, caste, or religious MINORITY groups</w:t>
            </w:r>
            <w:r w:rsidRPr="00A7196F">
              <w:rPr>
                <w:rFonts w:ascii="Arial Narrow" w:hAnsi="Arial Narrow" w:cs="Arial"/>
                <w:color w:val="auto"/>
              </w:rPr>
              <w:t>;</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olor w:val="auto"/>
              </w:rPr>
              <w:t>*This does not include countries, such as Turkmenistan, where all government posts are reserved for members of the dominant ethnic group.</w:t>
            </w:r>
            <w:r w:rsidR="00D26931">
              <w:rPr>
                <w:rFonts w:ascii="Arial Narrow" w:hAnsi="Arial Narrow"/>
                <w:color w:val="auto"/>
              </w:rPr>
              <w:t xml:space="preserve"> </w:t>
            </w:r>
          </w:p>
        </w:tc>
        <w:tc>
          <w:tcPr>
            <w:tcW w:w="0" w:type="auto"/>
            <w:vMerge/>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w:t>
            </w:r>
            <w:r>
              <w:rPr>
                <w:rFonts w:ascii="Arial Narrow" w:hAnsi="Arial Narrow" w:cs="Arial"/>
                <w:color w:val="auto"/>
              </w:rPr>
              <w:t>esi</w:t>
            </w:r>
            <w:r w:rsidRPr="00A7196F">
              <w:rPr>
                <w:rFonts w:ascii="Arial Narrow" w:hAnsi="Arial Narrow" w:cs="Arial"/>
                <w:color w:val="auto"/>
              </w:rPr>
              <w:t>mp</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Reserved Executive Positions (Implemented)</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particular executive positions reserved for members of particular ethnic, linguistic, or religious groups are held by members of that group;</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reserved positions are mandated, and non-implementation of the mandate isn’t noted in The Europa World Yearbook, The Political Handbook of the World, or the Parline database, code 1</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r w:rsidRPr="00A7196F">
              <w:rPr>
                <w:rFonts w:ascii="Arial Narrow" w:hAnsi="Arial Narrow" w:cs="Arial"/>
                <w:color w:val="auto"/>
              </w:rPr>
              <w:t>Reserved Legislative Seats</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resseats</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Reserved Legislative seats (Mandated)</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a certain number of legislative seats (lower house) are reserved for members of particular ethnic, linguistic, caste, or religious MINORITY groups, then divide the number of seats reserved for minorities by the total number of seats in that house of the legislature.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*This variable is coded only for the lower house of the parliament.</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seats are reserved for the majority group, but not for minority groups, this is coded 0.</w:t>
            </w:r>
            <w:r w:rsidR="00D26931">
              <w:rPr>
                <w:rFonts w:ascii="Arial Narrow" w:hAnsi="Arial Narrow" w:cs="Arial"/>
                <w:color w:val="auto"/>
              </w:rPr>
              <w:t xml:space="preserve"> </w:t>
            </w:r>
            <w:r w:rsidRPr="00A7196F">
              <w:rPr>
                <w:rFonts w:ascii="Arial Narrow" w:hAnsi="Arial Narrow" w:cs="Arial"/>
                <w:color w:val="auto"/>
              </w:rPr>
              <w:t>For example, Samoa reserves 95% of its seats for ethnic Samoans, who make up 92% of the population.</w:t>
            </w:r>
            <w:r w:rsidR="00D26931">
              <w:rPr>
                <w:rFonts w:ascii="Arial Narrow" w:hAnsi="Arial Narrow" w:cs="Arial"/>
                <w:color w:val="auto"/>
              </w:rPr>
              <w:t xml:space="preserve"> </w:t>
            </w:r>
            <w:r w:rsidRPr="00A7196F">
              <w:rPr>
                <w:rFonts w:ascii="Arial Narrow" w:hAnsi="Arial Narrow" w:cs="Arial"/>
                <w:color w:val="auto"/>
              </w:rPr>
              <w:t>The other two seats are open for any group (including Samoan).</w:t>
            </w:r>
            <w:r w:rsidR="00D26931">
              <w:rPr>
                <w:rFonts w:ascii="Arial Narrow" w:hAnsi="Arial Narrow" w:cs="Arial"/>
                <w:color w:val="auto"/>
              </w:rPr>
              <w:t xml:space="preserve"> </w:t>
            </w:r>
            <w:r w:rsidRPr="00A7196F">
              <w:rPr>
                <w:rFonts w:ascii="Arial Narrow" w:hAnsi="Arial Narrow" w:cs="Arial"/>
                <w:color w:val="auto"/>
              </w:rPr>
              <w:t>Resseats is coded 0 for Samoa.</w:t>
            </w:r>
            <w:r w:rsidR="00D26931">
              <w:rPr>
                <w:rFonts w:ascii="Arial Narrow" w:hAnsi="Arial Narrow" w:cs="Arial"/>
                <w:color w:val="auto"/>
              </w:rPr>
              <w:t xml:space="preserve"> </w:t>
            </w:r>
          </w:p>
        </w:tc>
        <w:tc>
          <w:tcPr>
            <w:tcW w:w="0" w:type="auto"/>
            <w:shd w:val="clear" w:color="auto" w:fill="auto"/>
          </w:tcPr>
          <w:p w:rsidR="009A343E" w:rsidRPr="00A7196F" w:rsidRDefault="0067543F" w:rsidP="009124AC">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Parline electoral rules note</w:t>
            </w:r>
            <w:r w:rsidR="009A343E" w:rsidRPr="00A7196F">
              <w:rPr>
                <w:rFonts w:ascii="Arial Narrow" w:hAnsi="Arial Narrow" w:cs="Arial"/>
                <w:color w:val="auto"/>
              </w:rPr>
              <w:t xml:space="preserve"> this. So does the </w:t>
            </w:r>
            <w:r w:rsidR="009124AC">
              <w:rPr>
                <w:rFonts w:ascii="Arial Narrow" w:hAnsi="Arial Narrow" w:cs="Arial"/>
                <w:color w:val="auto"/>
              </w:rPr>
              <w:t xml:space="preserve">Political Handbook of the World </w:t>
            </w:r>
            <w:r w:rsidR="009A343E" w:rsidRPr="00A7196F">
              <w:rPr>
                <w:rFonts w:ascii="Arial Narrow" w:hAnsi="Arial Narrow" w:cs="Arial"/>
                <w:color w:val="auto"/>
              </w:rPr>
              <w:t>under “constitution and government”</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resseats2</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Reserved Legislative seats (mandated) </w:t>
            </w:r>
          </w:p>
        </w:tc>
        <w:tc>
          <w:tcPr>
            <w:tcW w:w="6800" w:type="dxa"/>
            <w:shd w:val="clear" w:color="auto" w:fill="auto"/>
          </w:tcPr>
          <w:p w:rsidR="00D26931" w:rsidRDefault="009A343E" w:rsidP="009A343E">
            <w:pPr>
              <w:pStyle w:val="ListParagraph"/>
              <w:numPr>
                <w:ilvl w:val="0"/>
                <w:numId w:val="30"/>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greater at least 10% of the seats in the legislature are reserved for minority groups (i.e. reseats ≥ .1)</w:t>
            </w:r>
          </w:p>
          <w:p w:rsidR="009A343E" w:rsidRPr="00A7196F" w:rsidRDefault="009A343E" w:rsidP="009A343E">
            <w:pPr>
              <w:autoSpaceDE w:val="0"/>
              <w:autoSpaceDN w:val="0"/>
              <w:adjustRightInd w:val="0"/>
              <w:spacing w:after="0" w:line="240" w:lineRule="auto"/>
              <w:ind w:left="63"/>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reserved seats exist, but account for less than 10% of total seats (i.e. 0 &lt; resseats &lt; .1</w:t>
            </w:r>
          </w:p>
          <w:p w:rsidR="009A343E" w:rsidRPr="00A7196F" w:rsidRDefault="009A343E" w:rsidP="009A343E">
            <w:pPr>
              <w:autoSpaceDE w:val="0"/>
              <w:autoSpaceDN w:val="0"/>
              <w:adjustRightInd w:val="0"/>
              <w:spacing w:after="0" w:line="240" w:lineRule="auto"/>
              <w:ind w:left="63"/>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no seats are reserved for minority groups (i.e. resseats = 0)</w:t>
            </w:r>
            <w:r w:rsidR="00D26931">
              <w:rPr>
                <w:rFonts w:ascii="Arial Narrow" w:hAnsi="Arial Narrow" w:cs="Arial"/>
                <w:color w:val="auto"/>
              </w:rPr>
              <w:t xml:space="preserve"> </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This is created mechanically</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resseatsimp</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Reserved Legislative seats (implemented)</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legislative seats reserved for members of particular ethnic, linguistic, or religious group are held by members of that group;</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not mandated</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reserved seats are mandated, and non-implementation of the mandate isn’t noted in The Europa World Yearbook, The Political Handbook of the World, or the Parline database, code 1</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r w:rsidRPr="00A7196F">
              <w:rPr>
                <w:rFonts w:ascii="Arial Narrow" w:hAnsi="Arial Narrow" w:cs="Arial"/>
                <w:color w:val="auto"/>
              </w:rPr>
              <w:t>Religion</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relestablish</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State establishment of religion</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the state has no established religion</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state has multiple established religions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2 if the state has one established religion</w:t>
            </w:r>
          </w:p>
          <w:p w:rsidR="009A343E"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the state singles out a single religion for support, this counts as establishment.</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*De Facto state support of a particular religion is NOT sufficient to code 1</w:t>
            </w:r>
            <w:r>
              <w:rPr>
                <w:rFonts w:ascii="Arial Narrow" w:hAnsi="Arial Narrow" w:cs="Arial"/>
                <w:color w:val="auto"/>
              </w:rPr>
              <w:t xml:space="preserve"> or 2</w:t>
            </w:r>
            <w:r w:rsidRPr="00A7196F">
              <w:rPr>
                <w:rFonts w:ascii="Arial Narrow" w:hAnsi="Arial Narrow" w:cs="Arial"/>
                <w:color w:val="auto"/>
              </w:rPr>
              <w:t>.</w:t>
            </w:r>
            <w:r w:rsidR="00D26931">
              <w:rPr>
                <w:rFonts w:ascii="Arial Narrow" w:hAnsi="Arial Narrow" w:cs="Arial"/>
                <w:color w:val="auto"/>
              </w:rPr>
              <w:t xml:space="preserve"> </w:t>
            </w:r>
            <w:r w:rsidRPr="00A7196F">
              <w:rPr>
                <w:rFonts w:ascii="Arial Narrow" w:hAnsi="Arial Narrow" w:cs="Arial"/>
                <w:color w:val="auto"/>
              </w:rPr>
              <w:t>The constitution must denote a single religion as the religion of the state.</w:t>
            </w:r>
            <w:r w:rsidR="00D26931">
              <w:rPr>
                <w:rFonts w:ascii="Arial Narrow" w:hAnsi="Arial Narrow" w:cs="Arial"/>
                <w:color w:val="auto"/>
              </w:rPr>
              <w:t xml:space="preserve"> </w:t>
            </w:r>
            <w:r>
              <w:rPr>
                <w:rFonts w:ascii="Arial Narrow" w:hAnsi="Arial Narrow" w:cs="Arial"/>
                <w:color w:val="auto"/>
              </w:rPr>
              <w:t>If no constitution, code 0.</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Fox has this data back to 1990.</w:t>
            </w:r>
            <w:r w:rsidR="00D26931">
              <w:rPr>
                <w:rFonts w:ascii="Arial Narrow" w:hAnsi="Arial Narrow" w:cs="Arial"/>
                <w:color w:val="auto"/>
              </w:rPr>
              <w:t xml:space="preserve"> </w:t>
            </w:r>
            <w:r w:rsidRPr="00A7196F">
              <w:rPr>
                <w:rFonts w:ascii="Arial Narrow" w:hAnsi="Arial Narrow" w:cs="Arial"/>
                <w:color w:val="auto"/>
              </w:rPr>
              <w:t>We code primarily from the constitution, also, Library of Congress case studies.</w:t>
            </w:r>
          </w:p>
        </w:tc>
      </w:tr>
      <w:tr w:rsidR="009124AC" w:rsidRPr="00A7196F">
        <w:trPr>
          <w:trHeight w:val="1493"/>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r</w:t>
            </w:r>
            <w:r w:rsidRPr="00A7196F">
              <w:rPr>
                <w:rFonts w:ascii="Arial Narrow" w:hAnsi="Arial Narrow" w:cs="Arial"/>
                <w:color w:val="auto"/>
              </w:rPr>
              <w:t>elestablish</w:t>
            </w:r>
            <w:r>
              <w:rPr>
                <w:rFonts w:ascii="Arial Narrow" w:hAnsi="Arial Narrow" w:cs="Arial"/>
                <w:color w:val="auto"/>
              </w:rPr>
              <w:t>_binary</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State Establishment of Religion</w:t>
            </w:r>
          </w:p>
        </w:tc>
        <w:tc>
          <w:tcPr>
            <w:tcW w:w="6800" w:type="dxa"/>
            <w:shd w:val="clear" w:color="auto" w:fill="auto"/>
          </w:tcPr>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the constitution denotes a single religion as the state religion</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multiple religions are given the status of official state religion, code 0.</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*De Facto state support of a particular religion is NOT sufficient to code 1.</w:t>
            </w:r>
            <w:r w:rsidR="00D26931">
              <w:rPr>
                <w:rFonts w:ascii="Arial Narrow" w:hAnsi="Arial Narrow" w:cs="Arial"/>
                <w:color w:val="auto"/>
              </w:rPr>
              <w:t xml:space="preserve"> </w:t>
            </w:r>
            <w:r w:rsidRPr="00A7196F">
              <w:rPr>
                <w:rFonts w:ascii="Arial Narrow" w:hAnsi="Arial Narrow" w:cs="Arial"/>
                <w:color w:val="auto"/>
              </w:rPr>
              <w:t>The constitution must denote a single religion as the religion of the state.</w:t>
            </w:r>
            <w:r w:rsidR="00D26931">
              <w:rPr>
                <w:rFonts w:ascii="Arial Narrow" w:hAnsi="Arial Narrow" w:cs="Arial"/>
                <w:color w:val="auto"/>
              </w:rPr>
              <w:t xml:space="preserve"> </w:t>
            </w:r>
          </w:p>
        </w:tc>
        <w:tc>
          <w:tcPr>
            <w:tcW w:w="0" w:type="auto"/>
            <w:shd w:val="clear" w:color="auto" w:fill="auto"/>
          </w:tcPr>
          <w:p w:rsidR="009A343E" w:rsidRPr="00A7196F" w:rsidRDefault="009124AC"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See above.</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relrestrict</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State restriction of (minority)</w:t>
            </w:r>
            <w:r w:rsidRPr="00A7196F">
              <w:rPr>
                <w:rStyle w:val="FootnoteReference"/>
                <w:rFonts w:ascii="Arial Narrow" w:hAnsi="Arial Narrow" w:cs="Arial"/>
                <w:color w:val="auto"/>
              </w:rPr>
              <w:footnoteReference w:id="1"/>
            </w:r>
            <w:r w:rsidRPr="00A7196F">
              <w:rPr>
                <w:rFonts w:ascii="Arial Narrow" w:hAnsi="Arial Narrow" w:cs="Arial"/>
                <w:color w:val="auto"/>
              </w:rPr>
              <w:t xml:space="preserve"> </w:t>
            </w:r>
            <w:r w:rsidR="0067543F" w:rsidRPr="00A7196F">
              <w:rPr>
                <w:rFonts w:ascii="Arial Narrow" w:hAnsi="Arial Narrow" w:cs="Arial"/>
                <w:color w:val="auto"/>
              </w:rPr>
              <w:t>religions</w:t>
            </w:r>
          </w:p>
        </w:tc>
        <w:tc>
          <w:tcPr>
            <w:tcW w:w="6800" w:type="dxa"/>
            <w:shd w:val="clear" w:color="auto" w:fill="auto"/>
          </w:tcPr>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No (minority) religions are illegal and there are no significant restrictions on minority religions.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No (minority) religions are illegal but some or all (minority) religions have practical limitations placed upon them or some religions have benefits not given to others due to some form of official recognition or status not given to all religions.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2. No religions are illegal but some or all (minority) religions have legal limitations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placed upon them.</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3. Some (minority) religions are illegal.</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 All (minority) religions are illegal</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*These guidelines are drawn directly from Jonathan Fox.</w:t>
            </w:r>
            <w:r w:rsidR="00D26931">
              <w:rPr>
                <w:rFonts w:ascii="Arial Narrow" w:hAnsi="Arial Narrow" w:cs="Arial"/>
                <w:color w:val="auto"/>
              </w:rPr>
              <w:t xml:space="preserve"> </w:t>
            </w:r>
            <w:r w:rsidRPr="00A7196F">
              <w:rPr>
                <w:rFonts w:ascii="Arial Narrow" w:hAnsi="Arial Narrow" w:cs="Arial"/>
                <w:color w:val="auto"/>
              </w:rPr>
              <w:t>However, because categories 0 and 1 are not mutually exclusive, we make the following minor clarification: if no religions are illegal or restricted, but benefits ARE given to some religions that are not given to others, code 1.</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*While Fox’s data was consulted in coding this variable, in a significant number of cases our coding differs from his (see coding notes for descriptions of these instances).</w:t>
            </w:r>
            <w:r w:rsidR="00D26931">
              <w:rPr>
                <w:rFonts w:ascii="Arial Narrow" w:hAnsi="Arial Narrow" w:cs="Arial"/>
                <w:color w:val="auto"/>
              </w:rPr>
              <w:t xml:space="preserve"> </w:t>
            </w:r>
            <w:r w:rsidRPr="00A7196F">
              <w:rPr>
                <w:rFonts w:ascii="Arial Narrow" w:hAnsi="Arial Narrow" w:cs="Arial"/>
                <w:color w:val="auto"/>
              </w:rPr>
              <w:t>We have also significantly expanded the coverage of the variable.</w:t>
            </w:r>
            <w:r w:rsidR="00D26931">
              <w:rPr>
                <w:rFonts w:ascii="Arial Narrow" w:hAnsi="Arial Narrow" w:cs="Arial"/>
                <w:color w:val="auto"/>
              </w:rPr>
              <w:t xml:space="preserve"> </w:t>
            </w:r>
            <w:r w:rsidRPr="00A7196F">
              <w:rPr>
                <w:rFonts w:ascii="Arial Narrow" w:hAnsi="Arial Narrow" w:cs="Arial"/>
                <w:color w:val="auto"/>
              </w:rPr>
              <w:t>Recent years of these variables are coded from Freedom House case studies and the 2007 State Department Report on International Religious Freedom, as well as Library of Congress country studies and other core sources.</w:t>
            </w:r>
            <w:r w:rsidR="00D26931">
              <w:rPr>
                <w:rFonts w:ascii="Arial Narrow" w:hAnsi="Arial Narrow" w:cs="Arial"/>
                <w:color w:val="auto"/>
              </w:rPr>
              <w:t xml:space="preserve"> </w:t>
            </w:r>
            <w:r w:rsidRPr="00A7196F">
              <w:rPr>
                <w:rFonts w:ascii="Arial Narrow" w:hAnsi="Arial Narrow" w:cs="Arial"/>
                <w:color w:val="auto"/>
              </w:rPr>
              <w:t>The Freedom House studies are available back to 1979, but in earlier years the studies are often insufficiently detailed to code from.</w:t>
            </w:r>
            <w:r w:rsidR="00D26931">
              <w:rPr>
                <w:rFonts w:ascii="Arial Narrow" w:hAnsi="Arial Narrow" w:cs="Arial"/>
                <w:color w:val="auto"/>
              </w:rPr>
              <w:t xml:space="preserve"> </w:t>
            </w:r>
            <w:r w:rsidRPr="00A7196F">
              <w:rPr>
                <w:rFonts w:ascii="Arial Narrow" w:hAnsi="Arial Narrow" w:cs="Arial"/>
                <w:color w:val="auto"/>
              </w:rPr>
              <w:t>There remains a great deal of missing data prior to 1991, though the information necessary to code is generally available.</w:t>
            </w:r>
            <w:r w:rsidR="00D26931">
              <w:rPr>
                <w:rFonts w:ascii="Arial Narrow" w:hAnsi="Arial Narrow" w:cs="Arial"/>
                <w:color w:val="auto"/>
              </w:rPr>
              <w:t xml:space="preserve"> </w:t>
            </w:r>
            <w:r w:rsidRPr="00A7196F">
              <w:rPr>
                <w:rFonts w:ascii="Arial Narrow" w:hAnsi="Arial Narrow" w:cs="Arial"/>
                <w:color w:val="auto"/>
              </w:rPr>
              <w:t>Coding this variable prior to 1991 has been treated as a low priority, but coding post 1999 was given high priority.</w:t>
            </w:r>
            <w:r w:rsidR="00D26931">
              <w:rPr>
                <w:rFonts w:ascii="Arial Narrow" w:hAnsi="Arial Narrow" w:cs="Arial"/>
                <w:color w:val="auto"/>
              </w:rPr>
              <w:t xml:space="preserve">   </w:t>
            </w:r>
            <w:r w:rsidRPr="00A7196F">
              <w:rPr>
                <w:rFonts w:ascii="Arial Narrow" w:hAnsi="Arial Narrow" w:cs="Arial"/>
                <w:color w:val="auto"/>
              </w:rPr>
              <w:t xml:space="preserve"> </w:t>
            </w:r>
          </w:p>
        </w:tc>
        <w:tc>
          <w:tcPr>
            <w:tcW w:w="0" w:type="auto"/>
            <w:shd w:val="clear" w:color="auto" w:fill="auto"/>
          </w:tcPr>
          <w:p w:rsidR="009A343E" w:rsidRPr="00A7196F" w:rsidRDefault="009A343E" w:rsidP="00DA0A5C">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Fox has this data back to 1990.</w:t>
            </w:r>
            <w:r w:rsidR="00D26931">
              <w:rPr>
                <w:rFonts w:ascii="Arial Narrow" w:hAnsi="Arial Narrow" w:cs="Arial"/>
                <w:color w:val="auto"/>
              </w:rPr>
              <w:t xml:space="preserve"> </w:t>
            </w:r>
            <w:r w:rsidRPr="00A7196F">
              <w:rPr>
                <w:rFonts w:ascii="Arial Narrow" w:hAnsi="Arial Narrow" w:cs="Arial"/>
                <w:color w:val="auto"/>
              </w:rPr>
              <w:t>Freedom House is used to extend it forward.</w:t>
            </w:r>
            <w:r w:rsidR="00D26931">
              <w:rPr>
                <w:rFonts w:ascii="Arial Narrow" w:hAnsi="Arial Narrow" w:cs="Arial"/>
                <w:color w:val="auto"/>
              </w:rPr>
              <w:t xml:space="preserve"> </w:t>
            </w:r>
            <w:r w:rsidRPr="00A7196F">
              <w:rPr>
                <w:rFonts w:ascii="Arial Narrow" w:hAnsi="Arial Narrow" w:cs="Arial"/>
                <w:color w:val="auto"/>
              </w:rPr>
              <w:t xml:space="preserve">Pre-1990 we have a high level of </w:t>
            </w:r>
            <w:r w:rsidR="00DA0A5C">
              <w:rPr>
                <w:rFonts w:ascii="Arial Narrow" w:hAnsi="Arial Narrow" w:cs="Arial"/>
                <w:color w:val="auto"/>
              </w:rPr>
              <w:t>missing data</w:t>
            </w:r>
            <w:r w:rsidRPr="00A7196F">
              <w:rPr>
                <w:rFonts w:ascii="Arial Narrow" w:hAnsi="Arial Narrow" w:cs="Arial"/>
                <w:color w:val="auto"/>
              </w:rPr>
              <w:t>.</w:t>
            </w:r>
            <w:r w:rsidR="00D26931">
              <w:rPr>
                <w:rFonts w:ascii="Arial Narrow" w:hAnsi="Arial Narrow" w:cs="Arial"/>
                <w:color w:val="auto"/>
              </w:rPr>
              <w:t xml:space="preserve"> </w:t>
            </w:r>
            <w:r w:rsidRPr="00A7196F">
              <w:rPr>
                <w:rFonts w:ascii="Arial Narrow" w:hAnsi="Arial Narrow" w:cs="Arial"/>
                <w:color w:val="auto"/>
              </w:rPr>
              <w:t>See also 2007 State Department Report on International Religious Freedom.</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relconstp</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Religion protected (practice)</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freedom of worship or religious practice is guaranteed in the constitution (or peace agreement if no constitution is in place)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there is no constitution</w:t>
            </w:r>
            <w:r>
              <w:rPr>
                <w:rFonts w:ascii="Arial Narrow" w:hAnsi="Arial Narrow" w:cs="Arial"/>
                <w:color w:val="auto"/>
              </w:rPr>
              <w:t xml:space="preserve"> or constitution is suspended</w:t>
            </w:r>
          </w:p>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freedom of religious belief or freedom of conscience is protected, score 1.</w:t>
            </w:r>
            <w:r w:rsidR="00D26931">
              <w:rPr>
                <w:rFonts w:ascii="Arial Narrow" w:hAnsi="Arial Narrow" w:cs="Arial"/>
                <w:color w:val="auto"/>
              </w:rPr>
              <w:t xml:space="preserve"> </w:t>
            </w:r>
            <w:r w:rsidRPr="00A7196F">
              <w:rPr>
                <w:rFonts w:ascii="Arial Narrow" w:hAnsi="Arial Narrow" w:cs="Arial"/>
                <w:color w:val="auto"/>
              </w:rPr>
              <w:t>Similarly if “freedom of religion” is generically protected, score 1.</w:t>
            </w:r>
          </w:p>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*In many analyses, it makes sense to code this variable as 0 where it is -44</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c>
          <w:tcPr>
            <w:tcW w:w="0" w:type="auto"/>
            <w:vMerge w:val="restart"/>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Coded from the constitution</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relconstd</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Religion protected (discrimination)</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 constitutional provision (or provision in a peace agreement if no constitution is in force) against discrimination on the basis of religion</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there is no constitution</w:t>
            </w:r>
            <w:r>
              <w:rPr>
                <w:rFonts w:ascii="Arial Narrow" w:hAnsi="Arial Narrow" w:cs="Arial"/>
                <w:color w:val="auto"/>
              </w:rPr>
              <w:t xml:space="preserve"> or constitution is suspended</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*A provision that all citizens are equal before the law is not sufficient to warrant a score of 1. Religion must be specifically mentioned in a clause on nondiscrimination.</w:t>
            </w:r>
            <w:r w:rsidR="00D26931">
              <w:rPr>
                <w:rFonts w:ascii="Arial Narrow" w:hAnsi="Arial Narrow" w:cs="Arial"/>
                <w:color w:val="auto"/>
              </w:rPr>
              <w:t xml:space="preserve"> </w:t>
            </w:r>
            <w:r w:rsidRPr="00A7196F">
              <w:rPr>
                <w:rFonts w:ascii="Arial Narrow" w:hAnsi="Arial Narrow" w:cs="Arial"/>
                <w:color w:val="auto"/>
              </w:rPr>
              <w:t>Similarly, a generic statement of “freedom of religion” or freedom of belief or conscience does N</w:t>
            </w:r>
            <w:r>
              <w:rPr>
                <w:rFonts w:ascii="Arial Narrow" w:hAnsi="Arial Narrow" w:cs="Arial"/>
                <w:color w:val="auto"/>
              </w:rPr>
              <w:t>OT justify a score of 1 here.</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*In many analyses, it makes sense to code this variable as 0 where it is -44</w:t>
            </w:r>
            <w:r w:rsidRPr="00A7196F">
              <w:rPr>
                <w:rFonts w:ascii="Arial Narrow" w:hAnsi="Arial Narrow" w:cs="Arial"/>
                <w:color w:val="auto"/>
              </w:rPr>
              <w:t xml:space="preserve"> </w:t>
            </w:r>
          </w:p>
        </w:tc>
        <w:tc>
          <w:tcPr>
            <w:tcW w:w="0" w:type="auto"/>
            <w:vMerge/>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r w:rsidRPr="00A7196F">
              <w:rPr>
                <w:rFonts w:ascii="Arial Narrow" w:hAnsi="Arial Narrow" w:cs="Arial"/>
                <w:color w:val="auto"/>
              </w:rPr>
              <w:t>Federalism</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stconst</w:t>
            </w:r>
          </w:p>
        </w:tc>
        <w:tc>
          <w:tcPr>
            <w:tcW w:w="0" w:type="auto"/>
            <w:shd w:val="clear" w:color="auto" w:fill="auto"/>
          </w:tcPr>
          <w:p w:rsidR="009A343E" w:rsidRPr="00A7196F" w:rsidRDefault="00A809E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Regional Constituencies in the Upper House</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1 if the states/provinces are the constituencies of a majority of </w:t>
            </w:r>
            <w:r>
              <w:rPr>
                <w:rFonts w:ascii="Arial Narrow" w:hAnsi="Arial Narrow" w:cs="Arial"/>
                <w:color w:val="auto"/>
              </w:rPr>
              <w:t>legislators in the upper (or only) house</w:t>
            </w:r>
            <w:r w:rsidRPr="00A7196F">
              <w:rPr>
                <w:rFonts w:ascii="Arial Narrow" w:hAnsi="Arial Narrow" w:cs="Arial"/>
                <w:color w:val="auto"/>
              </w:rPr>
              <w:t>;</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r>
              <w:rPr>
                <w:rFonts w:ascii="Arial Narrow" w:hAnsi="Arial Narrow" w:cs="Arial"/>
                <w:color w:val="auto"/>
              </w:rPr>
              <w:t xml:space="preserve"> (and 0 if no legislature)</w:t>
            </w:r>
          </w:p>
        </w:tc>
        <w:tc>
          <w:tcPr>
            <w:tcW w:w="0" w:type="auto"/>
            <w:vMerge w:val="restart"/>
            <w:shd w:val="clear" w:color="auto" w:fill="auto"/>
          </w:tcPr>
          <w:p w:rsidR="009A343E" w:rsidRPr="00A7196F" w:rsidRDefault="009A343E" w:rsidP="006C7011">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These variables are coded by DPI, but we fill</w:t>
            </w:r>
            <w:r w:rsidR="0067543F">
              <w:rPr>
                <w:rFonts w:ascii="Arial Narrow" w:hAnsi="Arial Narrow" w:cs="Arial"/>
                <w:color w:val="auto"/>
              </w:rPr>
              <w:t>ed</w:t>
            </w:r>
            <w:r w:rsidRPr="00A7196F">
              <w:rPr>
                <w:rFonts w:ascii="Arial Narrow" w:hAnsi="Arial Narrow" w:cs="Arial"/>
                <w:color w:val="auto"/>
              </w:rPr>
              <w:t xml:space="preserve"> in substantial </w:t>
            </w:r>
            <w:r w:rsidR="006C7011">
              <w:rPr>
                <w:rFonts w:ascii="Arial Narrow" w:hAnsi="Arial Narrow" w:cs="Arial"/>
                <w:color w:val="auto"/>
              </w:rPr>
              <w:t>numbers of missing values</w:t>
            </w:r>
            <w:r w:rsidRPr="00A7196F">
              <w:rPr>
                <w:rFonts w:ascii="Arial Narrow" w:hAnsi="Arial Narrow" w:cs="Arial"/>
                <w:color w:val="auto"/>
              </w:rPr>
              <w:t>.</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state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State/provincial governments locally elected</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0 if neither legislature or executive is elected at the local level</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1 if the legislature is locally elected but the executive appointed by the central government</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2 if both the legislature and executive are locally elected</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TimesTen-Italic"/>
                <w:iCs/>
                <w:color w:val="auto"/>
              </w:rPr>
            </w:pPr>
            <w:r>
              <w:rPr>
                <w:rFonts w:ascii="Arial Narrow" w:hAnsi="Arial Narrow" w:cs="TimesTen-Italic"/>
                <w:iCs/>
                <w:color w:val="auto"/>
              </w:rPr>
              <w:t>*</w:t>
            </w:r>
            <w:r w:rsidRPr="00A7196F">
              <w:rPr>
                <w:rFonts w:ascii="Arial Narrow" w:hAnsi="Arial Narrow" w:cs="TimesTen-Italic"/>
                <w:iCs/>
                <w:color w:val="auto"/>
              </w:rPr>
              <w:t>If executive is elected/appointed by a locally elected legislature, then score 2.</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*If executive power is shared between a locally elected executive and a centrally appointed one, code 1.</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TimesTen-Italic"/>
                <w:iCs/>
                <w:color w:val="auto"/>
              </w:rPr>
              <w:t>*</w:t>
            </w:r>
            <w:r w:rsidRPr="00A7196F">
              <w:rPr>
                <w:rFonts w:ascii="Arial Narrow" w:hAnsi="Arial Narrow" w:cs="TimesTen-Italic"/>
                <w:iCs/>
                <w:color w:val="auto"/>
              </w:rPr>
              <w:t>If no states/provinces, code 0</w:t>
            </w:r>
          </w:p>
        </w:tc>
        <w:tc>
          <w:tcPr>
            <w:tcW w:w="0" w:type="auto"/>
            <w:vMerge/>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muni</w:t>
            </w:r>
            <w:r w:rsidRPr="00A7196F">
              <w:rPr>
                <w:rStyle w:val="FootnoteReference"/>
                <w:rFonts w:ascii="Arial Narrow" w:hAnsi="Arial Narrow" w:cs="Arial"/>
                <w:color w:val="auto"/>
              </w:rPr>
              <w:footnoteReference w:id="2"/>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Municipal governments locally elected</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0 if neither legislature or executive is elected at the local level</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1 if the legislature is locally elected but the executive appointed</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2 if both the legislature and executive are locally elected</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*If executive is elected/appointed by a locally elected legislature, then score 2.</w:t>
            </w:r>
          </w:p>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*If executive power is shared between a locally elected executive and a centrally appointed one, code 1.</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TimesTen-Italic"/>
                <w:iCs/>
                <w:color w:val="auto"/>
              </w:rPr>
            </w:pPr>
            <w:r w:rsidRPr="00A7196F">
              <w:rPr>
                <w:rFonts w:ascii="Arial Narrow" w:hAnsi="Arial Narrow" w:cs="TimesTen-Italic"/>
                <w:iCs/>
                <w:color w:val="auto"/>
              </w:rPr>
              <w:t>*If executive is locally elected but legislature is not, code 1.</w:t>
            </w:r>
            <w:r w:rsidR="00D26931">
              <w:rPr>
                <w:rFonts w:ascii="Arial Narrow" w:hAnsi="Arial Narrow" w:cs="TimesTen-Italic"/>
                <w:iCs/>
                <w:color w:val="auto"/>
              </w:rPr>
              <w:t xml:space="preserve"> </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Same as above.</w:t>
            </w:r>
            <w:r w:rsidR="00D26931">
              <w:rPr>
                <w:rFonts w:ascii="Arial Narrow" w:hAnsi="Arial Narrow" w:cs="Arial"/>
                <w:color w:val="auto"/>
              </w:rPr>
              <w:t xml:space="preserve"> </w:t>
            </w:r>
            <w:r w:rsidRPr="00A7196F">
              <w:rPr>
                <w:rFonts w:ascii="Arial Narrow" w:hAnsi="Arial Narrow" w:cs="Arial"/>
                <w:color w:val="auto"/>
              </w:rPr>
              <w:t>Also citymayors.com is a core source used for this variable.</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subtax</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Sub-national tax authority</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state/provincial governments can levy their own taxes;</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no states/provinces or equivalent level of government</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*For countries with autonomous regions (auton = 1), this variable is coded for states/provinces/regions OTHER THAN the autonomous region i.e. if the autonomous region</w:t>
            </w:r>
            <w:r>
              <w:rPr>
                <w:rFonts w:ascii="Arial Narrow" w:hAnsi="Arial Narrow" w:cs="Arial"/>
                <w:color w:val="auto"/>
              </w:rPr>
              <w:t xml:space="preserve"> levies</w:t>
            </w:r>
            <w:r w:rsidRPr="00A7196F">
              <w:rPr>
                <w:rFonts w:ascii="Arial Narrow" w:hAnsi="Arial Narrow" w:cs="Arial"/>
                <w:color w:val="auto"/>
              </w:rPr>
              <w:t xml:space="preserve"> its own taxes and other regions do not, code 0.</w:t>
            </w:r>
            <w:r w:rsidR="00D26931">
              <w:rPr>
                <w:rFonts w:ascii="Arial Narrow" w:hAnsi="Arial Narrow" w:cs="Arial"/>
                <w:color w:val="auto"/>
              </w:rPr>
              <w:t xml:space="preserve"> </w:t>
            </w:r>
          </w:p>
        </w:tc>
        <w:tc>
          <w:tcPr>
            <w:tcW w:w="0" w:type="auto"/>
            <w:vMerge w:val="restart"/>
            <w:shd w:val="clear" w:color="auto" w:fill="auto"/>
          </w:tcPr>
          <w:p w:rsidR="009A343E" w:rsidRPr="00A7196F" w:rsidRDefault="009A343E" w:rsidP="009A343E">
            <w:pPr>
              <w:autoSpaceDE w:val="0"/>
              <w:autoSpaceDN w:val="0"/>
              <w:adjustRightInd w:val="0"/>
              <w:spacing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These variables are labor intensive to code.</w:t>
            </w:r>
            <w:r w:rsidR="00D26931">
              <w:rPr>
                <w:rFonts w:ascii="Arial Narrow" w:hAnsi="Arial Narrow" w:cs="Arial"/>
                <w:color w:val="auto"/>
              </w:rPr>
              <w:t xml:space="preserve"> </w:t>
            </w:r>
            <w:r w:rsidRPr="00A7196F">
              <w:rPr>
                <w:rFonts w:ascii="Arial Narrow" w:hAnsi="Arial Narrow" w:cs="Arial"/>
                <w:color w:val="auto"/>
              </w:rPr>
              <w:t>Sub-Police is easy – that comes from the Encyclopedia of World Police and Penal Systems.</w:t>
            </w:r>
            <w:r w:rsidR="00D26931">
              <w:rPr>
                <w:rFonts w:ascii="Arial Narrow" w:hAnsi="Arial Narrow" w:cs="Arial"/>
                <w:color w:val="auto"/>
              </w:rPr>
              <w:t xml:space="preserve"> </w:t>
            </w:r>
            <w:r w:rsidRPr="00A7196F">
              <w:rPr>
                <w:rFonts w:ascii="Arial Narrow" w:hAnsi="Arial Narrow" w:cs="Arial"/>
                <w:color w:val="auto"/>
              </w:rPr>
              <w:t>The other two are drawn from constitutions and articles and books about federalism in particular regions of the world.</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subed</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Sub-national education authority</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state/provincial governments have sole control of education policy;</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.5 if state/provincial governments and the national government share control of education policy</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*Control of education policy is distinct from provision of education – if schools are run by the local government but curriculum and other policies are set by the central government, score 0.</w:t>
            </w:r>
          </w:p>
          <w:p w:rsidR="008B3ADB"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*Note: For countries with autonomous regions (auton = 1), this variable is coded for states/provinces/regions OTHER THAN the autonomous region i.e. if the autonomous region has the ability to control its own education policy and other regions do not, code 0 (This is extremely rare).</w:t>
            </w:r>
            <w:r w:rsidR="00D26931">
              <w:rPr>
                <w:rFonts w:ascii="Arial Narrow" w:hAnsi="Arial Narrow" w:cs="Arial"/>
                <w:color w:val="auto"/>
              </w:rPr>
              <w:t xml:space="preserve">  </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c>
          <w:tcPr>
            <w:tcW w:w="0" w:type="auto"/>
            <w:vMerge/>
            <w:shd w:val="clear" w:color="auto" w:fill="auto"/>
          </w:tcPr>
          <w:p w:rsidR="009A343E" w:rsidRPr="00A7196F" w:rsidRDefault="009A343E" w:rsidP="009A343E">
            <w:pPr>
              <w:autoSpaceDE w:val="0"/>
              <w:autoSpaceDN w:val="0"/>
              <w:adjustRightInd w:val="0"/>
              <w:spacing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subpolice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Sub-national police authority</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sub-national</w:t>
            </w:r>
            <w:r w:rsidR="00D26931">
              <w:rPr>
                <w:rFonts w:ascii="Arial Narrow" w:hAnsi="Arial Narrow" w:cs="Arial"/>
                <w:color w:val="auto"/>
              </w:rPr>
              <w:t xml:space="preserve"> </w:t>
            </w:r>
            <w:r w:rsidRPr="00A7196F">
              <w:rPr>
                <w:rFonts w:ascii="Arial Narrow" w:hAnsi="Arial Narrow" w:cs="Arial"/>
                <w:color w:val="auto"/>
              </w:rPr>
              <w:t>governments (municipal or state/regional) have control of local police/paramilitary forces in their area;</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.5 if sub-national governments and the central government share control of the local police/paramilitary forces in their area.</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the central government is in exclusive control of police/paramilitary forces.</w:t>
            </w:r>
          </w:p>
          <w:p w:rsidR="009A343E"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*Note: For countries with </w:t>
            </w:r>
            <w:r>
              <w:rPr>
                <w:rFonts w:ascii="Arial Narrow" w:hAnsi="Arial Narrow" w:cs="Arial"/>
                <w:color w:val="auto"/>
              </w:rPr>
              <w:t xml:space="preserve">autonomous regions (i.e. </w:t>
            </w:r>
            <w:r w:rsidRPr="00A7196F">
              <w:rPr>
                <w:rFonts w:ascii="Arial Narrow" w:hAnsi="Arial Narrow" w:cs="Arial"/>
                <w:color w:val="auto"/>
              </w:rPr>
              <w:t>auton = 1), this is coded for states/provinces/regions OTHER THAN the autonomous region i.e. if the autonomous region has police/paramilitary forces and other regions do</w:t>
            </w:r>
            <w:r>
              <w:rPr>
                <w:rFonts w:ascii="Arial Narrow" w:hAnsi="Arial Narrow" w:cs="Arial"/>
                <w:color w:val="auto"/>
              </w:rPr>
              <w:t>n’t</w:t>
            </w:r>
            <w:r w:rsidRPr="00A7196F">
              <w:rPr>
                <w:rFonts w:ascii="Arial Narrow" w:hAnsi="Arial Narrow" w:cs="Arial"/>
                <w:color w:val="auto"/>
              </w:rPr>
              <w:t>, code 0.</w:t>
            </w:r>
          </w:p>
          <w:p w:rsidR="009A343E" w:rsidRPr="00A7196F" w:rsidRDefault="00D26931"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 xml:space="preserve">  </w:t>
            </w:r>
          </w:p>
        </w:tc>
        <w:tc>
          <w:tcPr>
            <w:tcW w:w="0" w:type="auto"/>
            <w:vMerge/>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fedunits</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Change in federal units</w:t>
            </w:r>
          </w:p>
        </w:tc>
        <w:tc>
          <w:tcPr>
            <w:tcW w:w="6800" w:type="dxa"/>
            <w:shd w:val="clear" w:color="auto" w:fill="auto"/>
          </w:tcPr>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creation, division, merger, or elimination of any highest order subnational units</w:t>
            </w:r>
            <w:r w:rsidR="009124AC">
              <w:rPr>
                <w:rFonts w:ascii="Arial Narrow" w:hAnsi="Arial Narrow" w:cs="Arial"/>
                <w:color w:val="auto"/>
              </w:rPr>
              <w:t xml:space="preserve"> during the calendar year in question</w:t>
            </w:r>
            <w:r w:rsidRPr="00A7196F">
              <w:rPr>
                <w:rFonts w:ascii="Arial Narrow" w:hAnsi="Arial Narrow" w:cs="Arial"/>
                <w:color w:val="auto"/>
              </w:rPr>
              <w:t>.</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otherwise</w:t>
            </w:r>
          </w:p>
          <w:p w:rsid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highest order subnational units exist only as administrative extensions of the central government i.e. if state = 0 and auton = 0, then fedunits cannot take a score of 1.</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*If the boundaries of these units is adjusted, but no units are not created, merged, or eliminated, code 0</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highlight w:val="yellow"/>
              </w:rPr>
            </w:pPr>
            <w:r w:rsidRPr="00A7196F">
              <w:rPr>
                <w:rFonts w:ascii="Arial Narrow" w:hAnsi="Arial Narrow" w:cs="Arial"/>
                <w:color w:val="auto"/>
              </w:rPr>
              <w:t>auton</w:t>
            </w:r>
          </w:p>
        </w:tc>
        <w:tc>
          <w:tcPr>
            <w:tcW w:w="0" w:type="auto"/>
            <w:shd w:val="clear" w:color="auto" w:fill="auto"/>
          </w:tcPr>
          <w:p w:rsidR="009A343E" w:rsidRPr="00A7196F" w:rsidRDefault="0067543F"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Asymmetric</w:t>
            </w:r>
            <w:r w:rsidR="009A343E" w:rsidRPr="00A7196F">
              <w:rPr>
                <w:rFonts w:ascii="Arial Narrow" w:hAnsi="Arial Narrow" w:cs="Arial"/>
                <w:color w:val="auto"/>
              </w:rPr>
              <w:t xml:space="preserve"> federalism</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We use the Auton variable from DPI and simply extend it forward to 2010.</w:t>
            </w:r>
            <w:r w:rsidR="00D26931">
              <w:rPr>
                <w:rFonts w:ascii="Arial Narrow" w:hAnsi="Arial Narrow" w:cs="Arial"/>
                <w:color w:val="auto"/>
              </w:rPr>
              <w:t xml:space="preserve"> </w:t>
            </w:r>
            <w:r w:rsidRPr="00A7196F">
              <w:rPr>
                <w:rFonts w:ascii="Arial Narrow" w:hAnsi="Arial Narrow" w:cs="Arial"/>
                <w:color w:val="auto"/>
              </w:rPr>
              <w:t>Following the DPI coding:</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one or more autonomous regions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 or if no information is available</w:t>
            </w:r>
          </w:p>
        </w:tc>
        <w:tc>
          <w:tcPr>
            <w:tcW w:w="0" w:type="auto"/>
            <w:shd w:val="clear" w:color="auto" w:fill="auto"/>
          </w:tcPr>
          <w:p w:rsidR="009A343E" w:rsidRPr="00A7196F" w:rsidRDefault="009A343E" w:rsidP="0067543F">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There is a fairly low level of </w:t>
            </w:r>
            <w:r w:rsidR="0067543F">
              <w:rPr>
                <w:rFonts w:ascii="Arial Narrow" w:hAnsi="Arial Narrow" w:cs="Arial"/>
                <w:color w:val="auto"/>
              </w:rPr>
              <w:t>mi</w:t>
            </w:r>
            <w:r w:rsidR="0067543F" w:rsidRPr="00A7196F">
              <w:rPr>
                <w:rFonts w:ascii="Arial Narrow" w:hAnsi="Arial Narrow" w:cs="Arial"/>
                <w:color w:val="auto"/>
              </w:rPr>
              <w:t>s</w:t>
            </w:r>
            <w:r w:rsidR="0067543F">
              <w:rPr>
                <w:rFonts w:ascii="Arial Narrow" w:hAnsi="Arial Narrow" w:cs="Arial"/>
                <w:color w:val="auto"/>
              </w:rPr>
              <w:t>sing values</w:t>
            </w:r>
            <w:r w:rsidR="0067543F" w:rsidRPr="00A7196F">
              <w:rPr>
                <w:rFonts w:ascii="Arial Narrow" w:hAnsi="Arial Narrow" w:cs="Arial"/>
                <w:color w:val="auto"/>
              </w:rPr>
              <w:t xml:space="preserve"> </w:t>
            </w:r>
            <w:r w:rsidRPr="00A7196F">
              <w:rPr>
                <w:rFonts w:ascii="Arial Narrow" w:hAnsi="Arial Narrow" w:cs="Arial"/>
                <w:color w:val="auto"/>
              </w:rPr>
              <w:t>in DPI, but we supplement</w:t>
            </w:r>
            <w:r w:rsidR="0067543F">
              <w:rPr>
                <w:rFonts w:ascii="Arial Narrow" w:hAnsi="Arial Narrow" w:cs="Arial"/>
                <w:color w:val="auto"/>
              </w:rPr>
              <w:t>ed</w:t>
            </w:r>
            <w:r w:rsidRPr="00A7196F">
              <w:rPr>
                <w:rFonts w:ascii="Arial Narrow" w:hAnsi="Arial Narrow" w:cs="Arial"/>
                <w:color w:val="auto"/>
              </w:rPr>
              <w:t xml:space="preserve"> it where it is missing.</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r w:rsidRPr="00A7196F">
              <w:rPr>
                <w:rFonts w:ascii="Arial Narrow" w:hAnsi="Arial Narrow" w:cs="Arial"/>
                <w:color w:val="auto"/>
              </w:rPr>
              <w:t>Military</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milleg</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Military </w:t>
            </w:r>
            <w:r>
              <w:rPr>
                <w:rFonts w:ascii="Arial Narrow" w:hAnsi="Arial Narrow" w:cs="Arial"/>
                <w:color w:val="auto"/>
              </w:rPr>
              <w:t>legislator ban</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1 if there is a constitutional provision (or provision in the peace agreement in the case of transitional governments) against </w:t>
            </w:r>
            <w:r w:rsidR="004335FD">
              <w:rPr>
                <w:rFonts w:ascii="Arial Narrow" w:hAnsi="Arial Narrow" w:cs="Arial"/>
                <w:color w:val="auto"/>
              </w:rPr>
              <w:t>active members of the armed forces</w:t>
            </w:r>
            <w:r w:rsidRPr="00A7196F">
              <w:rPr>
                <w:rFonts w:ascii="Arial Narrow" w:hAnsi="Arial Narrow" w:cs="Arial"/>
                <w:color w:val="auto"/>
              </w:rPr>
              <w:t xml:space="preserve"> holding seats in the legislature, or if the Parline database notes such a restriction in its section on legislative incompatibilities.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there is no legislature</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Coding note: If only full time members of the armed forces or only career officers are banned from holding office, still code 1.</w:t>
            </w:r>
            <w:r w:rsidR="00D26931">
              <w:rPr>
                <w:rFonts w:ascii="Arial Narrow" w:hAnsi="Arial Narrow" w:cs="Arial"/>
                <w:color w:val="auto"/>
              </w:rPr>
              <w:t xml:space="preserve"> </w:t>
            </w:r>
            <w:r w:rsidRPr="00A7196F">
              <w:rPr>
                <w:rFonts w:ascii="Arial Narrow" w:hAnsi="Arial Narrow" w:cs="Arial"/>
                <w:color w:val="auto"/>
              </w:rPr>
              <w:t>Any ban is considered a ban.</w:t>
            </w:r>
          </w:p>
          <w:p w:rsidR="009A343E" w:rsidRPr="00A7196F" w:rsidRDefault="009A343E" w:rsidP="009A343E">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w:t>
            </w:r>
            <w:r w:rsidRPr="00A7196F">
              <w:rPr>
                <w:rFonts w:ascii="Arial Narrow" w:hAnsi="Arial Narrow"/>
                <w:color w:val="auto"/>
              </w:rPr>
              <w:t xml:space="preserve"> If the constitution prohibits the military from “participating” in elections or participating in politics, then milleg, milvote, and milparty all are scored 1.</w:t>
            </w:r>
            <w:r w:rsidR="00D26931">
              <w:rPr>
                <w:rFonts w:ascii="Arial Narrow" w:hAnsi="Arial Narrow"/>
                <w:color w:val="auto"/>
              </w:rPr>
              <w:t xml:space="preserve"> </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Coded from the constitution and the “electoral rules” section of Parline.</w:t>
            </w:r>
            <w:r w:rsidR="00D26931">
              <w:rPr>
                <w:rFonts w:ascii="Arial Narrow" w:hAnsi="Arial Narrow" w:cs="Arial"/>
                <w:color w:val="auto"/>
              </w:rPr>
              <w:t xml:space="preserve"> </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mim</w:t>
            </w:r>
            <w:r w:rsidRPr="00A7196F">
              <w:rPr>
                <w:rFonts w:ascii="Arial Narrow" w:hAnsi="Arial Narrow" w:cs="Arial"/>
                <w:color w:val="auto"/>
              </w:rPr>
              <w:t>an</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Inclusive Military </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it is mandated that all major groups (e.g. ethnic, religious, or linguistic groups) be represented in the military or its officer corps, or that the military or its officer corps be representative of different regions;</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*This provision is coded 0 if no evidence of such a mandate is found. Due to a lack of good secondary sources for this variable, there are possibly cases for which a mandate is in place, but not recorded.</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This is coded primarily from the constitution. </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mf</w:t>
            </w:r>
            <w:r w:rsidRPr="00A7196F">
              <w:rPr>
                <w:rFonts w:ascii="Arial Narrow" w:hAnsi="Arial Narrow" w:cs="Arial"/>
                <w:color w:val="auto"/>
              </w:rPr>
              <w:t>ound</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Foundational Military</w:t>
            </w:r>
          </w:p>
        </w:tc>
        <w:tc>
          <w:tcPr>
            <w:tcW w:w="6800" w:type="dxa"/>
            <w:shd w:val="clear" w:color="auto" w:fill="auto"/>
          </w:tcPr>
          <w:p w:rsidR="00D26931" w:rsidRDefault="009A343E" w:rsidP="009A343E">
            <w:pPr>
              <w:keepNext/>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military is assigned by the constitution to preserve the constitution from infringement by other political actors.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Coded from the constitution (easy)</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milv</w:t>
            </w:r>
            <w:r w:rsidRPr="00A7196F">
              <w:rPr>
                <w:rFonts w:ascii="Arial Narrow" w:hAnsi="Arial Narrow" w:cs="Arial"/>
                <w:color w:val="auto"/>
              </w:rPr>
              <w:t>ote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Constitutional provision against military voting</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 constitutional provision (or provision in a peace agreement if no constitution exists) denying active-duty members of the military the right to vote, or if a ban on voting by members of the military is noted in the Parline database.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no military or no elections</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Constitution and Parline</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highlight w:val="yellow"/>
              </w:rPr>
            </w:pPr>
            <w:r>
              <w:rPr>
                <w:rFonts w:ascii="Arial Narrow" w:hAnsi="Arial Narrow" w:cs="Arial"/>
                <w:color w:val="auto"/>
              </w:rPr>
              <w:t>milp</w:t>
            </w:r>
            <w:r w:rsidRPr="00A7196F">
              <w:rPr>
                <w:rFonts w:ascii="Arial Narrow" w:hAnsi="Arial Narrow" w:cs="Arial"/>
                <w:color w:val="auto"/>
              </w:rPr>
              <w:t>arty</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Constitutional provision against members of the military belonging to political parties</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 constitutional provision (or provision in a peace agreement if no constitution exists) banning members of the military from belonging to political parties.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no military or no political parties</w:t>
            </w:r>
          </w:p>
          <w:p w:rsidR="009A343E" w:rsidRPr="00A7196F" w:rsidRDefault="009A343E" w:rsidP="009A343E">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A7196F">
              <w:rPr>
                <w:rFonts w:ascii="Arial Narrow" w:hAnsi="Arial Narrow" w:cs="Arial"/>
                <w:color w:val="auto"/>
              </w:rPr>
              <w:t>*</w:t>
            </w:r>
            <w:r w:rsidRPr="00A7196F">
              <w:rPr>
                <w:rFonts w:ascii="Arial Narrow" w:hAnsi="Arial Narrow"/>
                <w:color w:val="auto"/>
              </w:rPr>
              <w:t xml:space="preserve"> If the constitution prohibits the military from “participating” in elections or participating in politics, then milleg, milvote, and milparty all are scored 1.</w:t>
            </w:r>
            <w:r w:rsidR="00D26931">
              <w:rPr>
                <w:rFonts w:ascii="Arial Narrow" w:hAnsi="Arial Narrow"/>
                <w:color w:val="auto"/>
              </w:rPr>
              <w:t xml:space="preserve"> </w:t>
            </w:r>
          </w:p>
        </w:tc>
        <w:tc>
          <w:tcPr>
            <w:tcW w:w="0" w:type="auto"/>
            <w:vMerge w:val="restart"/>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Code these two from the constitution and “Political Parties” section of Political Handbook.</w:t>
            </w:r>
            <w:r w:rsidR="00D26931">
              <w:rPr>
                <w:rFonts w:ascii="Arial Narrow" w:hAnsi="Arial Narrow" w:cs="Arial"/>
                <w:color w:val="auto"/>
              </w:rPr>
              <w:t xml:space="preserve"> </w:t>
            </w:r>
            <w:r w:rsidRPr="00A7196F">
              <w:rPr>
                <w:rFonts w:ascii="Arial Narrow" w:hAnsi="Arial Narrow" w:cs="Arial"/>
                <w:color w:val="auto"/>
              </w:rPr>
              <w:t>Also Library of Congress country studies.</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highlight w:val="yellow"/>
              </w:rPr>
            </w:pPr>
            <w:r>
              <w:rPr>
                <w:rFonts w:ascii="Arial Narrow" w:hAnsi="Arial Narrow" w:cs="Arial"/>
                <w:color w:val="auto"/>
              </w:rPr>
              <w:t>milp</w:t>
            </w:r>
            <w:r w:rsidRPr="00A7196F">
              <w:rPr>
                <w:rFonts w:ascii="Arial Narrow" w:hAnsi="Arial Narrow" w:cs="Arial"/>
                <w:color w:val="auto"/>
              </w:rPr>
              <w:t>arty2</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Mandatory party membership</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there is a constitutional provision (or provision in the peace agreement in the case of transitional governments) requiring that military officers belong to a particular party (i.e. the ruling party)</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-44 if no military or no political parties</w:t>
            </w:r>
          </w:p>
        </w:tc>
        <w:tc>
          <w:tcPr>
            <w:tcW w:w="0" w:type="auto"/>
            <w:vMerge/>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Judiciary</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jt</w:t>
            </w:r>
            <w:r w:rsidRPr="00A7196F">
              <w:rPr>
                <w:rFonts w:ascii="Arial Narrow" w:hAnsi="Arial Narrow" w:cs="Arial"/>
                <w:color w:val="auto"/>
              </w:rPr>
              <w:t>enure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Judicial</w:t>
            </w:r>
            <w:r w:rsidRPr="00A7196F">
              <w:rPr>
                <w:rFonts w:ascii="Arial Narrow" w:hAnsi="Arial Narrow" w:cs="Arial"/>
                <w:color w:val="auto"/>
              </w:rPr>
              <w:t xml:space="preserve"> Tenure </w:t>
            </w:r>
          </w:p>
        </w:tc>
        <w:tc>
          <w:tcPr>
            <w:tcW w:w="6800" w:type="dxa"/>
            <w:shd w:val="clear" w:color="auto" w:fill="auto"/>
          </w:tcPr>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terms are 6 years or less,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terms are longer than 6 years but less than lifelong</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2 if terms are lifelong or until a mandated retirement age</w:t>
            </w:r>
          </w:p>
          <w:p w:rsidR="009A343E"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*In countries with a court of constitutional review, </w:t>
            </w:r>
            <w:r>
              <w:rPr>
                <w:rFonts w:ascii="Arial Narrow" w:hAnsi="Arial Narrow" w:cs="Arial"/>
                <w:color w:val="auto"/>
              </w:rPr>
              <w:t xml:space="preserve">we </w:t>
            </w:r>
            <w:r w:rsidRPr="00A7196F">
              <w:rPr>
                <w:rFonts w:ascii="Arial Narrow" w:hAnsi="Arial Narrow" w:cs="Arial"/>
                <w:color w:val="auto"/>
              </w:rPr>
              <w:t>code tenure of these judges.</w:t>
            </w:r>
            <w:r w:rsidR="00D26931">
              <w:rPr>
                <w:rFonts w:ascii="Arial Narrow" w:hAnsi="Arial Narrow" w:cs="Arial"/>
                <w:color w:val="auto"/>
              </w:rPr>
              <w:t xml:space="preserve"> </w:t>
            </w:r>
            <w:r w:rsidRPr="00A7196F">
              <w:rPr>
                <w:rFonts w:ascii="Arial Narrow" w:hAnsi="Arial Narrow" w:cs="Arial"/>
                <w:color w:val="auto"/>
              </w:rPr>
              <w:t xml:space="preserve">In countries with no court of constitutional review, </w:t>
            </w:r>
            <w:r>
              <w:rPr>
                <w:rFonts w:ascii="Arial Narrow" w:hAnsi="Arial Narrow" w:cs="Arial"/>
                <w:color w:val="auto"/>
              </w:rPr>
              <w:t xml:space="preserve">we </w:t>
            </w:r>
            <w:r w:rsidRPr="00A7196F">
              <w:rPr>
                <w:rFonts w:ascii="Arial Narrow" w:hAnsi="Arial Narrow" w:cs="Arial"/>
                <w:color w:val="auto"/>
              </w:rPr>
              <w:t>code for the highest appellate court</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-44 in countries with no appellate courts – this is common the first few years after independence</w:t>
            </w:r>
          </w:p>
        </w:tc>
        <w:tc>
          <w:tcPr>
            <w:tcW w:w="0" w:type="auto"/>
            <w:vMerge w:val="restart"/>
            <w:shd w:val="clear" w:color="auto" w:fill="auto"/>
          </w:tcPr>
          <w:p w:rsidR="009A343E" w:rsidRPr="00D26931" w:rsidRDefault="009A343E" w:rsidP="009124AC">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D26931">
              <w:rPr>
                <w:rFonts w:ascii="Arial Narrow" w:hAnsi="Arial Narrow" w:cs="Arial"/>
                <w:color w:val="auto"/>
              </w:rPr>
              <w:t xml:space="preserve">These variables </w:t>
            </w:r>
            <w:r w:rsidR="0067543F" w:rsidRPr="00D26931">
              <w:rPr>
                <w:rFonts w:ascii="Arial Narrow" w:hAnsi="Arial Narrow" w:cs="Arial"/>
                <w:color w:val="auto"/>
              </w:rPr>
              <w:t>were</w:t>
            </w:r>
            <w:r w:rsidRPr="00D26931">
              <w:rPr>
                <w:rFonts w:ascii="Arial Narrow" w:hAnsi="Arial Narrow" w:cs="Arial"/>
                <w:color w:val="auto"/>
              </w:rPr>
              <w:t xml:space="preserve"> coded from the constituion, or if they’re not there (they usually are), then the Library of Congre</w:t>
            </w:r>
            <w:r w:rsidR="0067543F" w:rsidRPr="00D26931">
              <w:rPr>
                <w:rFonts w:ascii="Arial Narrow" w:hAnsi="Arial Narrow" w:cs="Arial"/>
                <w:color w:val="auto"/>
              </w:rPr>
              <w:t>ss</w:t>
            </w:r>
            <w:r w:rsidRPr="00D26931">
              <w:rPr>
                <w:rFonts w:ascii="Arial Narrow" w:hAnsi="Arial Narrow" w:cs="Arial"/>
                <w:color w:val="auto"/>
              </w:rPr>
              <w:t xml:space="preserve"> country studies and/or region-specific sources like </w:t>
            </w:r>
            <w:r w:rsidR="009124AC">
              <w:rPr>
                <w:rFonts w:ascii="Arial Narrow" w:hAnsi="Arial Narrow" w:cs="Arial"/>
                <w:color w:val="auto"/>
              </w:rPr>
              <w:t>the United Nations Development Programme’s  Program on Governance in the Arab Region</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highlight w:val="green"/>
              </w:rPr>
            </w:pPr>
            <w:r>
              <w:rPr>
                <w:rFonts w:ascii="Arial Narrow" w:hAnsi="Arial Narrow" w:cs="Arial"/>
                <w:color w:val="auto"/>
              </w:rPr>
              <w:t>jc</w:t>
            </w:r>
            <w:r w:rsidRPr="00A7196F">
              <w:rPr>
                <w:rFonts w:ascii="Arial Narrow" w:hAnsi="Arial Narrow" w:cs="Arial"/>
                <w:color w:val="auto"/>
              </w:rPr>
              <w:t>ause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Judge removal without cause (Supreme Court)</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1 if judges can be removed from office without cause (e.g. serve at the pleasure of the </w:t>
            </w:r>
            <w:r w:rsidR="009124AC">
              <w:rPr>
                <w:rFonts w:ascii="Arial Narrow" w:hAnsi="Arial Narrow" w:cs="Arial"/>
                <w:color w:val="auto"/>
              </w:rPr>
              <w:t>chief executive.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*In countries with a court of constitutional review, </w:t>
            </w:r>
            <w:r>
              <w:rPr>
                <w:rFonts w:ascii="Arial Narrow" w:hAnsi="Arial Narrow" w:cs="Arial"/>
                <w:color w:val="auto"/>
              </w:rPr>
              <w:t xml:space="preserve">we </w:t>
            </w:r>
            <w:r w:rsidRPr="00A7196F">
              <w:rPr>
                <w:rFonts w:ascii="Arial Narrow" w:hAnsi="Arial Narrow" w:cs="Arial"/>
                <w:color w:val="auto"/>
              </w:rPr>
              <w:t>code rules regarding these judges.</w:t>
            </w:r>
            <w:r w:rsidR="00D26931">
              <w:rPr>
                <w:rFonts w:ascii="Arial Narrow" w:hAnsi="Arial Narrow" w:cs="Arial"/>
                <w:color w:val="auto"/>
              </w:rPr>
              <w:t xml:space="preserve"> </w:t>
            </w:r>
            <w:r w:rsidRPr="00A7196F">
              <w:rPr>
                <w:rFonts w:ascii="Arial Narrow" w:hAnsi="Arial Narrow" w:cs="Arial"/>
                <w:color w:val="auto"/>
              </w:rPr>
              <w:t>In countries with no court of constitutional review,</w:t>
            </w:r>
            <w:r>
              <w:rPr>
                <w:rFonts w:ascii="Arial Narrow" w:hAnsi="Arial Narrow" w:cs="Arial"/>
                <w:color w:val="auto"/>
              </w:rPr>
              <w:t xml:space="preserve"> we</w:t>
            </w:r>
            <w:r w:rsidRPr="00A7196F">
              <w:rPr>
                <w:rFonts w:ascii="Arial Narrow" w:hAnsi="Arial Narrow" w:cs="Arial"/>
                <w:color w:val="auto"/>
              </w:rPr>
              <w:t xml:space="preserve"> code for the highest appellate court.</w:t>
            </w:r>
          </w:p>
        </w:tc>
        <w:tc>
          <w:tcPr>
            <w:tcW w:w="0" w:type="auto"/>
            <w:vMerge/>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japptb</w:t>
            </w:r>
            <w:r w:rsidRPr="00A7196F">
              <w:rPr>
                <w:rFonts w:ascii="Arial Narrow" w:hAnsi="Arial Narrow" w:cs="Arial"/>
                <w:color w:val="auto"/>
              </w:rPr>
              <w:t>r</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Judicial appointments</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power to appoint judges to the highest court is divided between branches of govt (e.g. if all justices are nominated by the executive and confirmed by the legislative, or if a certain number of justices are appointed by each branch; or if the exec appoints from a list provided by the legislature or other body)</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2 if the power to appoint judges to the highest court is held by the executive branch only</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3 if the power to appoint judges is held by the legislative branch only</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(In countries with a court of constitutional review, code how these judges are appointed.</w:t>
            </w:r>
            <w:r w:rsidR="00D26931">
              <w:rPr>
                <w:rFonts w:ascii="Arial Narrow" w:hAnsi="Arial Narrow" w:cs="Arial"/>
                <w:color w:val="auto"/>
              </w:rPr>
              <w:t xml:space="preserve"> </w:t>
            </w:r>
            <w:r w:rsidRPr="00A7196F">
              <w:rPr>
                <w:rFonts w:ascii="Arial Narrow" w:hAnsi="Arial Narrow" w:cs="Arial"/>
                <w:color w:val="auto"/>
              </w:rPr>
              <w:t>In countries with no court of constitutional review, code for the highest appellate court)</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4 if </w:t>
            </w:r>
            <w:r w:rsidR="00F10DB8">
              <w:rPr>
                <w:rFonts w:ascii="Arial Narrow" w:hAnsi="Arial Narrow" w:cs="Arial"/>
                <w:color w:val="auto"/>
              </w:rPr>
              <w:t xml:space="preserve">the power to appoint judges is </w:t>
            </w:r>
            <w:r w:rsidRPr="00A7196F">
              <w:rPr>
                <w:rFonts w:ascii="Arial Narrow" w:hAnsi="Arial Narrow" w:cs="Arial"/>
                <w:color w:val="auto"/>
              </w:rPr>
              <w:t xml:space="preserve">not shared between branches and </w:t>
            </w:r>
            <w:r w:rsidR="00F10DB8">
              <w:rPr>
                <w:rFonts w:ascii="Arial Narrow" w:hAnsi="Arial Narrow" w:cs="Arial"/>
                <w:color w:val="auto"/>
              </w:rPr>
              <w:t xml:space="preserve">judges are </w:t>
            </w:r>
            <w:r w:rsidRPr="00A7196F">
              <w:rPr>
                <w:rFonts w:ascii="Arial Narrow" w:hAnsi="Arial Narrow" w:cs="Arial"/>
                <w:color w:val="auto"/>
              </w:rPr>
              <w:t>appointed neither</w:t>
            </w:r>
            <w:r w:rsidR="00644B46" w:rsidRPr="00A7196F">
              <w:rPr>
                <w:rFonts w:ascii="Arial Narrow" w:hAnsi="Arial Narrow" w:cs="Arial"/>
                <w:color w:val="auto"/>
              </w:rPr>
              <w:t xml:space="preserve"> by</w:t>
            </w:r>
            <w:r w:rsidRPr="00A7196F">
              <w:rPr>
                <w:rFonts w:ascii="Arial Narrow" w:hAnsi="Arial Narrow" w:cs="Arial"/>
                <w:color w:val="auto"/>
              </w:rPr>
              <w:t xml:space="preserve"> the legislative nor the executive branch</w:t>
            </w:r>
            <w:r w:rsidR="00644B46">
              <w:rPr>
                <w:rFonts w:ascii="Arial Narrow" w:hAnsi="Arial Narrow" w:cs="Arial"/>
                <w:color w:val="auto"/>
              </w:rPr>
              <w:t>;</w:t>
            </w:r>
            <w:r w:rsidRPr="00A7196F">
              <w:rPr>
                <w:rFonts w:ascii="Arial Narrow" w:hAnsi="Arial Narrow" w:cs="Arial"/>
                <w:color w:val="auto"/>
              </w:rPr>
              <w:t xml:space="preserve"> e.g. appointed by lower court judges, or a special judicial commission.</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*Note: A 1 is not coded if either appointment is made with the “advice” of “in consultation with” another body, such as a judicial commission, but not necessarily with its consent.</w:t>
            </w:r>
            <w:r w:rsidR="00D26931">
              <w:rPr>
                <w:rFonts w:ascii="Arial Narrow" w:hAnsi="Arial Narrow" w:cs="Arial"/>
                <w:color w:val="auto"/>
              </w:rPr>
              <w:t xml:space="preserve"> </w:t>
            </w:r>
            <w:r w:rsidRPr="00A7196F">
              <w:rPr>
                <w:rFonts w:ascii="Arial Narrow" w:hAnsi="Arial Narrow" w:cs="Arial"/>
                <w:color w:val="auto"/>
              </w:rPr>
              <w:t>A 1 is also not coded if the body with which one branch shares authority is comprised of members appointed by that branch. When it is not known how the members of a body are appointed, it is presumed that the body is not an independent check on appointment authority and a 1 is not coded.</w:t>
            </w:r>
            <w:r w:rsidR="00D26931">
              <w:rPr>
                <w:rFonts w:ascii="Arial Narrow" w:hAnsi="Arial Narrow" w:cs="Arial"/>
                <w:color w:val="auto"/>
              </w:rPr>
              <w:t xml:space="preserve"> </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*Note: If there is a figurehead executive, then division of power with this individual is not counted and a 1 is not coded.</w:t>
            </w:r>
          </w:p>
        </w:tc>
        <w:tc>
          <w:tcPr>
            <w:tcW w:w="0" w:type="auto"/>
            <w:vMerge w:val="restart"/>
            <w:shd w:val="clear" w:color="auto" w:fill="auto"/>
          </w:tcPr>
          <w:p w:rsidR="009A343E" w:rsidRPr="00D26931" w:rsidRDefault="0067543F"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D26931">
              <w:rPr>
                <w:rFonts w:ascii="Arial Narrow" w:hAnsi="Arial Narrow" w:cs="Arial"/>
                <w:color w:val="auto"/>
              </w:rPr>
              <w:t>T</w:t>
            </w:r>
            <w:r w:rsidR="009A343E" w:rsidRPr="00D26931">
              <w:rPr>
                <w:rFonts w:ascii="Arial Narrow" w:hAnsi="Arial Narrow" w:cs="Arial"/>
                <w:color w:val="auto"/>
              </w:rPr>
              <w:t>hese two variables</w:t>
            </w:r>
            <w:r w:rsidRPr="00D26931">
              <w:rPr>
                <w:rFonts w:ascii="Arial Narrow" w:hAnsi="Arial Narrow" w:cs="Arial"/>
                <w:color w:val="auto"/>
              </w:rPr>
              <w:t xml:space="preserve"> were coded</w:t>
            </w:r>
            <w:r w:rsidR="009A343E" w:rsidRPr="00D26931">
              <w:rPr>
                <w:rFonts w:ascii="Arial Narrow" w:hAnsi="Arial Narrow" w:cs="Arial"/>
                <w:color w:val="auto"/>
              </w:rPr>
              <w:t xml:space="preserve"> from the constituion, or if they’re not there (they usually are), then look at Library of Congre</w:t>
            </w:r>
            <w:r w:rsidR="009124AC">
              <w:rPr>
                <w:rFonts w:ascii="Arial Narrow" w:hAnsi="Arial Narrow" w:cs="Arial"/>
                <w:color w:val="auto"/>
              </w:rPr>
              <w:t>ss</w:t>
            </w:r>
            <w:r w:rsidR="009A343E" w:rsidRPr="00D26931">
              <w:rPr>
                <w:rFonts w:ascii="Arial Narrow" w:hAnsi="Arial Narrow" w:cs="Arial"/>
                <w:color w:val="auto"/>
              </w:rPr>
              <w:t xml:space="preserve"> country studies and/or region-specific sources like</w:t>
            </w:r>
            <w:r w:rsidR="009124AC">
              <w:rPr>
                <w:rFonts w:ascii="Arial Narrow" w:hAnsi="Arial Narrow" w:cs="Arial"/>
                <w:color w:val="auto"/>
              </w:rPr>
              <w:t xml:space="preserve"> the</w:t>
            </w:r>
            <w:r w:rsidR="009A343E" w:rsidRPr="00D26931">
              <w:rPr>
                <w:rFonts w:ascii="Arial Narrow" w:hAnsi="Arial Narrow" w:cs="Arial"/>
                <w:color w:val="auto"/>
              </w:rPr>
              <w:t xml:space="preserve"> </w:t>
            </w:r>
            <w:r w:rsidR="009124AC">
              <w:rPr>
                <w:rFonts w:ascii="Arial Narrow" w:hAnsi="Arial Narrow" w:cs="Arial"/>
                <w:color w:val="auto"/>
              </w:rPr>
              <w:t>United Nations Development Programme’s  Program on Governance in the Arab Region</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japptb</w:t>
            </w:r>
            <w:r w:rsidRPr="00A7196F">
              <w:rPr>
                <w:rFonts w:ascii="Arial Narrow" w:hAnsi="Arial Narrow" w:cs="Arial"/>
                <w:color w:val="auto"/>
              </w:rPr>
              <w:t>r_binary</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Judicial Appointments</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power to appoint judges to the highest court is divided between branches of govt (e.g. if all justices are nominated by the executive and confirmed by the legislative, or if a certain number of justices are appointed by each branch; or if the exec appoints from a list provided by the legislature or other body); or if judicial appointments are made by lower court judges or a special judicial commission (i.e. if japptBr is coded a 1 or a 4).</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if the power to appoint judges rests with a single branch of government (i.e. if japptBr is coded 2 or 3).</w:t>
            </w:r>
          </w:p>
        </w:tc>
        <w:tc>
          <w:tcPr>
            <w:tcW w:w="0" w:type="auto"/>
            <w:vMerge/>
            <w:shd w:val="clear" w:color="auto" w:fill="auto"/>
          </w:tcPr>
          <w:p w:rsidR="009A343E" w:rsidRPr="00D26931"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p>
        </w:tc>
      </w:tr>
      <w:tr w:rsidR="009124AC" w:rsidRPr="00A7196F">
        <w:trPr>
          <w:cnfStyle w:val="000000100000" w:firstRow="0" w:lastRow="0" w:firstColumn="0" w:lastColumn="0" w:oddVBand="0" w:evenVBand="0" w:oddHBand="1" w:evenHBand="0" w:firstRowFirstColumn="0" w:firstRowLastColumn="0" w:lastRowFirstColumn="0" w:lastRowLastColumn="0"/>
          <w:trHeight w:val="2537"/>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jc</w:t>
            </w:r>
            <w:r w:rsidRPr="00A7196F">
              <w:rPr>
                <w:rFonts w:ascii="Arial Narrow" w:hAnsi="Arial Narrow" w:cs="Arial"/>
                <w:color w:val="auto"/>
              </w:rPr>
              <w:t>onst</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Judici</w:t>
            </w:r>
            <w:r>
              <w:rPr>
                <w:rFonts w:ascii="Arial Narrow" w:hAnsi="Arial Narrow" w:cs="Arial"/>
                <w:color w:val="auto"/>
              </w:rPr>
              <w:t>al constitution</w:t>
            </w:r>
          </w:p>
        </w:tc>
        <w:tc>
          <w:tcPr>
            <w:tcW w:w="6800" w:type="dxa"/>
            <w:shd w:val="clear" w:color="auto" w:fill="auto"/>
          </w:tcPr>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role of the supreme court or judiciary is specified in the constitution;</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0 otherwise</w:t>
            </w:r>
            <w:r>
              <w:rPr>
                <w:rFonts w:ascii="Arial Narrow" w:hAnsi="Arial Narrow" w:cs="Arial"/>
                <w:color w:val="auto"/>
              </w:rPr>
              <w:br/>
              <w:t>*</w:t>
            </w:r>
            <w:r w:rsidRPr="00A7196F">
              <w:rPr>
                <w:rFonts w:ascii="Arial Narrow" w:hAnsi="Arial Narrow" w:cs="Arial"/>
                <w:color w:val="auto"/>
              </w:rPr>
              <w:t>To justify a score of 1, the following items must ALL be specified in the constitution:</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The jurisdiction of the court</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2. The appointment of judges</w:t>
            </w:r>
          </w:p>
          <w:p w:rsidR="00D26931"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3. The tenure of judges</w:t>
            </w:r>
          </w:p>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*If there is no constitution in force, this variable </w:t>
            </w:r>
            <w:r>
              <w:rPr>
                <w:rFonts w:ascii="Arial Narrow" w:hAnsi="Arial Narrow" w:cs="Arial"/>
                <w:color w:val="auto"/>
              </w:rPr>
              <w:t xml:space="preserve">takes </w:t>
            </w:r>
            <w:r w:rsidRPr="00A7196F">
              <w:rPr>
                <w:rFonts w:ascii="Arial Narrow" w:hAnsi="Arial Narrow" w:cs="Arial"/>
                <w:color w:val="auto"/>
              </w:rPr>
              <w:t>a value of 0, rather than -44</w:t>
            </w:r>
            <w:r w:rsidR="00D26931">
              <w:rPr>
                <w:rFonts w:ascii="Arial Narrow" w:hAnsi="Arial Narrow" w:cs="Arial"/>
                <w:color w:val="auto"/>
              </w:rPr>
              <w:t xml:space="preserve"> </w:t>
            </w:r>
            <w:r w:rsidRPr="00A7196F">
              <w:rPr>
                <w:rFonts w:ascii="Arial Narrow" w:hAnsi="Arial Narrow" w:cs="Arial"/>
                <w:color w:val="auto"/>
              </w:rPr>
              <w:t>This is due to the fact that a court gains power from a constitutional mandate, and that (lack of) mandate is the concept at issue in coding this variable.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lang w:val="nb-NO"/>
              </w:rPr>
            </w:pPr>
            <w:r>
              <w:rPr>
                <w:rFonts w:ascii="Arial Narrow" w:hAnsi="Arial Narrow" w:cs="Arial"/>
                <w:color w:val="auto"/>
                <w:lang w:val="nb-NO"/>
              </w:rPr>
              <w:t>Constitution only</w:t>
            </w:r>
          </w:p>
        </w:tc>
      </w:tr>
      <w:tr w:rsidR="009124AC" w:rsidRPr="00A7196F">
        <w:trPr>
          <w:trHeight w:val="14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auto"/>
          </w:tcPr>
          <w:p w:rsidR="009A343E" w:rsidRPr="00A7196F" w:rsidRDefault="009A343E" w:rsidP="009A343E">
            <w:pPr>
              <w:autoSpaceDE w:val="0"/>
              <w:autoSpaceDN w:val="0"/>
              <w:adjustRightInd w:val="0"/>
              <w:spacing w:line="240" w:lineRule="auto"/>
              <w:contextualSpacing/>
              <w:rPr>
                <w:rFonts w:ascii="Arial Narrow" w:hAnsi="Arial Narrow" w:cs="Arial"/>
                <w:color w:val="auto"/>
              </w:rPr>
            </w:pP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Pr>
                <w:rFonts w:ascii="Arial Narrow" w:hAnsi="Arial Narrow" w:cs="Arial"/>
                <w:color w:val="auto"/>
              </w:rPr>
              <w:t>jrevm</w:t>
            </w:r>
            <w:r w:rsidRPr="00A7196F">
              <w:rPr>
                <w:rFonts w:ascii="Arial Narrow" w:hAnsi="Arial Narrow" w:cs="Arial"/>
                <w:color w:val="auto"/>
              </w:rPr>
              <w:t>an</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 xml:space="preserve">Judicial review </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the judicial branch has the power to declare the actions of the legislature AND executive unconstitutional;</w:t>
            </w:r>
          </w:p>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0 otherwise</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Constitution only</w:t>
            </w:r>
          </w:p>
        </w:tc>
      </w:tr>
      <w:tr w:rsidR="009124AC" w:rsidRPr="00A7196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9A343E" w:rsidRPr="00A7196F" w:rsidRDefault="009A343E" w:rsidP="009A343E">
            <w:pPr>
              <w:autoSpaceDE w:val="0"/>
              <w:autoSpaceDN w:val="0"/>
              <w:adjustRightInd w:val="0"/>
              <w:spacing w:after="0" w:line="240" w:lineRule="auto"/>
              <w:contextualSpacing/>
              <w:rPr>
                <w:rFonts w:ascii="Arial Narrow" w:hAnsi="Arial Narrow" w:cs="Arial"/>
                <w:color w:val="auto"/>
              </w:rPr>
            </w:pPr>
            <w:r w:rsidRPr="00A7196F">
              <w:rPr>
                <w:rFonts w:ascii="Arial Narrow" w:hAnsi="Arial Narrow" w:cs="Arial"/>
                <w:color w:val="auto"/>
              </w:rPr>
              <w:t>Violation of Mandated Powersharing</w:t>
            </w:r>
          </w:p>
        </w:tc>
        <w:tc>
          <w:tcPr>
            <w:tcW w:w="1821"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violation</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Dummy for Violation of Mandated Powersharing</w:t>
            </w:r>
          </w:p>
        </w:tc>
        <w:tc>
          <w:tcPr>
            <w:tcW w:w="6800" w:type="dxa"/>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sidRPr="00A7196F">
              <w:rPr>
                <w:rFonts w:ascii="Arial Narrow" w:hAnsi="Arial Narrow" w:cs="Arial"/>
                <w:color w:val="auto"/>
              </w:rPr>
              <w:t>1 if violations if any of the following institutions are mandated and not implemented:</w:t>
            </w:r>
          </w:p>
          <w:p w:rsidR="009A343E" w:rsidRPr="00A7196F" w:rsidRDefault="009A343E" w:rsidP="009A343E">
            <w:pPr>
              <w:spacing w:line="240" w:lineRule="auto"/>
              <w:contextualSpacing/>
              <w:cnfStyle w:val="000000100000" w:firstRow="0" w:lastRow="0" w:firstColumn="0" w:lastColumn="0" w:oddVBand="0" w:evenVBand="0" w:oddHBand="1" w:evenHBand="0" w:firstRowFirstColumn="0" w:firstRowLastColumn="0" w:lastRowFirstColumn="0" w:lastRowLastColumn="0"/>
              <w:rPr>
                <w:color w:val="auto"/>
              </w:rPr>
            </w:pPr>
            <w:r w:rsidRPr="00A7196F">
              <w:rPr>
                <w:color w:val="auto"/>
              </w:rPr>
              <w:t>Reserved executive positions</w:t>
            </w:r>
          </w:p>
          <w:p w:rsidR="009A343E" w:rsidRPr="00A7196F" w:rsidRDefault="009A343E" w:rsidP="009A343E">
            <w:pPr>
              <w:spacing w:line="240" w:lineRule="auto"/>
              <w:contextualSpacing/>
              <w:cnfStyle w:val="000000100000" w:firstRow="0" w:lastRow="0" w:firstColumn="0" w:lastColumn="0" w:oddVBand="0" w:evenVBand="0" w:oddHBand="1" w:evenHBand="0" w:firstRowFirstColumn="0" w:firstRowLastColumn="0" w:lastRowFirstColumn="0" w:lastRowLastColumn="0"/>
              <w:rPr>
                <w:color w:val="auto"/>
              </w:rPr>
            </w:pPr>
            <w:r w:rsidRPr="00A7196F">
              <w:rPr>
                <w:color w:val="auto"/>
              </w:rPr>
              <w:t>Reserved legislative seats (for minorities or interest groups)</w:t>
            </w:r>
          </w:p>
          <w:p w:rsidR="009A343E" w:rsidRPr="00A7196F" w:rsidRDefault="009A343E" w:rsidP="009A343E">
            <w:pPr>
              <w:spacing w:line="240" w:lineRule="auto"/>
              <w:contextualSpacing/>
              <w:cnfStyle w:val="000000100000" w:firstRow="0" w:lastRow="0" w:firstColumn="0" w:lastColumn="0" w:oddVBand="0" w:evenVBand="0" w:oddHBand="1" w:evenHBand="0" w:firstRowFirstColumn="0" w:firstRowLastColumn="0" w:lastRowFirstColumn="0" w:lastRowLastColumn="0"/>
              <w:rPr>
                <w:color w:val="auto"/>
              </w:rPr>
            </w:pPr>
            <w:r w:rsidRPr="00A7196F">
              <w:rPr>
                <w:color w:val="auto"/>
              </w:rPr>
              <w:t>Grand Coalitions</w:t>
            </w:r>
          </w:p>
        </w:tc>
        <w:tc>
          <w:tcPr>
            <w:tcW w:w="0" w:type="auto"/>
            <w:shd w:val="clear" w:color="auto" w:fill="auto"/>
          </w:tcPr>
          <w:p w:rsidR="009A343E" w:rsidRPr="00A7196F" w:rsidRDefault="009A343E" w:rsidP="009A343E">
            <w:pPr>
              <w:autoSpaceDE w:val="0"/>
              <w:autoSpaceDN w:val="0"/>
              <w:adjustRightInd w:val="0"/>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rPr>
            </w:pPr>
            <w:r>
              <w:rPr>
                <w:rFonts w:ascii="Arial Narrow" w:hAnsi="Arial Narrow" w:cs="Arial"/>
                <w:color w:val="auto"/>
              </w:rPr>
              <w:t>Created mechanically</w:t>
            </w:r>
          </w:p>
        </w:tc>
      </w:tr>
    </w:tbl>
    <w:p w:rsidR="00CE01A7" w:rsidRPr="00A7196F" w:rsidRDefault="00BB5732" w:rsidP="00793550">
      <w:pPr>
        <w:autoSpaceDE w:val="0"/>
        <w:autoSpaceDN w:val="0"/>
        <w:adjustRightInd w:val="0"/>
        <w:spacing w:after="0" w:line="240" w:lineRule="auto"/>
        <w:contextualSpacing/>
        <w:rPr>
          <w:rFonts w:ascii="Arial Narrow" w:hAnsi="Arial Narrow" w:cs="Arial"/>
          <w:sz w:val="32"/>
          <w:szCs w:val="32"/>
        </w:rPr>
      </w:pPr>
      <w:r>
        <w:rPr>
          <w:rFonts w:ascii="Arial Narrow" w:hAnsi="Arial Narrow" w:cs="Arial"/>
          <w:sz w:val="32"/>
          <w:szCs w:val="32"/>
        </w:rPr>
        <w:br w:type="textWrapping" w:clear="all"/>
      </w:r>
    </w:p>
    <w:p w:rsidR="00A7196F" w:rsidRDefault="00A7196F" w:rsidP="00793550">
      <w:pPr>
        <w:autoSpaceDE w:val="0"/>
        <w:autoSpaceDN w:val="0"/>
        <w:adjustRightInd w:val="0"/>
        <w:spacing w:after="0" w:line="240" w:lineRule="auto"/>
        <w:contextualSpacing/>
        <w:rPr>
          <w:rFonts w:ascii="Arial Narrow" w:hAnsi="Arial Narrow" w:cs="Arial"/>
          <w:iCs/>
          <w:sz w:val="20"/>
          <w:szCs w:val="20"/>
        </w:rPr>
        <w:sectPr w:rsidR="00A7196F">
          <w:footerReference w:type="default" r:id="rId8"/>
          <w:pgSz w:w="15840" w:h="12240" w:orient="landscape"/>
          <w:pgMar w:top="1440" w:right="1440" w:bottom="1440" w:left="1440" w:header="708" w:footer="708" w:gutter="0"/>
          <w:cols w:space="708"/>
          <w:docGrid w:linePitch="360"/>
        </w:sectPr>
      </w:pPr>
    </w:p>
    <w:p w:rsidR="00036FE6" w:rsidRPr="00A7196F" w:rsidRDefault="00036FE6" w:rsidP="00793550">
      <w:pPr>
        <w:autoSpaceDE w:val="0"/>
        <w:autoSpaceDN w:val="0"/>
        <w:adjustRightInd w:val="0"/>
        <w:spacing w:after="0" w:line="240" w:lineRule="auto"/>
        <w:contextualSpacing/>
        <w:rPr>
          <w:rFonts w:ascii="Arial Narrow" w:hAnsi="Arial Narrow" w:cs="Arial"/>
          <w:iCs/>
          <w:sz w:val="20"/>
          <w:szCs w:val="20"/>
        </w:rPr>
      </w:pPr>
    </w:p>
    <w:p w:rsidR="00CE01A7" w:rsidRPr="00A7196F" w:rsidRDefault="001D04EB" w:rsidP="00793550">
      <w:pPr>
        <w:autoSpaceDE w:val="0"/>
        <w:autoSpaceDN w:val="0"/>
        <w:adjustRightInd w:val="0"/>
        <w:spacing w:after="0" w:line="240" w:lineRule="auto"/>
        <w:contextualSpacing/>
        <w:rPr>
          <w:rFonts w:ascii="Arial Narrow" w:hAnsi="Arial Narrow" w:cs="Arial"/>
          <w:iCs/>
          <w:sz w:val="32"/>
          <w:szCs w:val="32"/>
        </w:rPr>
      </w:pPr>
      <w:r w:rsidRPr="00A7196F">
        <w:rPr>
          <w:rFonts w:ascii="Arial Narrow" w:hAnsi="Arial Narrow" w:cs="Arial"/>
          <w:iCs/>
          <w:sz w:val="32"/>
          <w:szCs w:val="32"/>
        </w:rPr>
        <w:t>Core Sources:</w:t>
      </w:r>
    </w:p>
    <w:p w:rsidR="001D04EB" w:rsidRPr="00A7196F" w:rsidRDefault="001D04EB" w:rsidP="00793550">
      <w:pPr>
        <w:autoSpaceDE w:val="0"/>
        <w:autoSpaceDN w:val="0"/>
        <w:adjustRightInd w:val="0"/>
        <w:spacing w:after="0" w:line="240" w:lineRule="auto"/>
        <w:contextualSpacing/>
        <w:rPr>
          <w:rFonts w:ascii="Arial Narrow" w:hAnsi="Arial Narrow" w:cs="Arial"/>
          <w:iCs/>
          <w:sz w:val="20"/>
          <w:szCs w:val="20"/>
        </w:rPr>
      </w:pPr>
    </w:p>
    <w:p w:rsidR="00D26931" w:rsidRDefault="001D04EB" w:rsidP="00793550">
      <w:pPr>
        <w:autoSpaceDE w:val="0"/>
        <w:autoSpaceDN w:val="0"/>
        <w:adjustRightInd w:val="0"/>
        <w:spacing w:after="0" w:line="240" w:lineRule="auto"/>
        <w:contextualSpacing/>
        <w:rPr>
          <w:rFonts w:ascii="Arial Narrow" w:hAnsi="Arial Narrow" w:cs="Arial"/>
          <w:iCs/>
          <w:sz w:val="20"/>
          <w:szCs w:val="20"/>
        </w:rPr>
      </w:pPr>
      <w:r w:rsidRPr="00A7196F">
        <w:rPr>
          <w:rFonts w:ascii="Arial Narrow" w:hAnsi="Arial Narrow" w:cs="Arial"/>
          <w:b/>
          <w:iCs/>
          <w:sz w:val="20"/>
          <w:szCs w:val="20"/>
        </w:rPr>
        <w:t>Europa</w:t>
      </w:r>
      <w:r w:rsidRPr="00A7196F">
        <w:rPr>
          <w:rFonts w:ascii="Arial Narrow" w:hAnsi="Arial Narrow" w:cs="Arial"/>
          <w:iCs/>
          <w:sz w:val="20"/>
          <w:szCs w:val="20"/>
        </w:rPr>
        <w:t xml:space="preserve"> </w:t>
      </w:r>
      <w:r w:rsidRPr="00A7196F">
        <w:rPr>
          <w:rFonts w:ascii="Arial Narrow" w:hAnsi="Arial Narrow" w:cs="Arial"/>
          <w:b/>
          <w:iCs/>
          <w:sz w:val="20"/>
          <w:szCs w:val="20"/>
        </w:rPr>
        <w:t>World Year</w:t>
      </w:r>
      <w:r w:rsidR="00C6110F" w:rsidRPr="00A7196F">
        <w:rPr>
          <w:rFonts w:ascii="Arial Narrow" w:hAnsi="Arial Narrow" w:cs="Arial"/>
          <w:b/>
          <w:iCs/>
          <w:sz w:val="20"/>
          <w:szCs w:val="20"/>
        </w:rPr>
        <w:t xml:space="preserve"> </w:t>
      </w:r>
      <w:r w:rsidRPr="00A7196F">
        <w:rPr>
          <w:rFonts w:ascii="Arial Narrow" w:hAnsi="Arial Narrow" w:cs="Arial"/>
          <w:b/>
          <w:iCs/>
          <w:sz w:val="20"/>
          <w:szCs w:val="20"/>
        </w:rPr>
        <w:t>book</w:t>
      </w:r>
      <w:r w:rsidRPr="00A7196F">
        <w:rPr>
          <w:rFonts w:ascii="Arial Narrow" w:hAnsi="Arial Narrow" w:cs="Arial"/>
          <w:iCs/>
          <w:sz w:val="20"/>
          <w:szCs w:val="20"/>
        </w:rPr>
        <w:t>: This is an annual (in some periods bi-annual) publication with coverage back</w:t>
      </w:r>
      <w:r w:rsidR="00C6110F" w:rsidRPr="00A7196F">
        <w:rPr>
          <w:rFonts w:ascii="Arial Narrow" w:hAnsi="Arial Narrow" w:cs="Arial"/>
          <w:iCs/>
          <w:sz w:val="20"/>
          <w:szCs w:val="20"/>
        </w:rPr>
        <w:t xml:space="preserve"> to 198</w:t>
      </w:r>
      <w:r w:rsidRPr="00A7196F">
        <w:rPr>
          <w:rFonts w:ascii="Arial Narrow" w:hAnsi="Arial Narrow" w:cs="Arial"/>
          <w:iCs/>
          <w:sz w:val="20"/>
          <w:szCs w:val="20"/>
        </w:rPr>
        <w:t>9</w:t>
      </w:r>
      <w:r w:rsidR="00C6110F" w:rsidRPr="00A7196F">
        <w:rPr>
          <w:rFonts w:ascii="Arial Narrow" w:hAnsi="Arial Narrow" w:cs="Arial"/>
          <w:iCs/>
          <w:sz w:val="20"/>
          <w:szCs w:val="20"/>
        </w:rPr>
        <w:t xml:space="preserve"> as the Europa World Year Book and back to 1959 as the Europa Year Book</w:t>
      </w:r>
      <w:r w:rsidRPr="00A7196F">
        <w:rPr>
          <w:rFonts w:ascii="Arial Narrow" w:hAnsi="Arial Narrow" w:cs="Arial"/>
          <w:iCs/>
          <w:sz w:val="20"/>
          <w:szCs w:val="20"/>
        </w:rPr>
        <w:t>.</w:t>
      </w:r>
      <w:r w:rsidR="00D26931">
        <w:rPr>
          <w:rFonts w:ascii="Arial Narrow" w:hAnsi="Arial Narrow" w:cs="Arial"/>
          <w:iCs/>
          <w:sz w:val="20"/>
          <w:szCs w:val="20"/>
        </w:rPr>
        <w:t xml:space="preserve"> </w:t>
      </w:r>
      <w:r w:rsidRPr="00A7196F">
        <w:rPr>
          <w:rFonts w:ascii="Arial Narrow" w:hAnsi="Arial Narrow" w:cs="Arial"/>
          <w:iCs/>
          <w:sz w:val="20"/>
          <w:szCs w:val="20"/>
        </w:rPr>
        <w:t>It contains descriptions of the current political institutions in each country (sometimes including mention of electoral commissions), but it is most useful in its section on recent history, which covers political history in detail, including dates of institutional and constitutional changes, election results, attempted coups, coups, wars, major protests, etc.</w:t>
      </w:r>
    </w:p>
    <w:p w:rsidR="001D04EB" w:rsidRPr="00A7196F" w:rsidRDefault="001D04EB"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1D04EB"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Political Handbook of the World: </w:t>
      </w:r>
      <w:r w:rsidR="00C6110F" w:rsidRPr="00A7196F">
        <w:rPr>
          <w:rFonts w:ascii="Arial Narrow" w:hAnsi="Arial Narrow" w:cs="TimesTen-Italic"/>
          <w:iCs/>
          <w:sz w:val="20"/>
          <w:szCs w:val="20"/>
        </w:rPr>
        <w:t>This is an annual publication with coverage back to 1975.</w:t>
      </w:r>
      <w:r w:rsidR="00D26931">
        <w:rPr>
          <w:rFonts w:ascii="Arial Narrow" w:hAnsi="Arial Narrow" w:cs="TimesTen-Italic"/>
          <w:iCs/>
          <w:sz w:val="20"/>
          <w:szCs w:val="20"/>
        </w:rPr>
        <w:t xml:space="preserve"> </w:t>
      </w:r>
      <w:r w:rsidR="00C6110F" w:rsidRPr="00A7196F">
        <w:rPr>
          <w:rFonts w:ascii="Arial Narrow" w:hAnsi="Arial Narrow" w:cs="TimesTen-Italic"/>
          <w:iCs/>
          <w:sz w:val="20"/>
          <w:szCs w:val="20"/>
        </w:rPr>
        <w:t>It contains similar, though slightly more abbreviated, information to that in the Europa World Year Book.</w:t>
      </w:r>
    </w:p>
    <w:p w:rsidR="001D04EB" w:rsidRPr="00A7196F" w:rsidRDefault="001D04EB"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C6110F"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Parline Database</w:t>
      </w:r>
      <w:r w:rsidRPr="00A7196F">
        <w:rPr>
          <w:rFonts w:ascii="Arial Narrow" w:hAnsi="Arial Narrow" w:cs="TimesTen-Italic"/>
          <w:iCs/>
          <w:sz w:val="20"/>
          <w:szCs w:val="20"/>
        </w:rPr>
        <w:t>:</w:t>
      </w:r>
      <w:r w:rsidR="00D26931">
        <w:rPr>
          <w:rFonts w:ascii="Arial Narrow" w:hAnsi="Arial Narrow" w:cs="TimesTen-Italic"/>
          <w:iCs/>
          <w:sz w:val="20"/>
          <w:szCs w:val="20"/>
        </w:rPr>
        <w:t xml:space="preserve"> </w:t>
      </w:r>
      <w:r w:rsidRPr="00A7196F">
        <w:rPr>
          <w:rFonts w:ascii="Arial Narrow" w:hAnsi="Arial Narrow" w:cs="TimesTen-Italic"/>
          <w:iCs/>
          <w:sz w:val="20"/>
          <w:szCs w:val="20"/>
        </w:rPr>
        <w:t>This is an online product of the Inter-parliamentary Union</w:t>
      </w:r>
      <w:r w:rsidR="00DA4C02" w:rsidRPr="00A7196F">
        <w:rPr>
          <w:rFonts w:ascii="Arial Narrow" w:hAnsi="Arial Narrow" w:cs="TimesTen-Italic"/>
          <w:iCs/>
          <w:sz w:val="20"/>
          <w:szCs w:val="20"/>
        </w:rPr>
        <w:t xml:space="preserve"> and it describes parliaments, as well as presidencies.</w:t>
      </w:r>
      <w:r w:rsidR="00D26931">
        <w:rPr>
          <w:rFonts w:ascii="Arial Narrow" w:hAnsi="Arial Narrow" w:cs="TimesTen-Italic"/>
          <w:iCs/>
          <w:sz w:val="20"/>
          <w:szCs w:val="20"/>
        </w:rPr>
        <w:t xml:space="preserve"> </w:t>
      </w:r>
      <w:r w:rsidR="00DA4C02" w:rsidRPr="00A7196F">
        <w:rPr>
          <w:rFonts w:ascii="Arial Narrow" w:hAnsi="Arial Narrow" w:cs="TimesTen-Italic"/>
          <w:iCs/>
          <w:sz w:val="20"/>
          <w:szCs w:val="20"/>
        </w:rPr>
        <w:t>It outlines electoral rules, procedural rules, eligibility requirements and responsibilities of members, and other information.</w:t>
      </w:r>
    </w:p>
    <w:p w:rsidR="00D560C0" w:rsidRPr="00A7196F" w:rsidRDefault="00D560C0"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D560C0"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Library of Congress</w:t>
      </w:r>
      <w:r w:rsidRPr="00A7196F">
        <w:rPr>
          <w:rFonts w:ascii="Arial Narrow" w:hAnsi="Arial Narrow" w:cs="TimesTen-Italic"/>
          <w:iCs/>
          <w:sz w:val="20"/>
          <w:szCs w:val="20"/>
        </w:rPr>
        <w:t xml:space="preserve"> </w:t>
      </w:r>
      <w:r w:rsidRPr="00A7196F">
        <w:rPr>
          <w:rFonts w:ascii="Arial Narrow" w:hAnsi="Arial Narrow" w:cs="TimesTen-Italic"/>
          <w:b/>
          <w:iCs/>
          <w:sz w:val="20"/>
          <w:szCs w:val="20"/>
        </w:rPr>
        <w:t>Country Studies</w:t>
      </w:r>
      <w:r w:rsidRPr="00A7196F">
        <w:rPr>
          <w:rFonts w:ascii="Arial Narrow" w:hAnsi="Arial Narrow" w:cs="TimesTen-Italic"/>
          <w:iCs/>
          <w:sz w:val="20"/>
          <w:szCs w:val="20"/>
        </w:rPr>
        <w:t>:</w:t>
      </w:r>
      <w:r w:rsidR="001C0EB3" w:rsidRPr="00A7196F">
        <w:rPr>
          <w:rFonts w:ascii="Arial Narrow" w:hAnsi="Arial Narrow" w:cs="TimesTen-Italic"/>
          <w:iCs/>
          <w:sz w:val="20"/>
          <w:szCs w:val="20"/>
        </w:rPr>
        <w:t xml:space="preserve"> These were produced between 1988 and 1998 and are focused on “lesser-known regions of the world.”</w:t>
      </w:r>
      <w:r w:rsidR="00D26931">
        <w:rPr>
          <w:rFonts w:ascii="Arial Narrow" w:hAnsi="Arial Narrow" w:cs="TimesTen-Italic"/>
          <w:iCs/>
          <w:sz w:val="20"/>
          <w:szCs w:val="20"/>
        </w:rPr>
        <w:t xml:space="preserve"> </w:t>
      </w:r>
      <w:r w:rsidR="001C0EB3" w:rsidRPr="00A7196F">
        <w:rPr>
          <w:rFonts w:ascii="Arial Narrow" w:hAnsi="Arial Narrow" w:cs="TimesTen-Italic"/>
          <w:iCs/>
          <w:sz w:val="20"/>
          <w:szCs w:val="20"/>
        </w:rPr>
        <w:t>They contain, among other things, more thorough descriptions of the judicial system than most other sources, but they provide information from a single point in time, rather than over time.</w:t>
      </w:r>
      <w:r w:rsidR="00D26931">
        <w:rPr>
          <w:rFonts w:ascii="Arial Narrow" w:hAnsi="Arial Narrow" w:cs="TimesTen-Italic"/>
          <w:iCs/>
          <w:sz w:val="20"/>
          <w:szCs w:val="20"/>
        </w:rPr>
        <w:t xml:space="preserve"> </w:t>
      </w:r>
      <w:r w:rsidR="001C0EB3" w:rsidRPr="00A7196F">
        <w:rPr>
          <w:rFonts w:ascii="Arial Narrow" w:hAnsi="Arial Narrow" w:cs="TimesTen-Italic"/>
          <w:iCs/>
          <w:sz w:val="20"/>
          <w:szCs w:val="20"/>
        </w:rPr>
        <w:t>Somet</w:t>
      </w:r>
      <w:r w:rsidR="00913D66">
        <w:rPr>
          <w:rFonts w:ascii="Arial Narrow" w:hAnsi="Arial Narrow" w:cs="TimesTen-Italic"/>
          <w:iCs/>
          <w:sz w:val="20"/>
          <w:szCs w:val="20"/>
        </w:rPr>
        <w:t xml:space="preserve">imes, however, the studies </w:t>
      </w:r>
      <w:r w:rsidR="001C0EB3" w:rsidRPr="00A7196F">
        <w:rPr>
          <w:rFonts w:ascii="Arial Narrow" w:hAnsi="Arial Narrow" w:cs="TimesTen-Italic"/>
          <w:iCs/>
          <w:sz w:val="20"/>
          <w:szCs w:val="20"/>
        </w:rPr>
        <w:t>discuss historical changes in institutions as well as current institutions.</w:t>
      </w:r>
    </w:p>
    <w:p w:rsidR="00D560C0" w:rsidRPr="00A7196F" w:rsidRDefault="00D560C0" w:rsidP="00793550">
      <w:pPr>
        <w:autoSpaceDE w:val="0"/>
        <w:autoSpaceDN w:val="0"/>
        <w:adjustRightInd w:val="0"/>
        <w:spacing w:after="0" w:line="240" w:lineRule="auto"/>
        <w:contextualSpacing/>
        <w:rPr>
          <w:rFonts w:ascii="Arial Narrow" w:hAnsi="Arial Narrow" w:cs="TimesTen-Italic"/>
          <w:iCs/>
          <w:sz w:val="20"/>
          <w:szCs w:val="20"/>
        </w:rPr>
      </w:pPr>
    </w:p>
    <w:p w:rsidR="00CA73CD" w:rsidRPr="00A7196F" w:rsidRDefault="00BC03D5"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Global Legal Information Network (Library of Congress): </w:t>
      </w:r>
      <w:r w:rsidRPr="00A7196F">
        <w:rPr>
          <w:rFonts w:ascii="Arial Narrow" w:hAnsi="Arial Narrow" w:cs="TimesTen-Italic"/>
          <w:iCs/>
          <w:sz w:val="20"/>
          <w:szCs w:val="20"/>
        </w:rPr>
        <w:t>This is a repository of constitutional texts and other laws (including many pertaining to federalism).</w:t>
      </w:r>
      <w:r w:rsidR="00D26931">
        <w:rPr>
          <w:rFonts w:ascii="Arial Narrow" w:hAnsi="Arial Narrow" w:cs="TimesTen-Italic"/>
          <w:iCs/>
          <w:sz w:val="20"/>
          <w:szCs w:val="20"/>
        </w:rPr>
        <w:t xml:space="preserve"> </w:t>
      </w:r>
      <w:r w:rsidRPr="00A7196F">
        <w:rPr>
          <w:rFonts w:ascii="Arial Narrow" w:hAnsi="Arial Narrow" w:cs="TimesTen-Italic"/>
          <w:iCs/>
          <w:sz w:val="20"/>
          <w:szCs w:val="20"/>
        </w:rPr>
        <w:t>It primarily covers Africa and Latin America but includes laws from some countries outside those regions.</w:t>
      </w:r>
      <w:r w:rsidR="00D26931">
        <w:rPr>
          <w:rFonts w:ascii="Arial Narrow" w:hAnsi="Arial Narrow" w:cs="TimesTen-Italic"/>
          <w:iCs/>
          <w:sz w:val="20"/>
          <w:szCs w:val="20"/>
        </w:rPr>
        <w:t xml:space="preserve"> </w:t>
      </w:r>
      <w:r w:rsidRPr="00A7196F">
        <w:rPr>
          <w:rFonts w:ascii="Arial Narrow" w:hAnsi="Arial Narrow" w:cs="TimesTen-Italic"/>
          <w:iCs/>
          <w:sz w:val="20"/>
          <w:szCs w:val="20"/>
        </w:rPr>
        <w:t>http://www.glin.gov/search.action</w:t>
      </w:r>
    </w:p>
    <w:p w:rsidR="00CA73CD" w:rsidRPr="00A7196F" w:rsidRDefault="00CA73CD" w:rsidP="00793550">
      <w:pPr>
        <w:autoSpaceDE w:val="0"/>
        <w:autoSpaceDN w:val="0"/>
        <w:adjustRightInd w:val="0"/>
        <w:spacing w:after="0" w:line="240" w:lineRule="auto"/>
        <w:contextualSpacing/>
        <w:rPr>
          <w:rFonts w:ascii="Arial Narrow" w:hAnsi="Arial Narrow" w:cs="TimesTen-Italic"/>
          <w:b/>
          <w:iCs/>
          <w:sz w:val="20"/>
          <w:szCs w:val="20"/>
          <w:highlight w:val="yellow"/>
        </w:rPr>
      </w:pPr>
    </w:p>
    <w:p w:rsidR="002E758F" w:rsidRPr="00A7196F" w:rsidRDefault="00CA73CD"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S</w:t>
      </w:r>
      <w:r w:rsidR="002E758F" w:rsidRPr="00A7196F">
        <w:rPr>
          <w:rFonts w:ascii="Arial Narrow" w:hAnsi="Arial Narrow" w:cs="TimesTen-Italic"/>
          <w:b/>
          <w:iCs/>
          <w:sz w:val="20"/>
          <w:szCs w:val="20"/>
        </w:rPr>
        <w:t xml:space="preserve">tate Department 2007 Report on International Religious Freedom: </w:t>
      </w:r>
      <w:r w:rsidR="002E758F" w:rsidRPr="00A7196F">
        <w:rPr>
          <w:rFonts w:ascii="Arial Narrow" w:hAnsi="Arial Narrow" w:cs="TimesTen-Italic"/>
          <w:iCs/>
          <w:sz w:val="20"/>
          <w:szCs w:val="20"/>
        </w:rPr>
        <w:t>Th</w:t>
      </w:r>
      <w:r w:rsidR="0016541C" w:rsidRPr="00A7196F">
        <w:rPr>
          <w:rFonts w:ascii="Arial Narrow" w:hAnsi="Arial Narrow" w:cs="TimesTen-Italic"/>
          <w:iCs/>
          <w:sz w:val="20"/>
          <w:szCs w:val="20"/>
        </w:rPr>
        <w:t>is report contains information on a broad cross-section of countries, discussing both the laws regulating religion and the de facto availability of religious freedom.</w:t>
      </w:r>
      <w:r w:rsidR="00D26931">
        <w:rPr>
          <w:rFonts w:ascii="Arial Narrow" w:hAnsi="Arial Narrow" w:cs="TimesTen-Italic"/>
          <w:iCs/>
          <w:sz w:val="20"/>
          <w:szCs w:val="20"/>
        </w:rPr>
        <w:t xml:space="preserve"> </w:t>
      </w:r>
      <w:r w:rsidR="002E758F" w:rsidRPr="00A7196F">
        <w:rPr>
          <w:rFonts w:ascii="Arial Narrow" w:hAnsi="Arial Narrow" w:cs="TimesTen-Italic"/>
          <w:b/>
          <w:iCs/>
          <w:sz w:val="20"/>
          <w:szCs w:val="20"/>
        </w:rPr>
        <w:t>http://www.state.gov/g/drl/rls/irf/2007/index.htm</w:t>
      </w:r>
    </w:p>
    <w:p w:rsidR="00CA73CD" w:rsidRPr="00A7196F" w:rsidRDefault="00CA73CD" w:rsidP="00793550">
      <w:pPr>
        <w:autoSpaceDE w:val="0"/>
        <w:autoSpaceDN w:val="0"/>
        <w:adjustRightInd w:val="0"/>
        <w:spacing w:after="0" w:line="240" w:lineRule="auto"/>
        <w:contextualSpacing/>
        <w:rPr>
          <w:rFonts w:ascii="Arial Narrow" w:hAnsi="Arial Narrow" w:cs="TimesTen-Italic"/>
          <w:b/>
          <w:iCs/>
          <w:sz w:val="20"/>
          <w:szCs w:val="20"/>
        </w:rPr>
      </w:pPr>
    </w:p>
    <w:p w:rsidR="00D560C0" w:rsidRPr="00A7196F" w:rsidRDefault="00D560C0"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Nationmaster</w:t>
      </w:r>
      <w:r w:rsidRPr="00A7196F">
        <w:rPr>
          <w:rFonts w:ascii="Arial Narrow" w:hAnsi="Arial Narrow" w:cs="TimesTen-Italic"/>
          <w:iCs/>
          <w:sz w:val="20"/>
          <w:szCs w:val="20"/>
        </w:rPr>
        <w:t xml:space="preserve">: Nationmaster </w:t>
      </w:r>
      <w:r w:rsidR="001C0EB3" w:rsidRPr="00A7196F">
        <w:rPr>
          <w:rFonts w:ascii="Arial Narrow" w:hAnsi="Arial Narrow" w:cs="TimesTen-Italic"/>
          <w:iCs/>
          <w:sz w:val="20"/>
          <w:szCs w:val="20"/>
        </w:rPr>
        <w:t xml:space="preserve">generally duplicates information available elsewhere, but also </w:t>
      </w:r>
      <w:r w:rsidRPr="00A7196F">
        <w:rPr>
          <w:rFonts w:ascii="Arial Narrow" w:hAnsi="Arial Narrow" w:cs="TimesTen-Italic"/>
          <w:iCs/>
          <w:sz w:val="20"/>
          <w:szCs w:val="20"/>
        </w:rPr>
        <w:t>keeps an online historical list of all acts establishing and disestablishing s</w:t>
      </w:r>
      <w:r w:rsidR="00A80B60" w:rsidRPr="00A7196F">
        <w:rPr>
          <w:rFonts w:ascii="Arial Narrow" w:hAnsi="Arial Narrow" w:cs="TimesTen-Italic"/>
          <w:iCs/>
          <w:sz w:val="20"/>
          <w:szCs w:val="20"/>
        </w:rPr>
        <w:t>tate religions that is somewhat useful in coding RelEstablish (it is unfortunately not as accurate a list as might be hoped).</w:t>
      </w:r>
    </w:p>
    <w:p w:rsidR="00D560C0" w:rsidRPr="00A7196F" w:rsidRDefault="00D560C0"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7F2F20"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Citymayors.com: </w:t>
      </w:r>
      <w:r w:rsidRPr="00A7196F">
        <w:rPr>
          <w:rFonts w:ascii="Arial Narrow" w:hAnsi="Arial Narrow" w:cs="TimesTen-Italic"/>
          <w:iCs/>
          <w:sz w:val="20"/>
          <w:szCs w:val="20"/>
        </w:rPr>
        <w:t>This site provides a description of local governance in a wide range of countries.</w:t>
      </w:r>
      <w:r w:rsidR="00D26931">
        <w:rPr>
          <w:rFonts w:ascii="Arial Narrow" w:hAnsi="Arial Narrow" w:cs="TimesTen-Italic"/>
          <w:iCs/>
          <w:sz w:val="20"/>
          <w:szCs w:val="20"/>
        </w:rPr>
        <w:t xml:space="preserve"> </w:t>
      </w:r>
      <w:r w:rsidRPr="00A7196F">
        <w:rPr>
          <w:rFonts w:ascii="Arial Narrow" w:hAnsi="Arial Narrow" w:cs="TimesTen-Italic"/>
          <w:iCs/>
          <w:sz w:val="20"/>
          <w:szCs w:val="20"/>
        </w:rPr>
        <w:t>Among other information, it generally indicates if and how local executives are elected.</w:t>
      </w:r>
    </w:p>
    <w:p w:rsidR="007F2F20" w:rsidRPr="00A7196F" w:rsidRDefault="007F2F20" w:rsidP="00793550">
      <w:pPr>
        <w:autoSpaceDE w:val="0"/>
        <w:autoSpaceDN w:val="0"/>
        <w:adjustRightInd w:val="0"/>
        <w:spacing w:after="0" w:line="240" w:lineRule="auto"/>
        <w:contextualSpacing/>
        <w:rPr>
          <w:rFonts w:ascii="Arial Narrow" w:hAnsi="Arial Narrow" w:cs="TimesTen-Italic"/>
          <w:iCs/>
          <w:sz w:val="20"/>
          <w:szCs w:val="20"/>
        </w:rPr>
      </w:pPr>
    </w:p>
    <w:p w:rsidR="008309BB" w:rsidRPr="00A7196F" w:rsidRDefault="008309BB"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Constitutions: </w:t>
      </w:r>
      <w:r w:rsidRPr="00A7196F">
        <w:rPr>
          <w:rFonts w:ascii="Arial Narrow" w:hAnsi="Arial Narrow" w:cs="TimesTen-Italic"/>
          <w:iCs/>
          <w:sz w:val="20"/>
          <w:szCs w:val="20"/>
        </w:rPr>
        <w:t>Constitutional texts are the source of much of the information that is coded for each country.</w:t>
      </w:r>
      <w:r w:rsidR="00D26931">
        <w:rPr>
          <w:rFonts w:ascii="Arial Narrow" w:hAnsi="Arial Narrow" w:cs="TimesTen-Italic"/>
          <w:iCs/>
          <w:sz w:val="20"/>
          <w:szCs w:val="20"/>
        </w:rPr>
        <w:t xml:space="preserve"> </w:t>
      </w:r>
      <w:r w:rsidR="00832B0F" w:rsidRPr="00A7196F">
        <w:rPr>
          <w:rFonts w:ascii="Arial Narrow" w:hAnsi="Arial Narrow" w:cs="TimesTen-Italic"/>
          <w:iCs/>
          <w:sz w:val="20"/>
          <w:szCs w:val="20"/>
        </w:rPr>
        <w:t xml:space="preserve">The constitutions are </w:t>
      </w:r>
      <w:r w:rsidRPr="00A7196F">
        <w:rPr>
          <w:rFonts w:ascii="Arial Narrow" w:hAnsi="Arial Narrow" w:cs="TimesTen-Italic"/>
          <w:iCs/>
          <w:sz w:val="20"/>
          <w:szCs w:val="20"/>
        </w:rPr>
        <w:t>acquired online from the following sites:</w:t>
      </w:r>
    </w:p>
    <w:p w:rsidR="008309BB" w:rsidRPr="00A7196F" w:rsidRDefault="008309BB" w:rsidP="00793550">
      <w:pPr>
        <w:numPr>
          <w:ilvl w:val="0"/>
          <w:numId w:val="18"/>
        </w:num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 xml:space="preserve">Official Government websites: Often the central government web site </w:t>
      </w:r>
      <w:r w:rsidR="00913D66">
        <w:rPr>
          <w:rFonts w:ascii="Arial Narrow" w:hAnsi="Arial Narrow" w:cs="TimesTen-Italic"/>
          <w:iCs/>
          <w:sz w:val="20"/>
          <w:szCs w:val="20"/>
        </w:rPr>
        <w:t>of the country in question provi</w:t>
      </w:r>
      <w:r w:rsidRPr="00A7196F">
        <w:rPr>
          <w:rFonts w:ascii="Arial Narrow" w:hAnsi="Arial Narrow" w:cs="TimesTen-Italic"/>
          <w:iCs/>
          <w:sz w:val="20"/>
          <w:szCs w:val="20"/>
        </w:rPr>
        <w:t>de texts for the current constitution (and sometimes previous constitutions) in English.</w:t>
      </w:r>
      <w:r w:rsidR="00D26931">
        <w:rPr>
          <w:rFonts w:ascii="Arial Narrow" w:hAnsi="Arial Narrow" w:cs="TimesTen-Italic"/>
          <w:iCs/>
          <w:sz w:val="20"/>
          <w:szCs w:val="20"/>
        </w:rPr>
        <w:t xml:space="preserve"> </w:t>
      </w:r>
      <w:r w:rsidRPr="00A7196F">
        <w:rPr>
          <w:rFonts w:ascii="Arial Narrow" w:hAnsi="Arial Narrow" w:cs="TimesTen-Italic"/>
          <w:iCs/>
          <w:sz w:val="20"/>
          <w:szCs w:val="20"/>
        </w:rPr>
        <w:t>This is considered the first-best option for acquiring texts.</w:t>
      </w:r>
    </w:p>
    <w:p w:rsidR="00D26931" w:rsidRDefault="008309BB" w:rsidP="00793550">
      <w:pPr>
        <w:numPr>
          <w:ilvl w:val="0"/>
          <w:numId w:val="18"/>
        </w:num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The University of Richmond has a constitution-finder that provides links to online constitutions from a variety of third-party sites – often this site links to official government websites, but not always.</w:t>
      </w:r>
    </w:p>
    <w:p w:rsidR="00D26931" w:rsidRDefault="008309BB" w:rsidP="00793550">
      <w:pPr>
        <w:numPr>
          <w:ilvl w:val="0"/>
          <w:numId w:val="18"/>
        </w:num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 xml:space="preserve"> International Constitutional Law: This website is operated by A. </w:t>
      </w:r>
      <w:r w:rsidRPr="00A7196F">
        <w:rPr>
          <w:rFonts w:ascii="Arial Narrow" w:hAnsi="Arial Narrow" w:cs="Arial"/>
          <w:sz w:val="20"/>
          <w:szCs w:val="20"/>
        </w:rPr>
        <w:t>Tschentscher at the University of Bern.</w:t>
      </w:r>
      <w:r w:rsidR="00D26931">
        <w:rPr>
          <w:rFonts w:ascii="Arial Narrow" w:hAnsi="Arial Narrow" w:cs="Arial"/>
          <w:sz w:val="20"/>
          <w:szCs w:val="20"/>
        </w:rPr>
        <w:t xml:space="preserve"> </w:t>
      </w:r>
      <w:r w:rsidRPr="00A7196F">
        <w:rPr>
          <w:rFonts w:ascii="Arial Narrow" w:hAnsi="Arial Narrow" w:cs="Arial"/>
          <w:sz w:val="20"/>
          <w:szCs w:val="20"/>
        </w:rPr>
        <w:t xml:space="preserve">It </w:t>
      </w:r>
      <w:r w:rsidRPr="00A7196F">
        <w:rPr>
          <w:rFonts w:ascii="Arial Narrow" w:hAnsi="Arial Narrow" w:cs="TimesTen-Italic"/>
          <w:iCs/>
          <w:sz w:val="20"/>
          <w:szCs w:val="20"/>
        </w:rPr>
        <w:t>provides English translations of co</w:t>
      </w:r>
      <w:r w:rsidR="00832B0F" w:rsidRPr="00A7196F">
        <w:rPr>
          <w:rFonts w:ascii="Arial Narrow" w:hAnsi="Arial Narrow" w:cs="TimesTen-Italic"/>
          <w:iCs/>
          <w:sz w:val="20"/>
          <w:szCs w:val="20"/>
        </w:rPr>
        <w:t>nstitutions in a standard format.</w:t>
      </w:r>
    </w:p>
    <w:p w:rsidR="00D26931" w:rsidRDefault="00D641B0" w:rsidP="00793550">
      <w:pPr>
        <w:numPr>
          <w:ilvl w:val="0"/>
          <w:numId w:val="18"/>
        </w:num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Legislationonline.org which is run by the OSCE.</w:t>
      </w:r>
    </w:p>
    <w:p w:rsidR="00061325" w:rsidRPr="00A7196F" w:rsidRDefault="00061325" w:rsidP="00793550">
      <w:pPr>
        <w:numPr>
          <w:ilvl w:val="0"/>
          <w:numId w:val="18"/>
        </w:num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ICL constitutional translations</w:t>
      </w:r>
    </w:p>
    <w:p w:rsidR="00061325" w:rsidRPr="00A7196F" w:rsidRDefault="00061325" w:rsidP="00793550">
      <w:pPr>
        <w:numPr>
          <w:ilvl w:val="0"/>
          <w:numId w:val="18"/>
        </w:num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Political Database of the Americas</w:t>
      </w:r>
    </w:p>
    <w:p w:rsidR="00971465" w:rsidRPr="00A7196F" w:rsidRDefault="00971465"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iCs/>
          <w:sz w:val="20"/>
          <w:szCs w:val="20"/>
        </w:rPr>
        <w:t xml:space="preserve">Print constitutions from 1971 are collected in: </w:t>
      </w:r>
      <w:r w:rsidRPr="00A7196F">
        <w:rPr>
          <w:rFonts w:ascii="Arial Narrow" w:hAnsi="Arial Narrow" w:cs="TimesTen-Italic"/>
          <w:i/>
          <w:iCs/>
          <w:sz w:val="20"/>
          <w:szCs w:val="20"/>
        </w:rPr>
        <w:t>Constitutions of the Countries of the World</w:t>
      </w:r>
    </w:p>
    <w:p w:rsidR="00971465" w:rsidRPr="00A7196F" w:rsidRDefault="00971465"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971465"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Encyclopedia of World Constitutions </w:t>
      </w:r>
      <w:r w:rsidR="00C344BE" w:rsidRPr="00A7196F">
        <w:rPr>
          <w:rFonts w:ascii="Arial Narrow" w:hAnsi="Arial Narrow" w:cs="TimesTen-Italic"/>
          <w:iCs/>
          <w:sz w:val="20"/>
          <w:szCs w:val="20"/>
        </w:rPr>
        <w:t>(Gerhard Robber</w:t>
      </w:r>
      <w:r w:rsidRPr="00A7196F">
        <w:rPr>
          <w:rFonts w:ascii="Arial Narrow" w:hAnsi="Arial Narrow" w:cs="TimesTen-Italic"/>
          <w:iCs/>
          <w:sz w:val="20"/>
          <w:szCs w:val="20"/>
        </w:rPr>
        <w:t xml:space="preserve">s) and </w:t>
      </w:r>
      <w:r w:rsidRPr="00A7196F">
        <w:rPr>
          <w:rFonts w:ascii="Arial Narrow" w:hAnsi="Arial Narrow" w:cs="TimesTen-Italic"/>
          <w:b/>
          <w:iCs/>
          <w:sz w:val="20"/>
          <w:szCs w:val="20"/>
        </w:rPr>
        <w:t xml:space="preserve">Constitutions of the World </w:t>
      </w:r>
      <w:r w:rsidRPr="00A7196F">
        <w:rPr>
          <w:rFonts w:ascii="Arial Narrow" w:hAnsi="Arial Narrow" w:cs="TimesTen-Italic"/>
          <w:iCs/>
          <w:sz w:val="20"/>
          <w:szCs w:val="20"/>
        </w:rPr>
        <w:t>(Robert Maddex): These sources are useful for identifying the nature of constitutional amendments.</w:t>
      </w:r>
    </w:p>
    <w:p w:rsidR="006D0B01" w:rsidRPr="00A7196F" w:rsidRDefault="006D0B01"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6D0B01"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Government Web Sites:</w:t>
      </w:r>
      <w:r w:rsidR="00D26931">
        <w:rPr>
          <w:rFonts w:ascii="Arial Narrow" w:hAnsi="Arial Narrow" w:cs="TimesTen-Italic"/>
          <w:b/>
          <w:iCs/>
          <w:sz w:val="20"/>
          <w:szCs w:val="20"/>
        </w:rPr>
        <w:t xml:space="preserve"> </w:t>
      </w:r>
      <w:r w:rsidRPr="00A7196F">
        <w:rPr>
          <w:rFonts w:ascii="Arial Narrow" w:hAnsi="Arial Narrow" w:cs="TimesTen-Italic"/>
          <w:iCs/>
          <w:sz w:val="20"/>
          <w:szCs w:val="20"/>
        </w:rPr>
        <w:t xml:space="preserve">Sometimes official government websites contain information that </w:t>
      </w:r>
      <w:r w:rsidR="00913D66">
        <w:rPr>
          <w:rFonts w:ascii="Arial Narrow" w:hAnsi="Arial Narrow" w:cs="TimesTen-Italic"/>
          <w:iCs/>
          <w:sz w:val="20"/>
          <w:szCs w:val="20"/>
        </w:rPr>
        <w:t>is</w:t>
      </w:r>
      <w:r w:rsidRPr="00A7196F">
        <w:rPr>
          <w:rFonts w:ascii="Arial Narrow" w:hAnsi="Arial Narrow" w:cs="TimesTen-Italic"/>
          <w:iCs/>
          <w:sz w:val="20"/>
          <w:szCs w:val="20"/>
        </w:rPr>
        <w:t xml:space="preserve"> difficult to source elsewhere.</w:t>
      </w:r>
      <w:r w:rsidR="00D26931">
        <w:rPr>
          <w:rFonts w:ascii="Arial Narrow" w:hAnsi="Arial Narrow" w:cs="TimesTen-Italic"/>
          <w:iCs/>
          <w:sz w:val="20"/>
          <w:szCs w:val="20"/>
        </w:rPr>
        <w:t xml:space="preserve"> </w:t>
      </w:r>
      <w:r w:rsidRPr="00A7196F">
        <w:rPr>
          <w:rFonts w:ascii="Arial Narrow" w:hAnsi="Arial Narrow" w:cs="TimesTen-Italic"/>
          <w:iCs/>
          <w:sz w:val="20"/>
          <w:szCs w:val="20"/>
        </w:rPr>
        <w:t>They are considered reliable sources of mandated institutions, but not of institutional implementation.</w:t>
      </w:r>
    </w:p>
    <w:p w:rsidR="00D560C0" w:rsidRPr="00A7196F" w:rsidRDefault="00D560C0" w:rsidP="00793550">
      <w:pPr>
        <w:autoSpaceDE w:val="0"/>
        <w:autoSpaceDN w:val="0"/>
        <w:adjustRightInd w:val="0"/>
        <w:spacing w:after="0" w:line="240" w:lineRule="auto"/>
        <w:contextualSpacing/>
        <w:rPr>
          <w:rFonts w:ascii="Arial Narrow" w:hAnsi="Arial Narrow" w:cs="TimesTen-Italic"/>
          <w:b/>
          <w:iCs/>
          <w:sz w:val="20"/>
          <w:szCs w:val="20"/>
        </w:rPr>
      </w:pPr>
    </w:p>
    <w:p w:rsidR="00D26931" w:rsidRDefault="000E3284" w:rsidP="00793550">
      <w:pPr>
        <w:autoSpaceDE w:val="0"/>
        <w:autoSpaceDN w:val="0"/>
        <w:adjustRightInd w:val="0"/>
        <w:spacing w:after="0" w:line="240" w:lineRule="auto"/>
        <w:contextualSpacing/>
        <w:rPr>
          <w:rFonts w:ascii="Arial Narrow" w:hAnsi="Arial Narrow" w:cs="TimesTen-Italic"/>
          <w:iCs/>
          <w:sz w:val="20"/>
          <w:szCs w:val="20"/>
        </w:rPr>
      </w:pPr>
      <w:r>
        <w:rPr>
          <w:rFonts w:ascii="Arial Narrow" w:hAnsi="Arial Narrow" w:cs="TimesTen-Italic"/>
          <w:b/>
          <w:iCs/>
          <w:sz w:val="20"/>
          <w:szCs w:val="20"/>
        </w:rPr>
        <w:t xml:space="preserve">Freedom House’s </w:t>
      </w:r>
      <w:r>
        <w:rPr>
          <w:rFonts w:ascii="Arial Narrow" w:hAnsi="Arial Narrow" w:cs="TimesTen-Italic"/>
          <w:b/>
          <w:i/>
          <w:iCs/>
          <w:sz w:val="20"/>
          <w:szCs w:val="20"/>
        </w:rPr>
        <w:t xml:space="preserve">Freedom in the World </w:t>
      </w:r>
      <w:r>
        <w:rPr>
          <w:rFonts w:ascii="Arial Narrow" w:hAnsi="Arial Narrow" w:cs="TimesTen-Italic"/>
          <w:b/>
          <w:iCs/>
          <w:sz w:val="20"/>
          <w:szCs w:val="20"/>
        </w:rPr>
        <w:t>country studies</w:t>
      </w:r>
      <w:r w:rsidR="00A220FE" w:rsidRPr="00A7196F">
        <w:rPr>
          <w:rFonts w:ascii="Arial Narrow" w:hAnsi="Arial Narrow" w:cs="TimesTen-Italic"/>
          <w:b/>
          <w:iCs/>
          <w:sz w:val="20"/>
          <w:szCs w:val="20"/>
        </w:rPr>
        <w:t xml:space="preserve">: </w:t>
      </w:r>
      <w:r w:rsidR="00A220FE" w:rsidRPr="00A7196F">
        <w:rPr>
          <w:rFonts w:ascii="Arial Narrow" w:hAnsi="Arial Narrow" w:cs="TimesTen-Italic"/>
          <w:iCs/>
          <w:sz w:val="20"/>
          <w:szCs w:val="20"/>
        </w:rPr>
        <w:t xml:space="preserve">Mostly these </w:t>
      </w:r>
      <w:r w:rsidR="00913D66">
        <w:rPr>
          <w:rFonts w:ascii="Arial Narrow" w:hAnsi="Arial Narrow" w:cs="TimesTen-Italic"/>
          <w:iCs/>
          <w:sz w:val="20"/>
          <w:szCs w:val="20"/>
        </w:rPr>
        <w:t>are</w:t>
      </w:r>
      <w:r w:rsidR="00A220FE" w:rsidRPr="00A7196F">
        <w:rPr>
          <w:rFonts w:ascii="Arial Narrow" w:hAnsi="Arial Narrow" w:cs="TimesTen-Italic"/>
          <w:iCs/>
          <w:sz w:val="20"/>
          <w:szCs w:val="20"/>
        </w:rPr>
        <w:t xml:space="preserve"> used to code RelRestrict.</w:t>
      </w:r>
      <w:r w:rsidR="00D26931">
        <w:rPr>
          <w:rFonts w:ascii="Arial Narrow" w:hAnsi="Arial Narrow" w:cs="TimesTen-Italic"/>
          <w:iCs/>
          <w:sz w:val="20"/>
          <w:szCs w:val="20"/>
        </w:rPr>
        <w:t xml:space="preserve"> </w:t>
      </w:r>
      <w:r w:rsidR="00A220FE" w:rsidRPr="00A7196F">
        <w:rPr>
          <w:rFonts w:ascii="Arial Narrow" w:hAnsi="Arial Narrow" w:cs="TimesTen-Italic"/>
          <w:iCs/>
          <w:sz w:val="20"/>
          <w:szCs w:val="20"/>
        </w:rPr>
        <w:t>They are available for multiple years.</w:t>
      </w:r>
    </w:p>
    <w:p w:rsidR="00A220FE" w:rsidRPr="00A7196F" w:rsidRDefault="00A220FE"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A220FE"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World Encyclopedia of Police and Penal Systems: </w:t>
      </w:r>
      <w:r w:rsidRPr="00A7196F">
        <w:rPr>
          <w:rFonts w:ascii="Arial Narrow" w:hAnsi="Arial Narrow" w:cs="TimesTen-Italic"/>
          <w:iCs/>
          <w:sz w:val="20"/>
          <w:szCs w:val="20"/>
        </w:rPr>
        <w:t xml:space="preserve">This </w:t>
      </w:r>
      <w:r w:rsidR="00913D66">
        <w:rPr>
          <w:rFonts w:ascii="Arial Narrow" w:hAnsi="Arial Narrow" w:cs="TimesTen-Italic"/>
          <w:iCs/>
          <w:sz w:val="20"/>
          <w:szCs w:val="20"/>
        </w:rPr>
        <w:t>is</w:t>
      </w:r>
      <w:r w:rsidRPr="00A7196F">
        <w:rPr>
          <w:rFonts w:ascii="Arial Narrow" w:hAnsi="Arial Narrow" w:cs="TimesTen-Italic"/>
          <w:iCs/>
          <w:sz w:val="20"/>
          <w:szCs w:val="20"/>
        </w:rPr>
        <w:t xml:space="preserve"> used to code SubPolice only.</w:t>
      </w:r>
    </w:p>
    <w:p w:rsidR="00A220FE" w:rsidRPr="00A7196F" w:rsidRDefault="00A220FE" w:rsidP="00793550">
      <w:pPr>
        <w:autoSpaceDE w:val="0"/>
        <w:autoSpaceDN w:val="0"/>
        <w:adjustRightInd w:val="0"/>
        <w:spacing w:after="0" w:line="240" w:lineRule="auto"/>
        <w:contextualSpacing/>
        <w:rPr>
          <w:rFonts w:ascii="Arial Narrow" w:hAnsi="Arial Narrow" w:cs="TimesTen-Italic"/>
          <w:b/>
          <w:iCs/>
          <w:sz w:val="20"/>
          <w:szCs w:val="20"/>
        </w:rPr>
      </w:pPr>
    </w:p>
    <w:p w:rsidR="00D641B0" w:rsidRPr="00913D66" w:rsidRDefault="00A220FE" w:rsidP="00793550">
      <w:pPr>
        <w:autoSpaceDE w:val="0"/>
        <w:autoSpaceDN w:val="0"/>
        <w:adjustRightInd w:val="0"/>
        <w:spacing w:after="0" w:line="240" w:lineRule="auto"/>
        <w:contextualSpacing/>
        <w:rPr>
          <w:rFonts w:ascii="Arial Narrow" w:hAnsi="Arial Narrow" w:cs="TimesTen-Italic"/>
          <w:b/>
          <w:iCs/>
          <w:sz w:val="28"/>
          <w:szCs w:val="28"/>
        </w:rPr>
      </w:pPr>
      <w:r w:rsidRPr="00A7196F">
        <w:rPr>
          <w:rFonts w:ascii="Arial Narrow" w:hAnsi="Arial Narrow" w:cs="TimesTen-Italic"/>
          <w:b/>
          <w:iCs/>
          <w:sz w:val="28"/>
          <w:szCs w:val="28"/>
        </w:rPr>
        <w:t>Sub-</w:t>
      </w:r>
      <w:r w:rsidR="00CF3E58" w:rsidRPr="00A7196F">
        <w:rPr>
          <w:rFonts w:ascii="Arial Narrow" w:hAnsi="Arial Narrow" w:cs="TimesTen-Italic"/>
          <w:b/>
          <w:iCs/>
          <w:sz w:val="28"/>
          <w:szCs w:val="28"/>
        </w:rPr>
        <w:t xml:space="preserve">Core </w:t>
      </w:r>
      <w:r w:rsidR="00D560C0" w:rsidRPr="00A7196F">
        <w:rPr>
          <w:rFonts w:ascii="Arial Narrow" w:hAnsi="Arial Narrow" w:cs="TimesTen-Italic"/>
          <w:b/>
          <w:iCs/>
          <w:sz w:val="28"/>
          <w:szCs w:val="28"/>
        </w:rPr>
        <w:t>Sources with Limited Cross-sectional Coverage:</w:t>
      </w:r>
    </w:p>
    <w:p w:rsidR="00D26931" w:rsidRDefault="00D560C0"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The World Factbook of Criminal Justice Systems: </w:t>
      </w:r>
      <w:r w:rsidRPr="00A7196F">
        <w:rPr>
          <w:rFonts w:ascii="Arial Narrow" w:hAnsi="Arial Narrow" w:cs="TimesTen-Italic"/>
          <w:iCs/>
          <w:sz w:val="20"/>
          <w:szCs w:val="20"/>
        </w:rPr>
        <w:t>This site is managed by the US Department of Justice and contains narrative descriptions of the criminal justice systems</w:t>
      </w:r>
      <w:r w:rsidR="000A74E1" w:rsidRPr="00A7196F">
        <w:rPr>
          <w:rFonts w:ascii="Arial Narrow" w:hAnsi="Arial Narrow" w:cs="TimesTen-Italic"/>
          <w:iCs/>
          <w:sz w:val="20"/>
          <w:szCs w:val="20"/>
        </w:rPr>
        <w:t xml:space="preserve"> in 45 countries, most written</w:t>
      </w:r>
      <w:r w:rsidRPr="00A7196F">
        <w:rPr>
          <w:rFonts w:ascii="Arial Narrow" w:hAnsi="Arial Narrow" w:cs="TimesTen-Italic"/>
          <w:iCs/>
          <w:sz w:val="20"/>
          <w:szCs w:val="20"/>
        </w:rPr>
        <w:t xml:space="preserve"> in 1993.</w:t>
      </w:r>
    </w:p>
    <w:p w:rsidR="006D0B01" w:rsidRPr="00A7196F" w:rsidRDefault="006D0B01" w:rsidP="00793550">
      <w:pPr>
        <w:autoSpaceDE w:val="0"/>
        <w:autoSpaceDN w:val="0"/>
        <w:adjustRightInd w:val="0"/>
        <w:spacing w:after="0" w:line="240" w:lineRule="auto"/>
        <w:contextualSpacing/>
        <w:rPr>
          <w:rFonts w:ascii="Arial Narrow" w:hAnsi="Arial Narrow" w:cs="TimesTen-Italic"/>
          <w:b/>
          <w:iCs/>
          <w:sz w:val="20"/>
          <w:szCs w:val="20"/>
        </w:rPr>
      </w:pPr>
    </w:p>
    <w:p w:rsidR="00D26931" w:rsidRDefault="006D0B01"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LLRX: </w:t>
      </w:r>
      <w:r w:rsidR="000A74E1" w:rsidRPr="00A7196F">
        <w:rPr>
          <w:rFonts w:ascii="Arial Narrow" w:hAnsi="Arial Narrow" w:cs="TimesTen-Italic"/>
          <w:iCs/>
          <w:sz w:val="20"/>
          <w:szCs w:val="20"/>
        </w:rPr>
        <w:t>This is a Web journal run</w:t>
      </w:r>
      <w:r w:rsidR="00913D66">
        <w:rPr>
          <w:rFonts w:ascii="Arial Narrow" w:hAnsi="Arial Narrow" w:cs="TimesTen-Italic"/>
          <w:iCs/>
          <w:sz w:val="20"/>
          <w:szCs w:val="20"/>
        </w:rPr>
        <w:t xml:space="preserve"> by Sabrina Pacifici, </w:t>
      </w:r>
      <w:r w:rsidRPr="00A7196F">
        <w:rPr>
          <w:rFonts w:ascii="Arial Narrow" w:hAnsi="Arial Narrow" w:cs="TimesTen-Italic"/>
          <w:iCs/>
          <w:sz w:val="20"/>
          <w:szCs w:val="20"/>
        </w:rPr>
        <w:t>that, among other things, publishes country studies on legal systems.</w:t>
      </w:r>
    </w:p>
    <w:p w:rsidR="006D0B01" w:rsidRPr="00A7196F" w:rsidRDefault="006D0B01" w:rsidP="00793550">
      <w:pPr>
        <w:autoSpaceDE w:val="0"/>
        <w:autoSpaceDN w:val="0"/>
        <w:adjustRightInd w:val="0"/>
        <w:spacing w:after="0" w:line="240" w:lineRule="auto"/>
        <w:contextualSpacing/>
        <w:rPr>
          <w:rFonts w:ascii="Arial Narrow" w:hAnsi="Arial Narrow" w:cs="TimesTen-Italic"/>
          <w:iCs/>
          <w:sz w:val="20"/>
          <w:szCs w:val="20"/>
        </w:rPr>
      </w:pPr>
    </w:p>
    <w:p w:rsidR="00CE01A7" w:rsidRPr="00A7196F" w:rsidRDefault="00D560C0"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The Scope of the Civil Service in the OECD and Select CEE Countries: </w:t>
      </w:r>
      <w:r w:rsidRPr="00A7196F">
        <w:rPr>
          <w:rFonts w:ascii="Arial Narrow" w:hAnsi="Arial Narrow" w:cs="TimesTen-Italic"/>
          <w:iCs/>
          <w:sz w:val="20"/>
          <w:szCs w:val="20"/>
        </w:rPr>
        <w:t>This is a report prepared by the World Bank in 2001 that covers the current civil service laws in 34 countries</w:t>
      </w:r>
      <w:r w:rsidR="00A220FE" w:rsidRPr="00A7196F">
        <w:rPr>
          <w:rFonts w:ascii="Arial Narrow" w:hAnsi="Arial Narrow" w:cs="TimesTen-Italic"/>
          <w:iCs/>
          <w:sz w:val="20"/>
          <w:szCs w:val="20"/>
        </w:rPr>
        <w:t>.</w:t>
      </w:r>
    </w:p>
    <w:p w:rsidR="00D641B0" w:rsidRPr="00A7196F" w:rsidRDefault="00D641B0"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D641B0"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Legislationonline.org</w:t>
      </w:r>
      <w:r w:rsidRPr="00A7196F">
        <w:rPr>
          <w:rFonts w:ascii="Arial Narrow" w:hAnsi="Arial Narrow" w:cs="TimesTen-Italic"/>
          <w:iCs/>
          <w:sz w:val="20"/>
          <w:szCs w:val="20"/>
        </w:rPr>
        <w:t>: This website is run by the OSCE and provides texts of constitutions and legislation online – including in some cases civil service legislation.</w:t>
      </w:r>
    </w:p>
    <w:p w:rsidR="001565C8" w:rsidRPr="00A7196F" w:rsidRDefault="001565C8"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1565C8"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Programme on Governance in the Arab Region: </w:t>
      </w:r>
      <w:r w:rsidRPr="00A7196F">
        <w:rPr>
          <w:rFonts w:ascii="Arial Narrow" w:hAnsi="Arial Narrow" w:cs="TimesTen-Italic"/>
          <w:iCs/>
          <w:sz w:val="20"/>
          <w:szCs w:val="20"/>
        </w:rPr>
        <w:t>This is a publication of the United Nations Development Program (UNDP) and contains a wide range of institutional data on Arab governments, inc</w:t>
      </w:r>
      <w:r w:rsidR="00E93670" w:rsidRPr="00A7196F">
        <w:rPr>
          <w:rFonts w:ascii="Arial Narrow" w:hAnsi="Arial Narrow" w:cs="TimesTen-Italic"/>
          <w:iCs/>
          <w:sz w:val="20"/>
          <w:szCs w:val="20"/>
        </w:rPr>
        <w:t>luding judicial institutions,</w:t>
      </w:r>
      <w:r w:rsidRPr="00A7196F">
        <w:rPr>
          <w:rFonts w:ascii="Arial Narrow" w:hAnsi="Arial Narrow" w:cs="TimesTen-Italic"/>
          <w:iCs/>
          <w:sz w:val="20"/>
          <w:szCs w:val="20"/>
        </w:rPr>
        <w:t xml:space="preserve"> local governance institutions</w:t>
      </w:r>
      <w:r w:rsidR="00E93670" w:rsidRPr="00A7196F">
        <w:rPr>
          <w:rFonts w:ascii="Arial Narrow" w:hAnsi="Arial Narrow" w:cs="TimesTen-Italic"/>
          <w:iCs/>
          <w:sz w:val="20"/>
          <w:szCs w:val="20"/>
        </w:rPr>
        <w:t>, and electoral commissions</w:t>
      </w:r>
      <w:r w:rsidRPr="00A7196F">
        <w:rPr>
          <w:rFonts w:ascii="Arial Narrow" w:hAnsi="Arial Narrow" w:cs="TimesTen-Italic"/>
          <w:iCs/>
          <w:sz w:val="20"/>
          <w:szCs w:val="20"/>
        </w:rPr>
        <w:t>.</w:t>
      </w:r>
    </w:p>
    <w:p w:rsidR="00E2498B" w:rsidRPr="00A7196F" w:rsidRDefault="00E2498B" w:rsidP="00793550">
      <w:pPr>
        <w:autoSpaceDE w:val="0"/>
        <w:autoSpaceDN w:val="0"/>
        <w:adjustRightInd w:val="0"/>
        <w:spacing w:after="0" w:line="240" w:lineRule="auto"/>
        <w:contextualSpacing/>
        <w:rPr>
          <w:rFonts w:ascii="Arial Narrow" w:hAnsi="Arial Narrow" w:cs="TimesTen-Italic"/>
          <w:iCs/>
          <w:sz w:val="20"/>
          <w:szCs w:val="20"/>
        </w:rPr>
      </w:pPr>
    </w:p>
    <w:p w:rsidR="00D26931" w:rsidRDefault="00E2498B" w:rsidP="00793550">
      <w:pPr>
        <w:autoSpaceDE w:val="0"/>
        <w:autoSpaceDN w:val="0"/>
        <w:adjustRightInd w:val="0"/>
        <w:spacing w:after="0" w:line="240" w:lineRule="auto"/>
        <w:contextualSpacing/>
        <w:rPr>
          <w:rFonts w:ascii="Arial Narrow" w:hAnsi="Arial Narrow" w:cs="TimesTen-Italic"/>
          <w:iCs/>
          <w:sz w:val="20"/>
          <w:szCs w:val="20"/>
        </w:rPr>
      </w:pPr>
      <w:r w:rsidRPr="00A7196F">
        <w:rPr>
          <w:rFonts w:ascii="Arial Narrow" w:hAnsi="Arial Narrow" w:cs="TimesTen-Italic"/>
          <w:b/>
          <w:iCs/>
          <w:sz w:val="20"/>
          <w:szCs w:val="20"/>
        </w:rPr>
        <w:t xml:space="preserve">Nobribes.info: </w:t>
      </w:r>
      <w:r w:rsidRPr="00A7196F">
        <w:rPr>
          <w:rFonts w:ascii="Arial Narrow" w:hAnsi="Arial Narrow" w:cs="TimesTen-Italic"/>
          <w:iCs/>
          <w:sz w:val="20"/>
          <w:szCs w:val="20"/>
        </w:rPr>
        <w:t>This is site is run by the American Bar Association (Rule of Law Initiative, Central and Eastern Europe), but it hasn’t been updated since 2002.</w:t>
      </w:r>
      <w:r w:rsidR="00D26931">
        <w:rPr>
          <w:rFonts w:ascii="Arial Narrow" w:hAnsi="Arial Narrow" w:cs="TimesTen-Italic"/>
          <w:iCs/>
          <w:sz w:val="20"/>
          <w:szCs w:val="20"/>
        </w:rPr>
        <w:t xml:space="preserve"> </w:t>
      </w:r>
      <w:r w:rsidRPr="00A7196F">
        <w:rPr>
          <w:rFonts w:ascii="Arial Narrow" w:hAnsi="Arial Narrow" w:cs="TimesTen-Italic"/>
          <w:iCs/>
          <w:sz w:val="20"/>
          <w:szCs w:val="20"/>
        </w:rPr>
        <w:t>The entire CEELI program was shut down in 2007.</w:t>
      </w:r>
      <w:r w:rsidR="00D26931">
        <w:rPr>
          <w:rFonts w:ascii="Arial Narrow" w:hAnsi="Arial Narrow" w:cs="TimesTen-Italic"/>
          <w:iCs/>
          <w:sz w:val="20"/>
          <w:szCs w:val="20"/>
        </w:rPr>
        <w:t xml:space="preserve"> </w:t>
      </w:r>
      <w:r w:rsidRPr="00A7196F">
        <w:rPr>
          <w:rFonts w:ascii="Arial Narrow" w:hAnsi="Arial Narrow" w:cs="TimesTen-Italic"/>
          <w:iCs/>
          <w:sz w:val="20"/>
          <w:szCs w:val="20"/>
        </w:rPr>
        <w:t>However, the website provides English texts of civil service laws for many Eurasian countries.</w:t>
      </w:r>
    </w:p>
    <w:p w:rsidR="00A80B60" w:rsidRPr="00A7196F" w:rsidRDefault="00A80B60" w:rsidP="00793550">
      <w:pPr>
        <w:spacing w:line="240" w:lineRule="auto"/>
        <w:contextualSpacing/>
        <w:rPr>
          <w:rFonts w:ascii="Arial Narrow" w:hAnsi="Arial Narrow" w:cs="TimesTen-Italic"/>
          <w:sz w:val="20"/>
          <w:szCs w:val="20"/>
        </w:rPr>
      </w:pPr>
    </w:p>
    <w:p w:rsidR="00D26931" w:rsidRDefault="001A10B1" w:rsidP="00793550">
      <w:pPr>
        <w:spacing w:line="240" w:lineRule="auto"/>
        <w:contextualSpacing/>
        <w:rPr>
          <w:rFonts w:ascii="Arial Narrow" w:hAnsi="Arial Narrow" w:cs="TimesTen-Italic"/>
          <w:sz w:val="20"/>
          <w:szCs w:val="20"/>
        </w:rPr>
      </w:pPr>
      <w:hyperlink r:id="rId9" w:history="1">
        <w:r w:rsidR="00A80B60" w:rsidRPr="00A7196F">
          <w:rPr>
            <w:rStyle w:val="Hyperlink"/>
            <w:rFonts w:ascii="Arial Narrow" w:hAnsi="Arial Narrow" w:cs="TimesTen-Italic"/>
            <w:b/>
            <w:color w:val="auto"/>
            <w:sz w:val="20"/>
            <w:szCs w:val="20"/>
          </w:rPr>
          <w:t>http://www.psr.keele.ac.uk/election.htm</w:t>
        </w:r>
      </w:hyperlink>
      <w:r w:rsidR="00D26931">
        <w:rPr>
          <w:rFonts w:ascii="Arial Narrow" w:hAnsi="Arial Narrow" w:cs="TimesTen-Italic"/>
          <w:b/>
          <w:sz w:val="20"/>
          <w:szCs w:val="20"/>
        </w:rPr>
        <w:t xml:space="preserve"> </w:t>
      </w:r>
      <w:r w:rsidR="009124AC">
        <w:rPr>
          <w:rFonts w:ascii="Arial Narrow" w:hAnsi="Arial Narrow" w:cs="TimesTen-Italic"/>
          <w:sz w:val="20"/>
          <w:szCs w:val="20"/>
        </w:rPr>
        <w:t xml:space="preserve">This page includes </w:t>
      </w:r>
      <w:r w:rsidR="00A80B60" w:rsidRPr="00A7196F">
        <w:rPr>
          <w:rFonts w:ascii="Arial Narrow" w:hAnsi="Arial Narrow" w:cs="TimesTen-Italic"/>
          <w:sz w:val="20"/>
          <w:szCs w:val="20"/>
        </w:rPr>
        <w:t>an alphabetical list of countries with links for each country related to electoral commissions.</w:t>
      </w:r>
    </w:p>
    <w:p w:rsidR="00A80B60" w:rsidRPr="00A7196F" w:rsidRDefault="00A80B60" w:rsidP="00793550">
      <w:pPr>
        <w:spacing w:line="240" w:lineRule="auto"/>
        <w:contextualSpacing/>
        <w:rPr>
          <w:rFonts w:ascii="Arial Narrow" w:hAnsi="Arial Narrow" w:cs="TimesTen-Italic"/>
          <w:sz w:val="20"/>
          <w:szCs w:val="20"/>
        </w:rPr>
      </w:pPr>
    </w:p>
    <w:p w:rsidR="00E2498B" w:rsidRPr="00D26931" w:rsidRDefault="00E2498B" w:rsidP="00793550">
      <w:pPr>
        <w:tabs>
          <w:tab w:val="left" w:pos="6528"/>
        </w:tabs>
        <w:spacing w:line="240" w:lineRule="auto"/>
        <w:contextualSpacing/>
        <w:jc w:val="both"/>
        <w:rPr>
          <w:rFonts w:ascii="Arial Narrow" w:hAnsi="Arial Narrow" w:cs="TimesTen-Italic"/>
          <w:sz w:val="20"/>
          <w:szCs w:val="20"/>
        </w:rPr>
      </w:pPr>
    </w:p>
    <w:sectPr w:rsidR="00E2498B" w:rsidRPr="00D26931" w:rsidSect="00A7196F">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0B1" w:rsidRDefault="001A10B1" w:rsidP="00CE01A7">
      <w:pPr>
        <w:spacing w:after="0" w:line="240" w:lineRule="auto"/>
      </w:pPr>
      <w:r>
        <w:separator/>
      </w:r>
    </w:p>
    <w:p w:rsidR="001A10B1" w:rsidRDefault="001A10B1"/>
  </w:endnote>
  <w:endnote w:type="continuationSeparator" w:id="0">
    <w:p w:rsidR="001A10B1" w:rsidRDefault="001A10B1" w:rsidP="00CE01A7">
      <w:pPr>
        <w:spacing w:after="0" w:line="240" w:lineRule="auto"/>
      </w:pPr>
      <w:r>
        <w:continuationSeparator/>
      </w:r>
    </w:p>
    <w:p w:rsidR="001A10B1" w:rsidRDefault="001A1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Ten-Italic">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ADB" w:rsidRDefault="001A10B1">
    <w:pPr>
      <w:pStyle w:val="Footer"/>
      <w:jc w:val="center"/>
    </w:pPr>
    <w:r>
      <w:fldChar w:fldCharType="begin"/>
    </w:r>
    <w:r>
      <w:instrText xml:space="preserve"> PAGE   \* MERGEFORMAT </w:instrText>
    </w:r>
    <w:r>
      <w:fldChar w:fldCharType="separate"/>
    </w:r>
    <w:r w:rsidR="008C5E2C">
      <w:rPr>
        <w:noProof/>
      </w:rPr>
      <w:t>1</w:t>
    </w:r>
    <w:r>
      <w:rPr>
        <w:noProof/>
      </w:rPr>
      <w:fldChar w:fldCharType="end"/>
    </w:r>
  </w:p>
  <w:p w:rsidR="008B3ADB" w:rsidRDefault="008B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0B1" w:rsidRDefault="001A10B1" w:rsidP="00CE01A7">
      <w:pPr>
        <w:spacing w:after="0" w:line="240" w:lineRule="auto"/>
      </w:pPr>
      <w:r>
        <w:separator/>
      </w:r>
    </w:p>
    <w:p w:rsidR="001A10B1" w:rsidRDefault="001A10B1"/>
  </w:footnote>
  <w:footnote w:type="continuationSeparator" w:id="0">
    <w:p w:rsidR="001A10B1" w:rsidRDefault="001A10B1" w:rsidP="00CE01A7">
      <w:pPr>
        <w:spacing w:after="0" w:line="240" w:lineRule="auto"/>
      </w:pPr>
      <w:r>
        <w:continuationSeparator/>
      </w:r>
    </w:p>
    <w:p w:rsidR="001A10B1" w:rsidRDefault="001A10B1"/>
  </w:footnote>
  <w:footnote w:id="1">
    <w:p w:rsidR="008B3ADB" w:rsidRPr="00777370" w:rsidRDefault="008B3ADB" w:rsidP="00CE01A7">
      <w:pPr>
        <w:autoSpaceDE w:val="0"/>
        <w:autoSpaceDN w:val="0"/>
        <w:adjustRightInd w:val="0"/>
        <w:spacing w:after="0" w:line="240" w:lineRule="auto"/>
        <w:rPr>
          <w:rFonts w:cs="Arial"/>
          <w:sz w:val="20"/>
          <w:szCs w:val="20"/>
        </w:rPr>
      </w:pPr>
      <w:r w:rsidRPr="00777370">
        <w:rPr>
          <w:rStyle w:val="FootnoteReference"/>
          <w:rFonts w:cs="Arial"/>
          <w:sz w:val="20"/>
          <w:szCs w:val="20"/>
        </w:rPr>
        <w:footnoteRef/>
      </w:r>
      <w:r w:rsidRPr="00777370">
        <w:rPr>
          <w:rFonts w:cs="Arial"/>
          <w:sz w:val="20"/>
          <w:szCs w:val="20"/>
        </w:rPr>
        <w:t xml:space="preserve"> The word “minority” is placed in parentheses in this coding in orde</w:t>
      </w:r>
      <w:r>
        <w:rPr>
          <w:rFonts w:cs="Arial"/>
          <w:sz w:val="20"/>
          <w:szCs w:val="20"/>
        </w:rPr>
        <w:t xml:space="preserve">r to recognize that states with </w:t>
      </w:r>
      <w:r w:rsidRPr="00777370">
        <w:rPr>
          <w:rFonts w:cs="Arial"/>
          <w:sz w:val="20"/>
          <w:szCs w:val="20"/>
        </w:rPr>
        <w:t>no official of favored religion may discriminate against all religions but states with official or</w:t>
      </w:r>
      <w:r>
        <w:rPr>
          <w:rFonts w:cs="Arial"/>
          <w:sz w:val="20"/>
          <w:szCs w:val="20"/>
        </w:rPr>
        <w:t xml:space="preserve"> </w:t>
      </w:r>
      <w:r w:rsidRPr="00777370">
        <w:rPr>
          <w:rFonts w:cs="Arial"/>
          <w:sz w:val="20"/>
          <w:szCs w:val="20"/>
        </w:rPr>
        <w:t>favored religions will discriminate only against minority religions.</w:t>
      </w:r>
      <w:r>
        <w:rPr>
          <w:rFonts w:cs="Arial"/>
          <w:sz w:val="20"/>
          <w:szCs w:val="20"/>
        </w:rPr>
        <w:t xml:space="preserve"> (Fox 2004 codebook, p. 4)</w:t>
      </w:r>
    </w:p>
    <w:p w:rsidR="008B3ADB" w:rsidRPr="00777370" w:rsidRDefault="008B3ADB">
      <w:pPr>
        <w:pStyle w:val="FootnoteText"/>
        <w:rPr>
          <w:rFonts w:ascii="Arial" w:hAnsi="Arial" w:cs="Arial"/>
        </w:rPr>
      </w:pPr>
    </w:p>
  </w:footnote>
  <w:footnote w:id="2">
    <w:p w:rsidR="008B3ADB" w:rsidRDefault="008B3ADB">
      <w:pPr>
        <w:pStyle w:val="FootnoteText"/>
      </w:pPr>
      <w:r>
        <w:rPr>
          <w:rStyle w:val="FootnoteReference"/>
        </w:rPr>
        <w:footnoteRef/>
      </w:r>
      <w:r>
        <w:t xml:space="preserve"> </w:t>
      </w:r>
      <w:r w:rsidRPr="005D1AEF">
        <w:t>The variables State and Muni can be combin</w:t>
      </w:r>
      <w:r>
        <w:t>ed into the 5th component of</w:t>
      </w:r>
      <w:r w:rsidRPr="005D1AEF">
        <w:t xml:space="preserve"> Brancati</w:t>
      </w:r>
      <w:r>
        <w:t>’s</w:t>
      </w:r>
      <w:r w:rsidRPr="005D1AEF">
        <w:t xml:space="preserve"> index</w:t>
      </w:r>
      <w:r>
        <w:t xml:space="preserve"> of decentralization </w:t>
      </w:r>
      <w:r w:rsidRPr="005D1AEF">
        <w:t xml:space="preserve">by </w:t>
      </w:r>
      <w:r>
        <w:t>adding 1 if either State or Muni is coded 1).</w:t>
      </w:r>
    </w:p>
    <w:p w:rsidR="008B3ADB" w:rsidRPr="005D1AEF" w:rsidRDefault="008B3AD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98B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32A3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048DC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48D4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E4001B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02CAB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9E04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9EF3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2B630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4FC4A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63E0B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F01CD"/>
    <w:multiLevelType w:val="hybridMultilevel"/>
    <w:tmpl w:val="9DDEC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877027"/>
    <w:multiLevelType w:val="hybridMultilevel"/>
    <w:tmpl w:val="CADA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E60F4E"/>
    <w:multiLevelType w:val="hybridMultilevel"/>
    <w:tmpl w:val="00760E3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6B3D89"/>
    <w:multiLevelType w:val="hybridMultilevel"/>
    <w:tmpl w:val="004229B0"/>
    <w:lvl w:ilvl="0" w:tplc="62689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13DA1"/>
    <w:multiLevelType w:val="hybridMultilevel"/>
    <w:tmpl w:val="3D94E8BA"/>
    <w:lvl w:ilvl="0" w:tplc="2C3C4486">
      <w:numFmt w:val="bullet"/>
      <w:lvlText w:val=""/>
      <w:lvlJc w:val="left"/>
      <w:pPr>
        <w:ind w:left="360" w:hanging="360"/>
      </w:pPr>
      <w:rPr>
        <w:rFonts w:ascii="Symbol" w:eastAsia="Calibr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B87FF3"/>
    <w:multiLevelType w:val="hybridMultilevel"/>
    <w:tmpl w:val="E236B7B6"/>
    <w:lvl w:ilvl="0" w:tplc="9E78F342">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6F38C3"/>
    <w:multiLevelType w:val="hybridMultilevel"/>
    <w:tmpl w:val="B7CC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5655AD"/>
    <w:multiLevelType w:val="hybridMultilevel"/>
    <w:tmpl w:val="81E84398"/>
    <w:lvl w:ilvl="0" w:tplc="0409000F">
      <w:start w:val="1"/>
      <w:numFmt w:val="decimal"/>
      <w:lvlText w:val="%1."/>
      <w:lvlJc w:val="left"/>
      <w:pPr>
        <w:ind w:left="720" w:hanging="360"/>
      </w:pPr>
      <w:rPr>
        <w:rFonts w:hint="default"/>
      </w:rPr>
    </w:lvl>
    <w:lvl w:ilvl="1" w:tplc="AB28BEE6">
      <w:start w:val="1"/>
      <w:numFmt w:val="lowerLetter"/>
      <w:lvlText w:val="%2."/>
      <w:lvlJc w:val="left"/>
      <w:pPr>
        <w:ind w:left="1440" w:hanging="360"/>
      </w:pPr>
      <w:rPr>
        <w:rFonts w:ascii="Arial" w:eastAsia="Calibri" w:hAnsi="Arial" w:cs="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2B270E"/>
    <w:multiLevelType w:val="hybridMultilevel"/>
    <w:tmpl w:val="DEC4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B75BF"/>
    <w:multiLevelType w:val="hybridMultilevel"/>
    <w:tmpl w:val="A560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34E89"/>
    <w:multiLevelType w:val="hybridMultilevel"/>
    <w:tmpl w:val="D7C65992"/>
    <w:lvl w:ilvl="0" w:tplc="7584C0C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245DD"/>
    <w:multiLevelType w:val="hybridMultilevel"/>
    <w:tmpl w:val="42DC644E"/>
    <w:lvl w:ilvl="0" w:tplc="826A7A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267E1"/>
    <w:multiLevelType w:val="hybridMultilevel"/>
    <w:tmpl w:val="4AA62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14A45"/>
    <w:multiLevelType w:val="hybridMultilevel"/>
    <w:tmpl w:val="F8F0D4A8"/>
    <w:lvl w:ilvl="0" w:tplc="A07AD556">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21881"/>
    <w:multiLevelType w:val="hybridMultilevel"/>
    <w:tmpl w:val="788C2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605E3D"/>
    <w:multiLevelType w:val="hybridMultilevel"/>
    <w:tmpl w:val="21AAC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C3B31"/>
    <w:multiLevelType w:val="hybridMultilevel"/>
    <w:tmpl w:val="E0F6F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F6F3A"/>
    <w:multiLevelType w:val="hybridMultilevel"/>
    <w:tmpl w:val="DC649F46"/>
    <w:lvl w:ilvl="0" w:tplc="08FABE24">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661C2"/>
    <w:multiLevelType w:val="hybridMultilevel"/>
    <w:tmpl w:val="E236B7B6"/>
    <w:lvl w:ilvl="0" w:tplc="9E78F342">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A14DA3"/>
    <w:multiLevelType w:val="hybridMultilevel"/>
    <w:tmpl w:val="6114C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04825"/>
    <w:multiLevelType w:val="hybridMultilevel"/>
    <w:tmpl w:val="D3DADADC"/>
    <w:lvl w:ilvl="0" w:tplc="C56E9330">
      <w:start w:val="1"/>
      <w:numFmt w:val="upperLetter"/>
      <w:lvlText w:val="%1."/>
      <w:lvlJc w:val="left"/>
      <w:pPr>
        <w:ind w:left="1080" w:hanging="360"/>
      </w:pPr>
      <w:rPr>
        <w:rFonts w:ascii="Arial" w:eastAsiaTheme="majorEastAsia"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D619E9"/>
    <w:multiLevelType w:val="hybridMultilevel"/>
    <w:tmpl w:val="96E44202"/>
    <w:lvl w:ilvl="0" w:tplc="7A881554">
      <w:start w:val="2"/>
      <w:numFmt w:val="bullet"/>
      <w:lvlText w:val=""/>
      <w:lvlJc w:val="left"/>
      <w:pPr>
        <w:ind w:left="720" w:hanging="360"/>
      </w:pPr>
      <w:rPr>
        <w:rFonts w:ascii="Symbol" w:eastAsia="Calibri" w:hAnsi="Symbol" w:cs="TimesTen-Ital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F609A"/>
    <w:multiLevelType w:val="hybridMultilevel"/>
    <w:tmpl w:val="00866CAE"/>
    <w:lvl w:ilvl="0" w:tplc="580C278E">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num w:numId="1">
    <w:abstractNumId w:val="16"/>
  </w:num>
  <w:num w:numId="2">
    <w:abstractNumId w:val="18"/>
  </w:num>
  <w:num w:numId="3">
    <w:abstractNumId w:val="20"/>
  </w:num>
  <w:num w:numId="4">
    <w:abstractNumId w:val="17"/>
  </w:num>
  <w:num w:numId="5">
    <w:abstractNumId w:val="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2"/>
  </w:num>
  <w:num w:numId="17">
    <w:abstractNumId w:val="21"/>
  </w:num>
  <w:num w:numId="18">
    <w:abstractNumId w:val="30"/>
  </w:num>
  <w:num w:numId="19">
    <w:abstractNumId w:val="24"/>
  </w:num>
  <w:num w:numId="20">
    <w:abstractNumId w:val="15"/>
  </w:num>
  <w:num w:numId="21">
    <w:abstractNumId w:val="32"/>
  </w:num>
  <w:num w:numId="22">
    <w:abstractNumId w:val="28"/>
  </w:num>
  <w:num w:numId="23">
    <w:abstractNumId w:val="13"/>
  </w:num>
  <w:num w:numId="24">
    <w:abstractNumId w:val="23"/>
  </w:num>
  <w:num w:numId="25">
    <w:abstractNumId w:val="26"/>
  </w:num>
  <w:num w:numId="26">
    <w:abstractNumId w:val="11"/>
  </w:num>
  <w:num w:numId="27">
    <w:abstractNumId w:val="25"/>
  </w:num>
  <w:num w:numId="28">
    <w:abstractNumId w:val="31"/>
  </w:num>
  <w:num w:numId="29">
    <w:abstractNumId w:val="14"/>
  </w:num>
  <w:num w:numId="30">
    <w:abstractNumId w:val="33"/>
  </w:num>
  <w:num w:numId="31">
    <w:abstractNumId w:val="27"/>
  </w:num>
  <w:num w:numId="32">
    <w:abstractNumId w:val="29"/>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791C"/>
    <w:rsid w:val="00004254"/>
    <w:rsid w:val="00006052"/>
    <w:rsid w:val="00007EC5"/>
    <w:rsid w:val="00014506"/>
    <w:rsid w:val="0001787D"/>
    <w:rsid w:val="00033321"/>
    <w:rsid w:val="00034688"/>
    <w:rsid w:val="00035014"/>
    <w:rsid w:val="000357C1"/>
    <w:rsid w:val="00036FE6"/>
    <w:rsid w:val="000413AC"/>
    <w:rsid w:val="000414B8"/>
    <w:rsid w:val="00051BCF"/>
    <w:rsid w:val="00053BE2"/>
    <w:rsid w:val="0005454C"/>
    <w:rsid w:val="00061325"/>
    <w:rsid w:val="00062492"/>
    <w:rsid w:val="00063C2A"/>
    <w:rsid w:val="00066EA2"/>
    <w:rsid w:val="00071643"/>
    <w:rsid w:val="00071C75"/>
    <w:rsid w:val="00072956"/>
    <w:rsid w:val="00074CC4"/>
    <w:rsid w:val="00077F18"/>
    <w:rsid w:val="00083D0D"/>
    <w:rsid w:val="00086478"/>
    <w:rsid w:val="00086501"/>
    <w:rsid w:val="000901F0"/>
    <w:rsid w:val="000909BF"/>
    <w:rsid w:val="00091967"/>
    <w:rsid w:val="000941F7"/>
    <w:rsid w:val="000942C6"/>
    <w:rsid w:val="000A24CE"/>
    <w:rsid w:val="000A5748"/>
    <w:rsid w:val="000A74E1"/>
    <w:rsid w:val="000B07A7"/>
    <w:rsid w:val="000B24DB"/>
    <w:rsid w:val="000B46CA"/>
    <w:rsid w:val="000C4E20"/>
    <w:rsid w:val="000D234C"/>
    <w:rsid w:val="000D4D6D"/>
    <w:rsid w:val="000E3284"/>
    <w:rsid w:val="000E3C87"/>
    <w:rsid w:val="000F0A3C"/>
    <w:rsid w:val="001014B8"/>
    <w:rsid w:val="001030B2"/>
    <w:rsid w:val="0010499D"/>
    <w:rsid w:val="001049B0"/>
    <w:rsid w:val="00107977"/>
    <w:rsid w:val="001128A3"/>
    <w:rsid w:val="00113AB6"/>
    <w:rsid w:val="00125687"/>
    <w:rsid w:val="00132385"/>
    <w:rsid w:val="001325CC"/>
    <w:rsid w:val="0013694A"/>
    <w:rsid w:val="00141561"/>
    <w:rsid w:val="0014299E"/>
    <w:rsid w:val="001434C0"/>
    <w:rsid w:val="00146ECF"/>
    <w:rsid w:val="00153FE2"/>
    <w:rsid w:val="001565C8"/>
    <w:rsid w:val="0016541C"/>
    <w:rsid w:val="0016658D"/>
    <w:rsid w:val="00170679"/>
    <w:rsid w:val="00171B95"/>
    <w:rsid w:val="00176AE4"/>
    <w:rsid w:val="00186635"/>
    <w:rsid w:val="001903D4"/>
    <w:rsid w:val="001922F7"/>
    <w:rsid w:val="001971AB"/>
    <w:rsid w:val="001A06CE"/>
    <w:rsid w:val="001A10B1"/>
    <w:rsid w:val="001A3F20"/>
    <w:rsid w:val="001C0EB3"/>
    <w:rsid w:val="001C3895"/>
    <w:rsid w:val="001C789C"/>
    <w:rsid w:val="001D04EB"/>
    <w:rsid w:val="001D16CB"/>
    <w:rsid w:val="001D4EE1"/>
    <w:rsid w:val="001E0F03"/>
    <w:rsid w:val="001F1BD8"/>
    <w:rsid w:val="001F3FEA"/>
    <w:rsid w:val="001F7162"/>
    <w:rsid w:val="001F75CB"/>
    <w:rsid w:val="00207843"/>
    <w:rsid w:val="0021079B"/>
    <w:rsid w:val="00212522"/>
    <w:rsid w:val="0021532E"/>
    <w:rsid w:val="00215D78"/>
    <w:rsid w:val="00222698"/>
    <w:rsid w:val="00222C57"/>
    <w:rsid w:val="002230C3"/>
    <w:rsid w:val="00223542"/>
    <w:rsid w:val="002244F7"/>
    <w:rsid w:val="00227410"/>
    <w:rsid w:val="00232475"/>
    <w:rsid w:val="00233637"/>
    <w:rsid w:val="00236EEB"/>
    <w:rsid w:val="00237623"/>
    <w:rsid w:val="00240F5D"/>
    <w:rsid w:val="00244686"/>
    <w:rsid w:val="00246FB3"/>
    <w:rsid w:val="00253C28"/>
    <w:rsid w:val="00270531"/>
    <w:rsid w:val="002718A4"/>
    <w:rsid w:val="002736DF"/>
    <w:rsid w:val="0028693E"/>
    <w:rsid w:val="00294117"/>
    <w:rsid w:val="0029441D"/>
    <w:rsid w:val="002947B2"/>
    <w:rsid w:val="002A01A5"/>
    <w:rsid w:val="002A252F"/>
    <w:rsid w:val="002B1E35"/>
    <w:rsid w:val="002C7E23"/>
    <w:rsid w:val="002D641C"/>
    <w:rsid w:val="002D6440"/>
    <w:rsid w:val="002E2C47"/>
    <w:rsid w:val="002E584A"/>
    <w:rsid w:val="002E5F34"/>
    <w:rsid w:val="002E758F"/>
    <w:rsid w:val="002E7EE3"/>
    <w:rsid w:val="002F225F"/>
    <w:rsid w:val="002F4A7E"/>
    <w:rsid w:val="002F4C49"/>
    <w:rsid w:val="002F65FC"/>
    <w:rsid w:val="00305301"/>
    <w:rsid w:val="003055C7"/>
    <w:rsid w:val="00323837"/>
    <w:rsid w:val="00327F41"/>
    <w:rsid w:val="0033492B"/>
    <w:rsid w:val="00336F44"/>
    <w:rsid w:val="0034509D"/>
    <w:rsid w:val="003459C9"/>
    <w:rsid w:val="0035300B"/>
    <w:rsid w:val="00355732"/>
    <w:rsid w:val="0035688C"/>
    <w:rsid w:val="00364033"/>
    <w:rsid w:val="0036558B"/>
    <w:rsid w:val="003776B8"/>
    <w:rsid w:val="00377BAA"/>
    <w:rsid w:val="00391FF9"/>
    <w:rsid w:val="00392625"/>
    <w:rsid w:val="00392D0D"/>
    <w:rsid w:val="003934F2"/>
    <w:rsid w:val="003A41FC"/>
    <w:rsid w:val="003B0D30"/>
    <w:rsid w:val="003B38D5"/>
    <w:rsid w:val="003C3568"/>
    <w:rsid w:val="003C4495"/>
    <w:rsid w:val="003D0FC8"/>
    <w:rsid w:val="003E4498"/>
    <w:rsid w:val="003E51B4"/>
    <w:rsid w:val="003E6D6B"/>
    <w:rsid w:val="003F490E"/>
    <w:rsid w:val="00406AE6"/>
    <w:rsid w:val="004103F4"/>
    <w:rsid w:val="00413A7D"/>
    <w:rsid w:val="00422501"/>
    <w:rsid w:val="00423410"/>
    <w:rsid w:val="004245E1"/>
    <w:rsid w:val="004259C9"/>
    <w:rsid w:val="004326A7"/>
    <w:rsid w:val="004335FD"/>
    <w:rsid w:val="00436D9A"/>
    <w:rsid w:val="00436E6E"/>
    <w:rsid w:val="00437338"/>
    <w:rsid w:val="00437782"/>
    <w:rsid w:val="00442A6E"/>
    <w:rsid w:val="0044378B"/>
    <w:rsid w:val="004448AD"/>
    <w:rsid w:val="00446B09"/>
    <w:rsid w:val="00446BD7"/>
    <w:rsid w:val="0045271B"/>
    <w:rsid w:val="004551DA"/>
    <w:rsid w:val="00465132"/>
    <w:rsid w:val="0047011B"/>
    <w:rsid w:val="00471413"/>
    <w:rsid w:val="00475166"/>
    <w:rsid w:val="00483E5F"/>
    <w:rsid w:val="0049320E"/>
    <w:rsid w:val="004A1858"/>
    <w:rsid w:val="004A5A16"/>
    <w:rsid w:val="004A68A7"/>
    <w:rsid w:val="004A7106"/>
    <w:rsid w:val="004B2077"/>
    <w:rsid w:val="004B3FA9"/>
    <w:rsid w:val="004B47A1"/>
    <w:rsid w:val="004B5E1A"/>
    <w:rsid w:val="004C5891"/>
    <w:rsid w:val="004D0DF1"/>
    <w:rsid w:val="004D3E18"/>
    <w:rsid w:val="004D4830"/>
    <w:rsid w:val="004D4975"/>
    <w:rsid w:val="004D5F9E"/>
    <w:rsid w:val="004E00FC"/>
    <w:rsid w:val="004E0330"/>
    <w:rsid w:val="004E185A"/>
    <w:rsid w:val="004E7469"/>
    <w:rsid w:val="004F0C74"/>
    <w:rsid w:val="004F4469"/>
    <w:rsid w:val="00502103"/>
    <w:rsid w:val="00503E99"/>
    <w:rsid w:val="00504210"/>
    <w:rsid w:val="0050445F"/>
    <w:rsid w:val="00505DBA"/>
    <w:rsid w:val="00514D08"/>
    <w:rsid w:val="00515D1C"/>
    <w:rsid w:val="0053073F"/>
    <w:rsid w:val="005336CD"/>
    <w:rsid w:val="00540533"/>
    <w:rsid w:val="00543227"/>
    <w:rsid w:val="00543294"/>
    <w:rsid w:val="005441B7"/>
    <w:rsid w:val="005563F2"/>
    <w:rsid w:val="00556C4C"/>
    <w:rsid w:val="005609EE"/>
    <w:rsid w:val="0056542E"/>
    <w:rsid w:val="00566DC2"/>
    <w:rsid w:val="00570817"/>
    <w:rsid w:val="00573A4D"/>
    <w:rsid w:val="005818C0"/>
    <w:rsid w:val="00581AAD"/>
    <w:rsid w:val="00583DEE"/>
    <w:rsid w:val="00587E2A"/>
    <w:rsid w:val="00587FDD"/>
    <w:rsid w:val="00593178"/>
    <w:rsid w:val="005975A7"/>
    <w:rsid w:val="00597FBE"/>
    <w:rsid w:val="005A1258"/>
    <w:rsid w:val="005A1AD1"/>
    <w:rsid w:val="005B20D6"/>
    <w:rsid w:val="005C1627"/>
    <w:rsid w:val="005C21E8"/>
    <w:rsid w:val="005D0814"/>
    <w:rsid w:val="005D0D95"/>
    <w:rsid w:val="005D17B3"/>
    <w:rsid w:val="005D2B82"/>
    <w:rsid w:val="005D5068"/>
    <w:rsid w:val="005E3113"/>
    <w:rsid w:val="005E3438"/>
    <w:rsid w:val="005F152B"/>
    <w:rsid w:val="005F2175"/>
    <w:rsid w:val="005F30F6"/>
    <w:rsid w:val="005F436B"/>
    <w:rsid w:val="005F50BB"/>
    <w:rsid w:val="005F791C"/>
    <w:rsid w:val="00601CEF"/>
    <w:rsid w:val="00604316"/>
    <w:rsid w:val="00612875"/>
    <w:rsid w:val="00613FF1"/>
    <w:rsid w:val="00615D5E"/>
    <w:rsid w:val="006163EF"/>
    <w:rsid w:val="00620378"/>
    <w:rsid w:val="006208DA"/>
    <w:rsid w:val="00621E3C"/>
    <w:rsid w:val="0062407D"/>
    <w:rsid w:val="00625680"/>
    <w:rsid w:val="00626609"/>
    <w:rsid w:val="0063096C"/>
    <w:rsid w:val="00642A52"/>
    <w:rsid w:val="00644B46"/>
    <w:rsid w:val="0065080E"/>
    <w:rsid w:val="006533E6"/>
    <w:rsid w:val="0065514D"/>
    <w:rsid w:val="00656B64"/>
    <w:rsid w:val="00663035"/>
    <w:rsid w:val="0067543F"/>
    <w:rsid w:val="00675DF2"/>
    <w:rsid w:val="00677BCD"/>
    <w:rsid w:val="006851BB"/>
    <w:rsid w:val="00687441"/>
    <w:rsid w:val="0069636D"/>
    <w:rsid w:val="00696F2D"/>
    <w:rsid w:val="006A7719"/>
    <w:rsid w:val="006B1155"/>
    <w:rsid w:val="006B4A3C"/>
    <w:rsid w:val="006B6DFE"/>
    <w:rsid w:val="006C15B1"/>
    <w:rsid w:val="006C7011"/>
    <w:rsid w:val="006D0B01"/>
    <w:rsid w:val="006D0D97"/>
    <w:rsid w:val="006D17DE"/>
    <w:rsid w:val="006D2161"/>
    <w:rsid w:val="006D384D"/>
    <w:rsid w:val="006D50B1"/>
    <w:rsid w:val="006D7144"/>
    <w:rsid w:val="006D7247"/>
    <w:rsid w:val="006E3FCD"/>
    <w:rsid w:val="006E5026"/>
    <w:rsid w:val="006E70EA"/>
    <w:rsid w:val="006E7C6D"/>
    <w:rsid w:val="006F0C36"/>
    <w:rsid w:val="006F7C26"/>
    <w:rsid w:val="0070027B"/>
    <w:rsid w:val="00705B61"/>
    <w:rsid w:val="00707F81"/>
    <w:rsid w:val="00711F84"/>
    <w:rsid w:val="00712F2E"/>
    <w:rsid w:val="00720D83"/>
    <w:rsid w:val="00723802"/>
    <w:rsid w:val="00724C5D"/>
    <w:rsid w:val="00724F92"/>
    <w:rsid w:val="0073158B"/>
    <w:rsid w:val="007342D3"/>
    <w:rsid w:val="007369ED"/>
    <w:rsid w:val="0074104C"/>
    <w:rsid w:val="00743AE3"/>
    <w:rsid w:val="00745FFE"/>
    <w:rsid w:val="007471BD"/>
    <w:rsid w:val="00747870"/>
    <w:rsid w:val="007519C3"/>
    <w:rsid w:val="00756D14"/>
    <w:rsid w:val="00762B47"/>
    <w:rsid w:val="00766AB3"/>
    <w:rsid w:val="00772392"/>
    <w:rsid w:val="0077339E"/>
    <w:rsid w:val="00774437"/>
    <w:rsid w:val="00774790"/>
    <w:rsid w:val="00790363"/>
    <w:rsid w:val="00793550"/>
    <w:rsid w:val="00793C2D"/>
    <w:rsid w:val="007A1F59"/>
    <w:rsid w:val="007B23CF"/>
    <w:rsid w:val="007C014A"/>
    <w:rsid w:val="007C4896"/>
    <w:rsid w:val="007C7BBD"/>
    <w:rsid w:val="007D0B07"/>
    <w:rsid w:val="007D1B26"/>
    <w:rsid w:val="007D3C78"/>
    <w:rsid w:val="007D5206"/>
    <w:rsid w:val="007E1066"/>
    <w:rsid w:val="007E1729"/>
    <w:rsid w:val="007E3997"/>
    <w:rsid w:val="007E6112"/>
    <w:rsid w:val="007F17BE"/>
    <w:rsid w:val="007F19E7"/>
    <w:rsid w:val="007F2F20"/>
    <w:rsid w:val="007F485B"/>
    <w:rsid w:val="007F4A31"/>
    <w:rsid w:val="00800225"/>
    <w:rsid w:val="00802D74"/>
    <w:rsid w:val="008053E6"/>
    <w:rsid w:val="008066E9"/>
    <w:rsid w:val="008071AA"/>
    <w:rsid w:val="00815539"/>
    <w:rsid w:val="008159D7"/>
    <w:rsid w:val="00820EAD"/>
    <w:rsid w:val="00821108"/>
    <w:rsid w:val="00821A9F"/>
    <w:rsid w:val="00822EA5"/>
    <w:rsid w:val="008266A2"/>
    <w:rsid w:val="008274BE"/>
    <w:rsid w:val="008309BB"/>
    <w:rsid w:val="00831AAC"/>
    <w:rsid w:val="00832199"/>
    <w:rsid w:val="00832B0F"/>
    <w:rsid w:val="00835DB1"/>
    <w:rsid w:val="008417FA"/>
    <w:rsid w:val="008421AE"/>
    <w:rsid w:val="00844E6F"/>
    <w:rsid w:val="00846229"/>
    <w:rsid w:val="008471C6"/>
    <w:rsid w:val="00847F9B"/>
    <w:rsid w:val="008511DA"/>
    <w:rsid w:val="00851272"/>
    <w:rsid w:val="008606DB"/>
    <w:rsid w:val="0086394A"/>
    <w:rsid w:val="00876024"/>
    <w:rsid w:val="00876ECA"/>
    <w:rsid w:val="00881C47"/>
    <w:rsid w:val="00882937"/>
    <w:rsid w:val="008829B3"/>
    <w:rsid w:val="008834D1"/>
    <w:rsid w:val="00890973"/>
    <w:rsid w:val="0089397B"/>
    <w:rsid w:val="00893C16"/>
    <w:rsid w:val="008954BA"/>
    <w:rsid w:val="008960B7"/>
    <w:rsid w:val="008A68F7"/>
    <w:rsid w:val="008B22D1"/>
    <w:rsid w:val="008B297D"/>
    <w:rsid w:val="008B3ADB"/>
    <w:rsid w:val="008C1921"/>
    <w:rsid w:val="008C33AC"/>
    <w:rsid w:val="008C3EA6"/>
    <w:rsid w:val="008C5E2C"/>
    <w:rsid w:val="008C7C68"/>
    <w:rsid w:val="008D354F"/>
    <w:rsid w:val="008D406A"/>
    <w:rsid w:val="008D7DAC"/>
    <w:rsid w:val="008F7FD6"/>
    <w:rsid w:val="00900277"/>
    <w:rsid w:val="00902134"/>
    <w:rsid w:val="009033C8"/>
    <w:rsid w:val="00903F0A"/>
    <w:rsid w:val="009045DF"/>
    <w:rsid w:val="00904FCD"/>
    <w:rsid w:val="00905BF4"/>
    <w:rsid w:val="00911284"/>
    <w:rsid w:val="009124AC"/>
    <w:rsid w:val="00913D66"/>
    <w:rsid w:val="009445F5"/>
    <w:rsid w:val="00944E30"/>
    <w:rsid w:val="00946B0B"/>
    <w:rsid w:val="00947899"/>
    <w:rsid w:val="00953031"/>
    <w:rsid w:val="00954E33"/>
    <w:rsid w:val="00960050"/>
    <w:rsid w:val="00967790"/>
    <w:rsid w:val="00971465"/>
    <w:rsid w:val="00974B47"/>
    <w:rsid w:val="00977623"/>
    <w:rsid w:val="00977742"/>
    <w:rsid w:val="00985F10"/>
    <w:rsid w:val="00987F78"/>
    <w:rsid w:val="009A343E"/>
    <w:rsid w:val="009A34FC"/>
    <w:rsid w:val="009A4B54"/>
    <w:rsid w:val="009A52EA"/>
    <w:rsid w:val="009A6032"/>
    <w:rsid w:val="009A641A"/>
    <w:rsid w:val="009B31CD"/>
    <w:rsid w:val="009B3863"/>
    <w:rsid w:val="009C410A"/>
    <w:rsid w:val="009D4B81"/>
    <w:rsid w:val="009D785C"/>
    <w:rsid w:val="009E1F01"/>
    <w:rsid w:val="009E310D"/>
    <w:rsid w:val="009F0A16"/>
    <w:rsid w:val="009F144E"/>
    <w:rsid w:val="009F2B44"/>
    <w:rsid w:val="00A06E35"/>
    <w:rsid w:val="00A07576"/>
    <w:rsid w:val="00A075E0"/>
    <w:rsid w:val="00A1549F"/>
    <w:rsid w:val="00A208A1"/>
    <w:rsid w:val="00A220FE"/>
    <w:rsid w:val="00A247BA"/>
    <w:rsid w:val="00A35B4C"/>
    <w:rsid w:val="00A42C4C"/>
    <w:rsid w:val="00A4773F"/>
    <w:rsid w:val="00A53F77"/>
    <w:rsid w:val="00A576C4"/>
    <w:rsid w:val="00A62B29"/>
    <w:rsid w:val="00A62C15"/>
    <w:rsid w:val="00A638D6"/>
    <w:rsid w:val="00A64769"/>
    <w:rsid w:val="00A64926"/>
    <w:rsid w:val="00A655EC"/>
    <w:rsid w:val="00A7196F"/>
    <w:rsid w:val="00A71BEF"/>
    <w:rsid w:val="00A809EE"/>
    <w:rsid w:val="00A80B60"/>
    <w:rsid w:val="00A822B6"/>
    <w:rsid w:val="00A831BC"/>
    <w:rsid w:val="00A83500"/>
    <w:rsid w:val="00A905F8"/>
    <w:rsid w:val="00A94790"/>
    <w:rsid w:val="00A94D1A"/>
    <w:rsid w:val="00A95E70"/>
    <w:rsid w:val="00A96208"/>
    <w:rsid w:val="00AA312A"/>
    <w:rsid w:val="00AA3497"/>
    <w:rsid w:val="00AC009C"/>
    <w:rsid w:val="00AD1877"/>
    <w:rsid w:val="00AD1D8E"/>
    <w:rsid w:val="00AD6508"/>
    <w:rsid w:val="00AE655E"/>
    <w:rsid w:val="00AE7B5D"/>
    <w:rsid w:val="00AF3F23"/>
    <w:rsid w:val="00B052C1"/>
    <w:rsid w:val="00B127A2"/>
    <w:rsid w:val="00B14731"/>
    <w:rsid w:val="00B23CB9"/>
    <w:rsid w:val="00B25866"/>
    <w:rsid w:val="00B262C2"/>
    <w:rsid w:val="00B3391F"/>
    <w:rsid w:val="00B5104D"/>
    <w:rsid w:val="00B669AF"/>
    <w:rsid w:val="00B74069"/>
    <w:rsid w:val="00B82CAC"/>
    <w:rsid w:val="00B82D2D"/>
    <w:rsid w:val="00B86ABC"/>
    <w:rsid w:val="00B874BD"/>
    <w:rsid w:val="00B932C6"/>
    <w:rsid w:val="00BB0478"/>
    <w:rsid w:val="00BB0F61"/>
    <w:rsid w:val="00BB4338"/>
    <w:rsid w:val="00BB55EB"/>
    <w:rsid w:val="00BB5732"/>
    <w:rsid w:val="00BC02A5"/>
    <w:rsid w:val="00BC03D5"/>
    <w:rsid w:val="00BD501F"/>
    <w:rsid w:val="00BD6546"/>
    <w:rsid w:val="00BD65E7"/>
    <w:rsid w:val="00BD71F0"/>
    <w:rsid w:val="00BE1760"/>
    <w:rsid w:val="00BF015C"/>
    <w:rsid w:val="00BF29A7"/>
    <w:rsid w:val="00BF3323"/>
    <w:rsid w:val="00C1524C"/>
    <w:rsid w:val="00C165A3"/>
    <w:rsid w:val="00C17C82"/>
    <w:rsid w:val="00C20169"/>
    <w:rsid w:val="00C2131E"/>
    <w:rsid w:val="00C22C13"/>
    <w:rsid w:val="00C236FE"/>
    <w:rsid w:val="00C25AC7"/>
    <w:rsid w:val="00C2699B"/>
    <w:rsid w:val="00C33E58"/>
    <w:rsid w:val="00C344BE"/>
    <w:rsid w:val="00C36C9C"/>
    <w:rsid w:val="00C450AB"/>
    <w:rsid w:val="00C472DF"/>
    <w:rsid w:val="00C474E5"/>
    <w:rsid w:val="00C5395D"/>
    <w:rsid w:val="00C55970"/>
    <w:rsid w:val="00C6110F"/>
    <w:rsid w:val="00C65929"/>
    <w:rsid w:val="00C66464"/>
    <w:rsid w:val="00C74B38"/>
    <w:rsid w:val="00C81CEF"/>
    <w:rsid w:val="00C8402F"/>
    <w:rsid w:val="00C94192"/>
    <w:rsid w:val="00CA1B6A"/>
    <w:rsid w:val="00CA3880"/>
    <w:rsid w:val="00CA41DB"/>
    <w:rsid w:val="00CA4F44"/>
    <w:rsid w:val="00CA5743"/>
    <w:rsid w:val="00CA73CD"/>
    <w:rsid w:val="00CC072C"/>
    <w:rsid w:val="00CC1DD4"/>
    <w:rsid w:val="00CC77B1"/>
    <w:rsid w:val="00CC7C14"/>
    <w:rsid w:val="00CD1B65"/>
    <w:rsid w:val="00CD428C"/>
    <w:rsid w:val="00CD43C3"/>
    <w:rsid w:val="00CD5820"/>
    <w:rsid w:val="00CD5FFC"/>
    <w:rsid w:val="00CD6FC3"/>
    <w:rsid w:val="00CD765D"/>
    <w:rsid w:val="00CD7B1D"/>
    <w:rsid w:val="00CE01A7"/>
    <w:rsid w:val="00CE5F5B"/>
    <w:rsid w:val="00CE62B6"/>
    <w:rsid w:val="00CF0C81"/>
    <w:rsid w:val="00CF3E58"/>
    <w:rsid w:val="00D0579A"/>
    <w:rsid w:val="00D16100"/>
    <w:rsid w:val="00D179C5"/>
    <w:rsid w:val="00D26931"/>
    <w:rsid w:val="00D27829"/>
    <w:rsid w:val="00D27E18"/>
    <w:rsid w:val="00D329A2"/>
    <w:rsid w:val="00D335D2"/>
    <w:rsid w:val="00D34EE9"/>
    <w:rsid w:val="00D353F2"/>
    <w:rsid w:val="00D41521"/>
    <w:rsid w:val="00D42C5C"/>
    <w:rsid w:val="00D5273E"/>
    <w:rsid w:val="00D560C0"/>
    <w:rsid w:val="00D620E2"/>
    <w:rsid w:val="00D62B3B"/>
    <w:rsid w:val="00D641B0"/>
    <w:rsid w:val="00D64325"/>
    <w:rsid w:val="00D71E3C"/>
    <w:rsid w:val="00D80599"/>
    <w:rsid w:val="00D8247F"/>
    <w:rsid w:val="00D83EBD"/>
    <w:rsid w:val="00D8490E"/>
    <w:rsid w:val="00D84CA7"/>
    <w:rsid w:val="00D91F92"/>
    <w:rsid w:val="00D94BDD"/>
    <w:rsid w:val="00D968B8"/>
    <w:rsid w:val="00DA0A5C"/>
    <w:rsid w:val="00DA1CDA"/>
    <w:rsid w:val="00DA43EA"/>
    <w:rsid w:val="00DA4C02"/>
    <w:rsid w:val="00DB56A8"/>
    <w:rsid w:val="00DC273B"/>
    <w:rsid w:val="00DC6413"/>
    <w:rsid w:val="00DD236E"/>
    <w:rsid w:val="00DD6B66"/>
    <w:rsid w:val="00DD71DF"/>
    <w:rsid w:val="00DD71FC"/>
    <w:rsid w:val="00DD7A4A"/>
    <w:rsid w:val="00DE30EE"/>
    <w:rsid w:val="00DE605C"/>
    <w:rsid w:val="00DF50F0"/>
    <w:rsid w:val="00E02CE6"/>
    <w:rsid w:val="00E1308D"/>
    <w:rsid w:val="00E1497E"/>
    <w:rsid w:val="00E16616"/>
    <w:rsid w:val="00E20530"/>
    <w:rsid w:val="00E2498B"/>
    <w:rsid w:val="00E26710"/>
    <w:rsid w:val="00E275BD"/>
    <w:rsid w:val="00E32449"/>
    <w:rsid w:val="00E33B7C"/>
    <w:rsid w:val="00E33CEB"/>
    <w:rsid w:val="00E34753"/>
    <w:rsid w:val="00E4232B"/>
    <w:rsid w:val="00E43F44"/>
    <w:rsid w:val="00E55945"/>
    <w:rsid w:val="00E56D4B"/>
    <w:rsid w:val="00E62557"/>
    <w:rsid w:val="00E73125"/>
    <w:rsid w:val="00E80280"/>
    <w:rsid w:val="00E805E8"/>
    <w:rsid w:val="00E912E2"/>
    <w:rsid w:val="00E91341"/>
    <w:rsid w:val="00E93670"/>
    <w:rsid w:val="00E972E5"/>
    <w:rsid w:val="00EA0B1E"/>
    <w:rsid w:val="00EA0FAB"/>
    <w:rsid w:val="00EA3618"/>
    <w:rsid w:val="00EB4B8B"/>
    <w:rsid w:val="00EC085F"/>
    <w:rsid w:val="00EC08FC"/>
    <w:rsid w:val="00EC366B"/>
    <w:rsid w:val="00ED195C"/>
    <w:rsid w:val="00ED314B"/>
    <w:rsid w:val="00ED363E"/>
    <w:rsid w:val="00ED3F6F"/>
    <w:rsid w:val="00ED4262"/>
    <w:rsid w:val="00ED44BA"/>
    <w:rsid w:val="00EE2D87"/>
    <w:rsid w:val="00EE4729"/>
    <w:rsid w:val="00EF04E2"/>
    <w:rsid w:val="00EF055B"/>
    <w:rsid w:val="00F00B71"/>
    <w:rsid w:val="00F00B95"/>
    <w:rsid w:val="00F06B02"/>
    <w:rsid w:val="00F06E28"/>
    <w:rsid w:val="00F077EC"/>
    <w:rsid w:val="00F10DB8"/>
    <w:rsid w:val="00F13B43"/>
    <w:rsid w:val="00F17AA9"/>
    <w:rsid w:val="00F24356"/>
    <w:rsid w:val="00F26424"/>
    <w:rsid w:val="00F275E8"/>
    <w:rsid w:val="00F30B40"/>
    <w:rsid w:val="00F3209D"/>
    <w:rsid w:val="00F32374"/>
    <w:rsid w:val="00F4224C"/>
    <w:rsid w:val="00F43A28"/>
    <w:rsid w:val="00F535AD"/>
    <w:rsid w:val="00F542EB"/>
    <w:rsid w:val="00F61319"/>
    <w:rsid w:val="00F635E9"/>
    <w:rsid w:val="00F75D21"/>
    <w:rsid w:val="00F76D80"/>
    <w:rsid w:val="00F77965"/>
    <w:rsid w:val="00F80544"/>
    <w:rsid w:val="00F81814"/>
    <w:rsid w:val="00F84B0D"/>
    <w:rsid w:val="00F856FB"/>
    <w:rsid w:val="00FA1A51"/>
    <w:rsid w:val="00FA4B6A"/>
    <w:rsid w:val="00FA569D"/>
    <w:rsid w:val="00FA5BF3"/>
    <w:rsid w:val="00FA765E"/>
    <w:rsid w:val="00FB270A"/>
    <w:rsid w:val="00FC155B"/>
    <w:rsid w:val="00FC41DD"/>
    <w:rsid w:val="00FC50E7"/>
    <w:rsid w:val="00FC6E10"/>
    <w:rsid w:val="00FD230D"/>
    <w:rsid w:val="00FD483C"/>
    <w:rsid w:val="00FD66CB"/>
    <w:rsid w:val="00FE13E9"/>
    <w:rsid w:val="00FF2711"/>
    <w:rsid w:val="00FF2BF8"/>
    <w:rsid w:val="00FF3169"/>
    <w:rsid w:val="00FF72F4"/>
    <w:rsid w:val="00FF79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AEB976-0381-4326-A674-1A5ECB15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46"/>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D654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245E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D6546"/>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4F3208"/>
    <w:rPr>
      <w:rFonts w:ascii="Lucida Grande" w:hAnsi="Lucida Grande"/>
      <w:sz w:val="18"/>
      <w:szCs w:val="18"/>
    </w:rPr>
  </w:style>
  <w:style w:type="character" w:customStyle="1" w:styleId="BalloonTextChar0">
    <w:name w:val="Balloon Text Char"/>
    <w:basedOn w:val="DefaultParagraphFont"/>
    <w:uiPriority w:val="99"/>
    <w:semiHidden/>
    <w:rsid w:val="001D127F"/>
    <w:rPr>
      <w:rFonts w:ascii="Lucida Grande" w:hAnsi="Lucida Grande"/>
      <w:sz w:val="18"/>
      <w:szCs w:val="18"/>
    </w:rPr>
  </w:style>
  <w:style w:type="character" w:customStyle="1" w:styleId="BalloonTextChar2">
    <w:name w:val="Balloon Text Char"/>
    <w:basedOn w:val="DefaultParagraphFont"/>
    <w:uiPriority w:val="99"/>
    <w:semiHidden/>
    <w:rsid w:val="00423C64"/>
    <w:rPr>
      <w:rFonts w:ascii="Lucida Grande" w:hAnsi="Lucida Grande"/>
      <w:sz w:val="18"/>
      <w:szCs w:val="18"/>
    </w:rPr>
  </w:style>
  <w:style w:type="character" w:customStyle="1" w:styleId="BalloonTextChar3">
    <w:name w:val="Balloon Text Char"/>
    <w:basedOn w:val="DefaultParagraphFont"/>
    <w:uiPriority w:val="99"/>
    <w:semiHidden/>
    <w:rsid w:val="009531FF"/>
    <w:rPr>
      <w:rFonts w:ascii="Lucida Grande" w:hAnsi="Lucida Grande"/>
      <w:sz w:val="18"/>
      <w:szCs w:val="18"/>
    </w:rPr>
  </w:style>
  <w:style w:type="character" w:customStyle="1" w:styleId="BalloonTextChar4">
    <w:name w:val="Balloon Text Char"/>
    <w:basedOn w:val="DefaultParagraphFont"/>
    <w:uiPriority w:val="99"/>
    <w:semiHidden/>
    <w:rsid w:val="00633FB2"/>
    <w:rPr>
      <w:rFonts w:ascii="Lucida Grande" w:hAnsi="Lucida Grande"/>
      <w:sz w:val="18"/>
      <w:szCs w:val="18"/>
    </w:rPr>
  </w:style>
  <w:style w:type="paragraph" w:styleId="ListParagraph">
    <w:name w:val="List Paragraph"/>
    <w:basedOn w:val="Normal"/>
    <w:uiPriority w:val="34"/>
    <w:qFormat/>
    <w:rsid w:val="005F791C"/>
    <w:pPr>
      <w:ind w:left="720"/>
      <w:contextualSpacing/>
    </w:pPr>
  </w:style>
  <w:style w:type="table" w:styleId="TableGrid">
    <w:name w:val="Table Grid"/>
    <w:basedOn w:val="TableNormal"/>
    <w:uiPriority w:val="59"/>
    <w:rsid w:val="008862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9A50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A5060"/>
    <w:rPr>
      <w:rFonts w:ascii="Consolas" w:hAnsi="Consolas" w:cs="Times New Roman"/>
      <w:sz w:val="21"/>
      <w:szCs w:val="21"/>
    </w:rPr>
  </w:style>
  <w:style w:type="paragraph" w:styleId="FootnoteText">
    <w:name w:val="footnote text"/>
    <w:basedOn w:val="Normal"/>
    <w:link w:val="FootnoteTextChar"/>
    <w:uiPriority w:val="99"/>
    <w:unhideWhenUsed/>
    <w:rsid w:val="00035248"/>
    <w:pPr>
      <w:spacing w:after="0" w:line="240" w:lineRule="auto"/>
    </w:pPr>
    <w:rPr>
      <w:sz w:val="20"/>
      <w:szCs w:val="20"/>
    </w:rPr>
  </w:style>
  <w:style w:type="character" w:customStyle="1" w:styleId="FootnoteTextChar">
    <w:name w:val="Footnote Text Char"/>
    <w:basedOn w:val="DefaultParagraphFont"/>
    <w:link w:val="FootnoteText"/>
    <w:uiPriority w:val="99"/>
    <w:rsid w:val="00035248"/>
    <w:rPr>
      <w:sz w:val="20"/>
      <w:szCs w:val="20"/>
    </w:rPr>
  </w:style>
  <w:style w:type="character" w:styleId="FootnoteReference">
    <w:name w:val="footnote reference"/>
    <w:basedOn w:val="DefaultParagraphFont"/>
    <w:uiPriority w:val="99"/>
    <w:semiHidden/>
    <w:unhideWhenUsed/>
    <w:rsid w:val="00035248"/>
    <w:rPr>
      <w:vertAlign w:val="superscript"/>
    </w:rPr>
  </w:style>
  <w:style w:type="character" w:styleId="Hyperlink">
    <w:name w:val="Hyperlink"/>
    <w:basedOn w:val="DefaultParagraphFont"/>
    <w:uiPriority w:val="99"/>
    <w:unhideWhenUsed/>
    <w:rsid w:val="00856B4F"/>
    <w:rPr>
      <w:color w:val="0000FF"/>
      <w:u w:val="single"/>
    </w:rPr>
  </w:style>
  <w:style w:type="character" w:styleId="FollowedHyperlink">
    <w:name w:val="FollowedHyperlink"/>
    <w:basedOn w:val="DefaultParagraphFont"/>
    <w:uiPriority w:val="99"/>
    <w:semiHidden/>
    <w:unhideWhenUsed/>
    <w:rsid w:val="001D04EB"/>
    <w:rPr>
      <w:color w:val="800080"/>
      <w:u w:val="single"/>
    </w:rPr>
  </w:style>
  <w:style w:type="character" w:customStyle="1" w:styleId="BalloonTextChar1">
    <w:name w:val="Balloon Text Char1"/>
    <w:basedOn w:val="DefaultParagraphFont"/>
    <w:link w:val="BalloonText"/>
    <w:uiPriority w:val="99"/>
    <w:semiHidden/>
    <w:rsid w:val="00BD6546"/>
    <w:rPr>
      <w:rFonts w:ascii="Tahoma" w:hAnsi="Tahoma" w:cs="Tahoma"/>
      <w:sz w:val="16"/>
      <w:szCs w:val="16"/>
      <w:lang w:val="en-US" w:eastAsia="en-US"/>
    </w:rPr>
  </w:style>
  <w:style w:type="table" w:customStyle="1" w:styleId="MediumShading21">
    <w:name w:val="Medium Shading 21"/>
    <w:basedOn w:val="TableNormal"/>
    <w:uiPriority w:val="64"/>
    <w:rsid w:val="00BD65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BD654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uiPriority w:val="60"/>
    <w:rsid w:val="00BD654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uiPriority w:val="9"/>
    <w:rsid w:val="00BD6546"/>
    <w:rPr>
      <w:rFonts w:ascii="Cambria" w:eastAsia="Times New Roman" w:hAnsi="Cambria" w:cs="Times New Roman"/>
      <w:b/>
      <w:bCs/>
      <w:kern w:val="32"/>
      <w:sz w:val="32"/>
      <w:szCs w:val="32"/>
      <w:lang w:val="en-US" w:eastAsia="en-US"/>
    </w:rPr>
  </w:style>
  <w:style w:type="paragraph" w:styleId="Title">
    <w:name w:val="Title"/>
    <w:basedOn w:val="Normal"/>
    <w:next w:val="Normal"/>
    <w:link w:val="TitleChar"/>
    <w:uiPriority w:val="10"/>
    <w:qFormat/>
    <w:rsid w:val="00BD654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BD6546"/>
    <w:rPr>
      <w:rFonts w:ascii="Cambria" w:eastAsia="Times New Roman" w:hAnsi="Cambria" w:cs="Times New Roman"/>
      <w:b/>
      <w:bCs/>
      <w:kern w:val="28"/>
      <w:sz w:val="32"/>
      <w:szCs w:val="32"/>
      <w:lang w:val="en-US" w:eastAsia="en-US"/>
    </w:rPr>
  </w:style>
  <w:style w:type="paragraph" w:styleId="Subtitle">
    <w:name w:val="Subtitle"/>
    <w:basedOn w:val="Normal"/>
    <w:next w:val="Normal"/>
    <w:link w:val="SubtitleChar"/>
    <w:uiPriority w:val="11"/>
    <w:qFormat/>
    <w:rsid w:val="00BD6546"/>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BD6546"/>
    <w:rPr>
      <w:rFonts w:ascii="Cambria" w:eastAsia="Times New Roman" w:hAnsi="Cambria" w:cs="Times New Roman"/>
      <w:sz w:val="24"/>
      <w:szCs w:val="24"/>
      <w:lang w:val="en-US" w:eastAsia="en-US"/>
    </w:rPr>
  </w:style>
  <w:style w:type="character" w:styleId="SubtleEmphasis">
    <w:name w:val="Subtle Emphasis"/>
    <w:basedOn w:val="DefaultParagraphFont"/>
    <w:uiPriority w:val="19"/>
    <w:qFormat/>
    <w:rsid w:val="00BD6546"/>
    <w:rPr>
      <w:i/>
      <w:iCs/>
      <w:color w:val="808080"/>
    </w:rPr>
  </w:style>
  <w:style w:type="character" w:styleId="Emphasis">
    <w:name w:val="Emphasis"/>
    <w:basedOn w:val="DefaultParagraphFont"/>
    <w:uiPriority w:val="20"/>
    <w:qFormat/>
    <w:rsid w:val="00BD6546"/>
    <w:rPr>
      <w:i/>
      <w:iCs/>
    </w:rPr>
  </w:style>
  <w:style w:type="paragraph" w:styleId="Quote">
    <w:name w:val="Quote"/>
    <w:basedOn w:val="Normal"/>
    <w:next w:val="Normal"/>
    <w:link w:val="QuoteChar"/>
    <w:uiPriority w:val="29"/>
    <w:qFormat/>
    <w:rsid w:val="00BD6546"/>
    <w:rPr>
      <w:i/>
      <w:iCs/>
      <w:color w:val="000000"/>
    </w:rPr>
  </w:style>
  <w:style w:type="character" w:customStyle="1" w:styleId="QuoteChar">
    <w:name w:val="Quote Char"/>
    <w:basedOn w:val="DefaultParagraphFont"/>
    <w:link w:val="Quote"/>
    <w:uiPriority w:val="29"/>
    <w:rsid w:val="00BD6546"/>
    <w:rPr>
      <w:i/>
      <w:iCs/>
      <w:color w:val="000000"/>
      <w:sz w:val="22"/>
      <w:szCs w:val="22"/>
      <w:lang w:val="en-US" w:eastAsia="en-US"/>
    </w:rPr>
  </w:style>
  <w:style w:type="character" w:styleId="IntenseEmphasis">
    <w:name w:val="Intense Emphasis"/>
    <w:basedOn w:val="DefaultParagraphFont"/>
    <w:uiPriority w:val="21"/>
    <w:qFormat/>
    <w:rsid w:val="00BD6546"/>
    <w:rPr>
      <w:b/>
      <w:bCs/>
      <w:i/>
      <w:iCs/>
      <w:color w:val="4F81BD"/>
    </w:rPr>
  </w:style>
  <w:style w:type="character" w:customStyle="1" w:styleId="Heading2Char">
    <w:name w:val="Heading 2 Char"/>
    <w:basedOn w:val="DefaultParagraphFont"/>
    <w:link w:val="Heading2"/>
    <w:uiPriority w:val="9"/>
    <w:rsid w:val="004245E1"/>
    <w:rPr>
      <w:rFonts w:ascii="Cambria" w:eastAsia="Times New Roman" w:hAnsi="Cambria" w:cs="Times New Roman"/>
      <w:b/>
      <w:bCs/>
      <w:i/>
      <w:iCs/>
      <w:sz w:val="28"/>
      <w:szCs w:val="28"/>
      <w:lang w:val="en-US" w:eastAsia="en-US"/>
    </w:rPr>
  </w:style>
  <w:style w:type="paragraph" w:styleId="Header">
    <w:name w:val="header"/>
    <w:basedOn w:val="Normal"/>
    <w:link w:val="HeaderChar"/>
    <w:uiPriority w:val="99"/>
    <w:semiHidden/>
    <w:unhideWhenUsed/>
    <w:rsid w:val="00CA5743"/>
    <w:pPr>
      <w:tabs>
        <w:tab w:val="center" w:pos="4536"/>
        <w:tab w:val="right" w:pos="9072"/>
      </w:tabs>
    </w:pPr>
  </w:style>
  <w:style w:type="character" w:customStyle="1" w:styleId="HeaderChar">
    <w:name w:val="Header Char"/>
    <w:basedOn w:val="DefaultParagraphFont"/>
    <w:link w:val="Header"/>
    <w:uiPriority w:val="99"/>
    <w:semiHidden/>
    <w:rsid w:val="00CA5743"/>
    <w:rPr>
      <w:sz w:val="22"/>
      <w:szCs w:val="22"/>
      <w:lang w:val="en-US" w:eastAsia="en-US"/>
    </w:rPr>
  </w:style>
  <w:style w:type="paragraph" w:styleId="Footer">
    <w:name w:val="footer"/>
    <w:basedOn w:val="Normal"/>
    <w:link w:val="FooterChar"/>
    <w:uiPriority w:val="99"/>
    <w:unhideWhenUsed/>
    <w:rsid w:val="00CA5743"/>
    <w:pPr>
      <w:tabs>
        <w:tab w:val="center" w:pos="4536"/>
        <w:tab w:val="right" w:pos="9072"/>
      </w:tabs>
    </w:pPr>
  </w:style>
  <w:style w:type="character" w:customStyle="1" w:styleId="FooterChar">
    <w:name w:val="Footer Char"/>
    <w:basedOn w:val="DefaultParagraphFont"/>
    <w:link w:val="Footer"/>
    <w:uiPriority w:val="99"/>
    <w:rsid w:val="00CA5743"/>
    <w:rPr>
      <w:sz w:val="22"/>
      <w:szCs w:val="22"/>
      <w:lang w:val="en-US" w:eastAsia="en-US"/>
    </w:rPr>
  </w:style>
  <w:style w:type="table" w:customStyle="1" w:styleId="LightShading-Accent11">
    <w:name w:val="Light Shading - Accent 11"/>
    <w:basedOn w:val="TableNormal"/>
    <w:uiPriority w:val="60"/>
    <w:rsid w:val="00642A5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5">
    <w:name w:val="Medium Shading 2 Accent 5"/>
    <w:basedOn w:val="TableNormal"/>
    <w:uiPriority w:val="64"/>
    <w:rsid w:val="002E7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E7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675DF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C2699B"/>
    <w:rPr>
      <w:sz w:val="18"/>
      <w:szCs w:val="18"/>
    </w:rPr>
  </w:style>
  <w:style w:type="paragraph" w:styleId="CommentText">
    <w:name w:val="annotation text"/>
    <w:basedOn w:val="Normal"/>
    <w:link w:val="CommentTextChar"/>
    <w:uiPriority w:val="99"/>
    <w:semiHidden/>
    <w:unhideWhenUsed/>
    <w:rsid w:val="00C2699B"/>
    <w:pPr>
      <w:spacing w:line="240" w:lineRule="auto"/>
    </w:pPr>
    <w:rPr>
      <w:sz w:val="24"/>
      <w:szCs w:val="24"/>
    </w:rPr>
  </w:style>
  <w:style w:type="character" w:customStyle="1" w:styleId="CommentTextChar">
    <w:name w:val="Comment Text Char"/>
    <w:basedOn w:val="DefaultParagraphFont"/>
    <w:link w:val="CommentText"/>
    <w:uiPriority w:val="99"/>
    <w:semiHidden/>
    <w:rsid w:val="00C2699B"/>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C2699B"/>
    <w:rPr>
      <w:b/>
      <w:bCs/>
      <w:sz w:val="20"/>
      <w:szCs w:val="20"/>
    </w:rPr>
  </w:style>
  <w:style w:type="character" w:customStyle="1" w:styleId="CommentSubjectChar">
    <w:name w:val="Comment Subject Char"/>
    <w:basedOn w:val="CommentTextChar"/>
    <w:link w:val="CommentSubject"/>
    <w:uiPriority w:val="99"/>
    <w:semiHidden/>
    <w:rsid w:val="00C2699B"/>
    <w:rPr>
      <w:b/>
      <w:bCs/>
      <w:sz w:val="24"/>
      <w:szCs w:val="24"/>
      <w:lang w:val="en-US" w:eastAsia="en-US"/>
    </w:rPr>
  </w:style>
  <w:style w:type="paragraph" w:customStyle="1" w:styleId="First">
    <w:name w:val="First"/>
    <w:basedOn w:val="Normal"/>
    <w:link w:val="FirstChar"/>
    <w:qFormat/>
    <w:rsid w:val="00D26931"/>
    <w:pPr>
      <w:spacing w:after="0" w:line="240" w:lineRule="auto"/>
      <w:contextualSpacing/>
    </w:pPr>
    <w:rPr>
      <w:rFonts w:asciiTheme="minorHAnsi" w:hAnsiTheme="minorHAnsi"/>
    </w:rPr>
  </w:style>
  <w:style w:type="paragraph" w:customStyle="1" w:styleId="Next">
    <w:name w:val="Next"/>
    <w:basedOn w:val="Normal"/>
    <w:link w:val="NextChar"/>
    <w:qFormat/>
    <w:rsid w:val="00D26931"/>
    <w:pPr>
      <w:spacing w:line="240" w:lineRule="auto"/>
      <w:ind w:firstLine="720"/>
      <w:contextualSpacing/>
    </w:pPr>
    <w:rPr>
      <w:rFonts w:asciiTheme="minorHAnsi" w:hAnsiTheme="minorHAnsi"/>
    </w:rPr>
  </w:style>
  <w:style w:type="character" w:customStyle="1" w:styleId="FirstChar">
    <w:name w:val="First Char"/>
    <w:basedOn w:val="DefaultParagraphFont"/>
    <w:link w:val="First"/>
    <w:rsid w:val="00D26931"/>
    <w:rPr>
      <w:rFonts w:asciiTheme="minorHAnsi" w:hAnsiTheme="minorHAnsi"/>
      <w:sz w:val="22"/>
      <w:szCs w:val="22"/>
      <w:lang w:val="en-US" w:eastAsia="en-US"/>
    </w:rPr>
  </w:style>
  <w:style w:type="character" w:customStyle="1" w:styleId="NextChar">
    <w:name w:val="Next Char"/>
    <w:basedOn w:val="DefaultParagraphFont"/>
    <w:link w:val="Next"/>
    <w:rsid w:val="00D26931"/>
    <w:rPr>
      <w:rFonts w:asciiTheme="minorHAnsi"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sr.keele.ac.uk/ele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EB1C-5B13-47D8-B256-F0EB9F3E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PS Draft Codebook</vt:lpstr>
    </vt:vector>
  </TitlesOfParts>
  <Company>PRIO</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Draft Codebook</dc:title>
  <dc:creator>visitor</dc:creator>
  <cp:lastModifiedBy>Tom Brailey</cp:lastModifiedBy>
  <cp:revision>7</cp:revision>
  <cp:lastPrinted>2015-01-12T10:45:00Z</cp:lastPrinted>
  <dcterms:created xsi:type="dcterms:W3CDTF">2015-02-12T20:59:00Z</dcterms:created>
  <dcterms:modified xsi:type="dcterms:W3CDTF">2019-07-03T01:22:00Z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719387</vt:lpwstr>
  </property>
  <property fmtid="{D5CDD505-2E9C-101B-9397-08002B2CF9AE}" pid="3" name="StyleId">
    <vt:lpwstr>http://www.zotero.org/styles/vancouver</vt:lpwstr>
  </property>
</Properties>
</file>