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 II – Full Structural Package</w:t>
      </w:r>
    </w:p>
    <w:p>
      <w:pPr>
        <w:pStyle w:val="Heading2"/>
      </w:pPr>
      <w:r>
        <w:t>SECTION 1 – Act II Mapping</w:t>
      </w:r>
    </w:p>
    <w:p>
      <w:r>
        <w:t>(Includes conceptual slot → chapter → line anchors → braid type)</w:t>
        <w:br/>
        <w:t>Refer to chat for detailed table.</w:t>
      </w:r>
    </w:p>
    <w:p>
      <w:pPr>
        <w:pStyle w:val="Heading2"/>
      </w:pPr>
      <w:r>
        <w:t>SECTION 2 – Act II Reconstructed Outline</w:t>
      </w:r>
    </w:p>
    <w:p>
      <w:r>
        <w:t>Full outline with synchronized braids and chapter titles.</w:t>
      </w:r>
    </w:p>
    <w:p>
      <w:pPr>
        <w:pStyle w:val="Heading2"/>
      </w:pPr>
      <w:r>
        <w:t>SECTION 3 – Act II Scripted Summary</w:t>
      </w:r>
    </w:p>
    <w:p>
      <w:r>
        <w:t>Scripted structural treatment based strictly on manuscript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