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Indianapolis Vernacular Master Reference — Professional Edition</w:t>
      </w:r>
    </w:p>
    <w:p>
      <w:pPr>
        <w:pStyle w:val="Heading2"/>
      </w:pPr>
      <w:r>
        <w:t>Section 1 — Indianapolis Vernacular Dictionary</w:t>
      </w:r>
    </w:p>
    <w:p>
      <w:r>
        <w:t>General Midwestern entries, AAVE entries used in Indianapolis, Naptown-specific slang, contextual usage notes, pronunciation notes, and register markers.</w:t>
      </w:r>
    </w:p>
    <w:p>
      <w:pPr>
        <w:pStyle w:val="Heading2"/>
      </w:pPr>
      <w:r>
        <w:t>Section 2 — Neighborhood Voice Profiles</w:t>
      </w:r>
    </w:p>
    <w:p>
      <w:r>
        <w:t>East Side, North Side, West Side, South Side, Downtown — linguistic features, vocabulary tendencies, pronunciation habits, code-switching patterns, typical registers, and speech rhythms.</w:t>
      </w:r>
    </w:p>
    <w:p>
      <w:pPr>
        <w:pStyle w:val="Heading2"/>
      </w:pPr>
      <w:r>
        <w:t>Section 3 — Character Speech Profiles</w:t>
      </w:r>
    </w:p>
    <w:p>
      <w:r>
        <w:t>Valentine, Johnari, Dakari, Hattie, Adah, The Bishop, Nettie, Dumûl-Kalla members — baseline dialect, modifiers, code-switch triggers, formal vs informal speech, emotional shifts, unique idioms.</w:t>
      </w:r>
    </w:p>
    <w:p>
      <w:pPr>
        <w:pStyle w:val="Heading2"/>
      </w:pPr>
      <w:r>
        <w:t>Section 4 — Dialogue Templates</w:t>
      </w:r>
    </w:p>
    <w:p>
      <w:r>
        <w:t>Everyday conversation templates, conflict templates, authority/subordinate templates, AAVE-form templates, inter-realm code-switching frameworks.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