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3A8A"/>
          <w:sz w:val="80"/>
          <w:szCs w:val="80"/>
        </w:rPr>
        <w:t xml:space="preserve">zivvo</w:t>
      </w:r>
    </w:p>
    <w:p>
      <w:pPr>
        <w:pBdr>
          <w:bottom w:val="single" w:color="1F3A8A" w:sz="18" w:space="4"/>
        </w:pBdr>
        <w:spacing w:after="40"/>
      </w:pPr>
      <w:r>
        <w:t xml:space="preserve"/>
      </w:r>
    </w:p>
    <w:p>
      <w:pPr>
        <w:spacing w:after="0" w:before="280"/>
      </w:pPr>
      <w:r>
        <w:rPr>
          <w:b/>
          <w:bCs/>
          <w:color w:val="1A1A2E"/>
          <w:sz w:val="38"/>
          <w:szCs w:val="38"/>
        </w:rPr>
        <w:t xml:space="preserve">Strategic Review, Unit Economics &amp; Delivery Roadmap</w:t>
      </w:r>
    </w:p>
    <w:p>
      <w:pPr>
        <w:spacing w:after="0" w:before="160"/>
      </w:pPr>
      <w:r>
        <w:rPr>
          <w:i/>
          <w:iCs/>
          <w:color w:val="5C5C6B"/>
          <w:sz w:val="23"/>
          <w:szCs w:val="23"/>
        </w:rPr>
        <w:t xml:space="preserve">An assessment of the Zivvo research dossier, an evaluation of the model’s unit economics on Australian rates, a red-team of its three highest-risk assumptions, and a staged plan to reach a launch-ready MVP.</w:t>
      </w:r>
    </w:p>
    <w:p>
      <w:pPr>
        <w:spacing w:after="900"/>
      </w:pPr>
      <w:r>
        <w:t xml:space="preserve"/>
      </w:r>
    </w:p>
    <w:tbl>
      <w:tblPr>
        <w:tblW w:type="dxa" w:w="9360"/>
        <w:tblBorders>
          <w:top w:val="none"/>
          <w:left w:val="none"/>
          <w:bottom w:val="none"/>
          <w:right w:val="none"/>
          <w:insideH w:val="single" w:color="D5D5DE" w:sz="2"/>
          <w:insideV w:val="none"/>
        </w:tblBorders>
      </w:tblPr>
      <w:tblGrid>
        <w:gridCol w:w="2400"/>
        <w:gridCol w:w="6960"/>
      </w:tblGrid>
      <w:tr>
        <w:tc>
          <w:tcPr>
            <w:tcW w:type="dxa" w:w="2400"/>
            <w:tcMar>
              <w:top w:type="dxa" w:w="70"/>
              <w:left w:type="dxa" w:w="110"/>
              <w:bottom w:type="dxa" w:w="70"/>
              <w:right w:type="dxa" w:w="110"/>
            </w:tcMar>
          </w:tcPr>
          <w:p>
            <w:pPr>
              <w:spacing w:after="0" w:line="264"/>
            </w:pPr>
            <w:r>
              <w:rPr>
                <w:b/>
                <w:bCs/>
                <w:color w:val="1F3A8A"/>
                <w:sz w:val="19"/>
                <w:szCs w:val="19"/>
              </w:rPr>
              <w:t xml:space="preserve">Subject</w:t>
            </w:r>
          </w:p>
        </w:tc>
        <w:tc>
          <w:tcPr>
            <w:tcW w:type="dxa" w:w="6960"/>
            <w:tcMar>
              <w:top w:type="dxa" w:w="70"/>
              <w:left w:type="dxa" w:w="110"/>
              <w:bottom w:type="dxa" w:w="70"/>
              <w:right w:type="dxa" w:w="110"/>
            </w:tcMar>
          </w:tcPr>
          <w:p>
            <w:pPr>
              <w:spacing w:after="0" w:line="264"/>
            </w:pPr>
            <w:r>
              <w:rPr>
                <w:b w:val="false"/>
                <w:bCs w:val="false"/>
                <w:color w:val="1A1A2E"/>
                <w:sz w:val="19"/>
                <w:szCs w:val="19"/>
              </w:rPr>
              <w:t xml:space="preserve">Zivvo — off-peak yield marketplace for leisure</w:t>
            </w:r>
          </w:p>
        </w:tc>
      </w:tr>
      <w:tr>
        <w:tc>
          <w:tcPr>
            <w:tcW w:type="dxa" w:w="2400"/>
            <w:tcMar>
              <w:top w:type="dxa" w:w="70"/>
              <w:left w:type="dxa" w:w="110"/>
              <w:bottom w:type="dxa" w:w="70"/>
              <w:right w:type="dxa" w:w="110"/>
            </w:tcMar>
          </w:tcPr>
          <w:p>
            <w:pPr>
              <w:spacing w:after="0" w:line="264"/>
            </w:pPr>
            <w:r>
              <w:rPr>
                <w:b/>
                <w:bCs/>
                <w:color w:val="1F3A8A"/>
                <w:sz w:val="19"/>
                <w:szCs w:val="19"/>
              </w:rPr>
              <w:t xml:space="preserve">Source dossier</w:t>
            </w:r>
          </w:p>
        </w:tc>
        <w:tc>
          <w:tcPr>
            <w:tcW w:type="dxa" w:w="6960"/>
            <w:tcMar>
              <w:top w:type="dxa" w:w="70"/>
              <w:left w:type="dxa" w:w="110"/>
              <w:bottom w:type="dxa" w:w="70"/>
              <w:right w:type="dxa" w:w="110"/>
            </w:tcMar>
          </w:tcPr>
          <w:p>
            <w:pPr>
              <w:spacing w:after="0" w:line="264"/>
            </w:pPr>
            <w:r>
              <w:rPr>
                <w:b w:val="false"/>
                <w:bCs w:val="false"/>
                <w:color w:val="1A1A2E"/>
                <w:sz w:val="19"/>
                <w:szCs w:val="19"/>
              </w:rPr>
              <w:t xml:space="preserve">zivvo-research, authored by Pulkit (compiled 25 June 2026)</w:t>
            </w:r>
          </w:p>
        </w:tc>
      </w:tr>
      <w:tr>
        <w:tc>
          <w:tcPr>
            <w:tcW w:type="dxa" w:w="2400"/>
            <w:tcMar>
              <w:top w:type="dxa" w:w="70"/>
              <w:left w:type="dxa" w:w="110"/>
              <w:bottom w:type="dxa" w:w="70"/>
              <w:right w:type="dxa" w:w="110"/>
            </w:tcMar>
          </w:tcPr>
          <w:p>
            <w:pPr>
              <w:spacing w:after="0" w:line="264"/>
            </w:pPr>
            <w:r>
              <w:rPr>
                <w:b/>
                <w:bCs/>
                <w:color w:val="1F3A8A"/>
                <w:sz w:val="19"/>
                <w:szCs w:val="19"/>
              </w:rPr>
              <w:t xml:space="preserve">Launch market</w:t>
            </w:r>
          </w:p>
        </w:tc>
        <w:tc>
          <w:tcPr>
            <w:tcW w:type="dxa" w:w="6960"/>
            <w:tcMar>
              <w:top w:type="dxa" w:w="70"/>
              <w:left w:type="dxa" w:w="110"/>
              <w:bottom w:type="dxa" w:w="70"/>
              <w:right w:type="dxa" w:w="110"/>
            </w:tcMar>
          </w:tcPr>
          <w:p>
            <w:pPr>
              <w:spacing w:after="0" w:line="264"/>
            </w:pPr>
            <w:r>
              <w:rPr>
                <w:b w:val="false"/>
                <w:bCs w:val="false"/>
                <w:color w:val="1A1A2E"/>
                <w:sz w:val="19"/>
                <w:szCs w:val="19"/>
              </w:rPr>
              <w:t xml:space="preserve">Melbourne, Australia</w:t>
            </w:r>
          </w:p>
        </w:tc>
      </w:tr>
      <w:tr>
        <w:tc>
          <w:tcPr>
            <w:tcW w:type="dxa" w:w="2400"/>
            <w:tcMar>
              <w:top w:type="dxa" w:w="70"/>
              <w:left w:type="dxa" w:w="110"/>
              <w:bottom w:type="dxa" w:w="70"/>
              <w:right w:type="dxa" w:w="110"/>
            </w:tcMar>
          </w:tcPr>
          <w:p>
            <w:pPr>
              <w:spacing w:after="0" w:line="264"/>
            </w:pPr>
            <w:r>
              <w:rPr>
                <w:b/>
                <w:bCs/>
                <w:color w:val="1F3A8A"/>
                <w:sz w:val="19"/>
                <w:szCs w:val="19"/>
              </w:rPr>
              <w:t xml:space="preserve">Prepared by</w:t>
            </w:r>
          </w:p>
        </w:tc>
        <w:tc>
          <w:tcPr>
            <w:tcW w:type="dxa" w:w="6960"/>
            <w:tcMar>
              <w:top w:type="dxa" w:w="70"/>
              <w:left w:type="dxa" w:w="110"/>
              <w:bottom w:type="dxa" w:w="70"/>
              <w:right w:type="dxa" w:w="110"/>
            </w:tcMar>
          </w:tcPr>
          <w:p>
            <w:pPr>
              <w:spacing w:after="0" w:line="264"/>
            </w:pPr>
            <w:r>
              <w:rPr>
                <w:b w:val="false"/>
                <w:bCs w:val="false"/>
                <w:color w:val="1A1A2E"/>
                <w:sz w:val="19"/>
                <w:szCs w:val="19"/>
              </w:rPr>
              <w:t xml:space="preserve">Tommy</w:t>
            </w:r>
          </w:p>
        </w:tc>
      </w:tr>
      <w:tr>
        <w:tc>
          <w:tcPr>
            <w:tcW w:type="dxa" w:w="2400"/>
            <w:tcMar>
              <w:top w:type="dxa" w:w="70"/>
              <w:left w:type="dxa" w:w="110"/>
              <w:bottom w:type="dxa" w:w="70"/>
              <w:right w:type="dxa" w:w="110"/>
            </w:tcMar>
          </w:tcPr>
          <w:p>
            <w:pPr>
              <w:spacing w:after="0" w:line="264"/>
            </w:pPr>
            <w:r>
              <w:rPr>
                <w:b/>
                <w:bCs/>
                <w:color w:val="1F3A8A"/>
                <w:sz w:val="19"/>
                <w:szCs w:val="19"/>
              </w:rPr>
              <w:t xml:space="preserve">Date</w:t>
            </w:r>
          </w:p>
        </w:tc>
        <w:tc>
          <w:tcPr>
            <w:tcW w:type="dxa" w:w="6960"/>
            <w:tcMar>
              <w:top w:type="dxa" w:w="70"/>
              <w:left w:type="dxa" w:w="110"/>
              <w:bottom w:type="dxa" w:w="70"/>
              <w:right w:type="dxa" w:w="110"/>
            </w:tcMar>
          </w:tcPr>
          <w:p>
            <w:pPr>
              <w:spacing w:after="0" w:line="264"/>
            </w:pPr>
            <w:r>
              <w:rPr>
                <w:b w:val="false"/>
                <w:bCs w:val="false"/>
                <w:color w:val="1A1A2E"/>
                <w:sz w:val="19"/>
                <w:szCs w:val="19"/>
              </w:rPr>
              <w:t xml:space="preserve">27 June 2026</w:t>
            </w:r>
          </w:p>
        </w:tc>
      </w:tr>
      <w:tr>
        <w:tc>
          <w:tcPr>
            <w:tcW w:type="dxa" w:w="2400"/>
            <w:tcMar>
              <w:top w:type="dxa" w:w="70"/>
              <w:left w:type="dxa" w:w="110"/>
              <w:bottom w:type="dxa" w:w="70"/>
              <w:right w:type="dxa" w:w="110"/>
            </w:tcMar>
          </w:tcPr>
          <w:p>
            <w:pPr>
              <w:spacing w:after="0" w:line="264"/>
            </w:pPr>
            <w:r>
              <w:rPr>
                <w:b/>
                <w:bCs/>
                <w:color w:val="1F3A8A"/>
                <w:sz w:val="19"/>
                <w:szCs w:val="19"/>
              </w:rPr>
              <w:t xml:space="preserve">Status</w:t>
            </w:r>
          </w:p>
        </w:tc>
        <w:tc>
          <w:tcPr>
            <w:tcW w:type="dxa" w:w="6960"/>
            <w:tcMar>
              <w:top w:type="dxa" w:w="70"/>
              <w:left w:type="dxa" w:w="110"/>
              <w:bottom w:type="dxa" w:w="70"/>
              <w:right w:type="dxa" w:w="110"/>
            </w:tcMar>
          </w:tcPr>
          <w:p>
            <w:pPr>
              <w:spacing w:after="0" w:line="264"/>
            </w:pPr>
            <w:r>
              <w:rPr>
                <w:b w:val="false"/>
                <w:bCs w:val="false"/>
                <w:color w:val="1A1A2E"/>
                <w:sz w:val="19"/>
                <w:szCs w:val="19"/>
              </w:rPr>
              <w:t xml:space="preserve">Confidential working draft for review</w:t>
            </w:r>
          </w:p>
        </w:tc>
      </w:tr>
    </w:tbl>
    <w:p>
      <w:r>
        <w:br w:type="page"/>
      </w:r>
    </w:p>
    <w:p>
      <w:pPr>
        <w:pStyle w:val="Heading1"/>
      </w:pPr>
      <w:r>
        <w:t xml:space="preserve">Contents</w:t>
      </w:r>
    </w:p>
    <w:p>
      <w:pPr>
        <w:spacing w:after="200"/>
      </w:pPr>
      <w:r>
        <w:rPr>
          <w:sz w:val="8"/>
          <w:szCs w:val="8"/>
        </w:rPr>
        <w:t xml:space="preserve"/>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Executive summary</w:t>
      </w:r>
    </w:p>
    <w:p>
      <w:pPr>
        <w:spacing w:after="140" w:line="278"/>
      </w:pPr>
      <w:r>
        <w:t xml:space="preserve">The Zivvo dossier presents a well-constructed case for an off-peak yield marketplace serving the leisure-and-entertainment sector — applying EatClub’s airline-style capacity-pricing model to bowling lanes, escape rooms, karting tracks and similar venues whose spare capacity is highly perishable. The thesis is sound, the competitive analysis is the document’s strongest element, and the proposed booking architecture is technically credible.</w:t>
      </w:r>
    </w:p>
    <w:p>
      <w:pPr>
        <w:spacing w:after="140" w:line="278"/>
      </w:pPr>
      <w:r>
        <w:t xml:space="preserve">This review reaches three conclusions:</w:t>
      </w:r>
    </w:p>
    <w:p>
      <w:pPr>
        <w:pStyle w:val="ListParagraph"/>
        <w:numPr>
          <w:ilvl w:val="0"/>
          <w:numId w:val="2"/>
        </w:numPr>
        <w:spacing w:after="100" w:line="272"/>
      </w:pPr>
      <w:r>
        <w:rPr>
          <w:b/>
          <w:bCs/>
        </w:rPr>
        <w:t xml:space="preserve">The concept is worth pursuing, </w:t>
      </w:r>
      <w:r>
        <w:t xml:space="preserve">and the dossier is a strong foundation. The core insight — that leisure capacity is more perishable and higher-fixed-cost than a restaurant table, making each off-peak booking close to pure incremental margin — is correct and well-evidenced.</w:t>
      </w:r>
    </w:p>
    <w:p>
      <w:pPr>
        <w:pStyle w:val="ListParagraph"/>
        <w:numPr>
          <w:ilvl w:val="0"/>
          <w:numId w:val="2"/>
        </w:numPr>
        <w:spacing w:after="100" w:line="272"/>
      </w:pPr>
      <w:r>
        <w:rPr>
          <w:b/>
          <w:bCs/>
        </w:rPr>
        <w:t xml:space="preserve">Five issues should be resolved before development begins, </w:t>
      </w:r>
      <w:r>
        <w:t xml:space="preserve">two of which are material. The Zivvo Card (a virtual-card cashback mechanism) introduces fintech complexity that is not required to validate demand and should be deferred. A contradiction between the stated “no-QR” redemption principle and the QR-based app mockups must be resolved before further design work proceeds.</w:t>
      </w:r>
    </w:p>
    <w:p>
      <w:pPr>
        <w:pStyle w:val="ListParagraph"/>
        <w:numPr>
          <w:ilvl w:val="0"/>
          <w:numId w:val="2"/>
        </w:numPr>
        <w:spacing w:after="100" w:line="272"/>
      </w:pPr>
      <w:r>
        <w:rPr>
          <w:b/>
          <w:bCs/>
        </w:rPr>
        <w:t xml:space="preserve">The unit economics are viable but margin-sensitive. </w:t>
      </w:r>
      <w:r>
        <w:t xml:space="preserve">On Australian rates, a representative booking with a A$60 standard price discounted to A$48 — the price the customer pays, with no added consumer fee — yields an estimated net platform contribution of roughly A$7.50 per transaction after payment processing, rising to about A$19 on a A$120 group booking. Revenue derives entirely from the venue commission. The model works, but is sensitive to commission rate and average order value — detailed in Section 4.</w:t>
      </w:r>
    </w:p>
    <w:p>
      <w:pPr>
        <w:spacing w:after="60"/>
      </w:pPr>
      <w:r>
        <w:t xml:space="preserve"/>
      </w:r>
    </w:p>
    <w:tbl>
      <w:tblPr>
        <w:tblW w:type="dxa" w:w="9360"/>
        <w:tblBorders>
          <w:top w:val="single" w:color="EAEEF8" w:sz="2"/>
          <w:left w:val="single" w:color="1F3A8A" w:sz="24"/>
          <w:bottom w:val="single" w:color="EAEEF8" w:sz="2"/>
          <w:right w:val="single" w:color="EAEEF8" w:sz="2"/>
          <w:insideH w:val="single" w:color="auto" w:sz="4"/>
          <w:insideV w:val="single" w:color="auto" w:sz="4"/>
        </w:tblBorders>
      </w:tblPr>
      <w:tblGrid>
        <w:gridCol w:w="9360"/>
      </w:tblGrid>
      <w:tr>
        <w:tc>
          <w:tcPr>
            <w:tcW w:type="dxa" w:w="9360"/>
            <w:shd w:fill="EAEEF8" w:val="clear"/>
            <w:tcMar>
              <w:top w:type="dxa" w:w="140"/>
              <w:left w:type="dxa" w:w="220"/>
              <w:bottom w:type="dxa" w:w="140"/>
              <w:right w:type="dxa" w:w="200"/>
            </w:tcMar>
          </w:tcPr>
          <w:p>
            <w:pPr>
              <w:spacing w:after="0"/>
            </w:pPr>
            <w:r>
              <w:rPr>
                <w:b/>
                <w:bCs/>
                <w:color w:val="1F3A8A"/>
              </w:rPr>
              <w:t xml:space="preserve">Recommended next step. </w:t>
            </w:r>
            <w:r>
              <w:t xml:space="preserve">With Melbourne confirmed as the launch market, the two highest-value actions are (a) finalising the unit-economics model against live venue data, and (b) conducting eight to ten venue conversations to validate supply-side appetite. Both precede any software development. The objective of the discovery phase is to make the build phase routine — every significant decision resolved before code is written.</w:t>
            </w:r>
          </w:p>
        </w:tc>
      </w:tr>
    </w:tbl>
    <w:p>
      <w:r>
        <w:br w:type="page"/>
      </w:r>
    </w:p>
    <w:p>
      <w:pPr>
        <w:pStyle w:val="Heading1"/>
      </w:pPr>
      <w:r>
        <w:t xml:space="preserve">1. Assessment of the dossier’s strengths</w:t>
      </w:r>
    </w:p>
    <w:p>
      <w:pPr>
        <w:spacing w:after="140" w:line="278"/>
      </w:pPr>
      <w:r>
        <w:t xml:space="preserve">The dossier converts a broad concept into an investable proposition: a defined thesis, a structured competitive map, a booking architecture specified to the level of the database constraints that prevent double-booking, a payments flow, a phased build plan, and a complete set of interface mockups. Three elements are particularly strong.</w:t>
      </w:r>
    </w:p>
    <w:p>
      <w:pPr>
        <w:pStyle w:val="ListParagraph"/>
        <w:numPr>
          <w:ilvl w:val="0"/>
          <w:numId w:val="3"/>
        </w:numPr>
        <w:spacing w:after="90" w:line="272"/>
      </w:pPr>
      <w:r>
        <w:rPr>
          <w:b/>
          <w:bCs/>
        </w:rPr>
        <w:t xml:space="preserve">Thesis and market framing. </w:t>
      </w:r>
      <w:r>
        <w:t xml:space="preserve">Positioning leisure capacity as more perishable and higher-fixed-cost than restaurant inventory is the correct strategic wedge. It is supported by credible external signals: an estimated market CAGR above 26%, Bowlero’s public characterisation of yield management as an operational necessity, and the absence of any established off-peak yield marketplace in the category.</w:t>
      </w:r>
    </w:p>
    <w:p>
      <w:pPr>
        <w:pStyle w:val="ListParagraph"/>
        <w:numPr>
          <w:ilvl w:val="0"/>
          <w:numId w:val="3"/>
        </w:numPr>
        <w:spacing w:after="90" w:line="272"/>
      </w:pPr>
      <w:r>
        <w:rPr>
          <w:b/>
          <w:bCs/>
        </w:rPr>
        <w:t xml:space="preserve">Competitive analysis. </w:t>
      </w:r>
      <w:r>
        <w:t xml:space="preserve">The segmentation of the field into deal marketplaces (Groupon — disliked by merchants), activity OTAs (Viator, Fever — tourist-oriented, high commission) and booking software (FareHarbor, Resova — inventory without demand generation) is accurate and actionable. The “integrate, don’t displace” approach to the booking-software layer is a sound strategic position.</w:t>
      </w:r>
    </w:p>
    <w:p>
      <w:pPr>
        <w:pStyle w:val="ListParagraph"/>
        <w:numPr>
          <w:ilvl w:val="0"/>
          <w:numId w:val="3"/>
        </w:numPr>
        <w:spacing w:after="90" w:line="272"/>
      </w:pPr>
      <w:r>
        <w:rPr>
          <w:b/>
          <w:bCs/>
        </w:rPr>
        <w:t xml:space="preserve">Technical foundation. </w:t>
      </w:r>
      <w:r>
        <w:t xml:space="preserve">The booking engine is specified correctly: a database-enforced exclusion constraint prevents overlapping reservations, and row-level locking serialises concurrent bookings against fixed capacity. Postgres row-level security for tenant isolation and a mock-venue dataset for pre-integration development are both appropriate choices.</w:t>
      </w:r>
    </w:p>
    <w:tbl>
      <w:tblPr>
        <w:tblW w:type="dxa" w:w="9360"/>
        <w:tblBorders>
          <w:top w:val="single" w:color="E6F4EE" w:sz="2"/>
          <w:left w:val="single" w:color="0F7A54" w:sz="24"/>
          <w:bottom w:val="single" w:color="E6F4EE" w:sz="2"/>
          <w:right w:val="single" w:color="E6F4EE" w:sz="2"/>
          <w:insideH w:val="single" w:color="auto" w:sz="4"/>
          <w:insideV w:val="single" w:color="auto" w:sz="4"/>
        </w:tblBorders>
      </w:tblPr>
      <w:tblGrid>
        <w:gridCol w:w="9360"/>
      </w:tblGrid>
      <w:tr>
        <w:tc>
          <w:tcPr>
            <w:tcW w:type="dxa" w:w="9360"/>
            <w:shd w:fill="E6F4EE" w:val="clear"/>
            <w:tcMar>
              <w:top w:type="dxa" w:w="140"/>
              <w:left w:type="dxa" w:w="220"/>
              <w:bottom w:type="dxa" w:w="140"/>
              <w:right w:type="dxa" w:w="200"/>
            </w:tcMar>
          </w:tcPr>
          <w:p>
            <w:pPr>
              <w:spacing w:after="0"/>
            </w:pPr>
            <w:r>
              <w:rPr>
                <w:b/>
                <w:bCs/>
                <w:color w:val="0F7A54"/>
              </w:rPr>
              <w:t xml:space="preserve">Most important judgement in the dossier. </w:t>
            </w:r>
            <w:r>
              <w:t xml:space="preserve">The document identifies the time-slot capacity engine, with database-enforced conflict prevention, as the single component to over-invest in — on the basis that everything else is replaceable, but a marketplace that double-books venues is not. This is the correct priority and should anchor the build sequence.</w:t>
            </w:r>
          </w:p>
        </w:tc>
      </w:tr>
    </w:tbl>
    <w:p>
      <w:r>
        <w:br w:type="page"/>
      </w:r>
    </w:p>
    <w:p>
      <w:pPr>
        <w:pStyle w:val="Heading1"/>
      </w:pPr>
      <w:r>
        <w:t xml:space="preserve">2. Issues to resolve before development</w:t>
      </w:r>
    </w:p>
    <w:p>
      <w:pPr>
        <w:spacing w:after="140" w:line="278"/>
      </w:pPr>
      <w:r>
        <w:rPr>
          <w:i/>
          <w:iCs/>
          <w:color w:val="5C5C6B"/>
        </w:rPr>
        <w:t xml:space="preserve">None of the following undermines the concept. Each represents a decision that, if deferred, is likely to incur avoidable cost or rework. They are ordered by impact on the build.</w:t>
      </w:r>
    </w:p>
    <w:p>
      <w:pPr>
        <w:pBdr>
          <w:bottom w:val="single" w:color="D5D5DE" w:sz="6" w:space="1"/>
        </w:pBdr>
        <w:spacing w:after="160" w:before="60"/>
      </w:pPr>
      <w:r>
        <w:t xml:space="preserve"/>
      </w:r>
    </w:p>
    <w:p>
      <w:pPr>
        <w:pStyle w:val="Heading2"/>
      </w:pPr>
      <w:r>
        <w:t xml:space="preserve">2.1  The Zivvo Card introduces fintech risk not required for validation</w:t>
      </w:r>
    </w:p>
    <w:p>
      <w:pPr>
        <w:spacing w:after="70"/>
      </w:pPr>
      <w:r>
        <w:rPr>
          <w:b/>
          <w:bCs/>
          <w:color w:val="A93226"/>
          <w:sz w:val="18"/>
          <w:szCs w:val="18"/>
          <w:shd w:fill="F8E8E5" w:val="clear"/>
        </w:rPr>
        <w:t xml:space="preserve">  HIGH IMPACT  ·  SCOPE &amp; RISK  </w:t>
      </w:r>
    </w:p>
    <w:p>
      <w:pPr>
        <w:spacing w:after="140" w:line="278"/>
      </w:pPr>
      <w:r>
        <w:t xml:space="preserve">The Zivvo Card combines card issuance, transaction-matching, cashback settlement and the associated reconciliation, dispute liability and Australian compliance obligations. This constitutes a fintech workstream embedded within the marketplace build. The dossier’s decision to restrict the Card to walk-in venues, and to pre-pay all reserved activities, is sound; however, shipping issued virtual cards within the initial release adds substantial surface area.</w:t>
      </w:r>
    </w:p>
    <w:p>
      <w:pPr>
        <w:spacing w:after="140" w:line="278"/>
      </w:pPr>
      <w:r>
        <w:rPr>
          <w:b/>
          <w:bCs/>
        </w:rPr>
        <w:t xml:space="preserve">Recommendation. </w:t>
      </w:r>
      <w:r>
        <w:t xml:space="preserve">Launch the first release on pre-paid bookings only and defer the Card to a subsequent phase. The dossier describes the redemption experience as the platform’s defensible moat, but a moat for which demand has not yet been demonstrated represents cost rather than advantage. Card-based redemption is not required to test whether consumers will book discounted off-peak activities.</w:t>
      </w:r>
    </w:p>
    <w:p>
      <w:pPr>
        <w:pBdr>
          <w:bottom w:val="single" w:color="D5D5DE" w:sz="6" w:space="1"/>
        </w:pBdr>
        <w:spacing w:after="160" w:before="60"/>
      </w:pPr>
      <w:r>
        <w:t xml:space="preserve"/>
      </w:r>
    </w:p>
    <w:p>
      <w:pPr>
        <w:pStyle w:val="Heading2"/>
      </w:pPr>
      <w:r>
        <w:t xml:space="preserve">2.2  The mockups contradict the stated “no-QR” redemption principle</w:t>
      </w:r>
    </w:p>
    <w:p>
      <w:pPr>
        <w:spacing w:after="70"/>
      </w:pPr>
      <w:r>
        <w:rPr>
          <w:b/>
          <w:bCs/>
          <w:color w:val="9A6206"/>
          <w:sz w:val="18"/>
          <w:szCs w:val="18"/>
          <w:shd w:fill="F8F0DD" w:val="clear"/>
        </w:rPr>
        <w:t xml:space="preserve">  MEDIUM IMPACT  ·  INTERNAL INCONSISTENCY  </w:t>
      </w:r>
    </w:p>
    <w:p>
      <w:pPr>
        <w:spacing w:after="140" w:line="278"/>
      </w:pPr>
      <w:r>
        <w:t xml:space="preserve">The technical and payments sections state that redemption is code-free — automatic via the Card or matched by customer name. Two mockups contradict this: one presents a QR-code booking confirmation, and another depicts an operator-side QR scanner. The two models are mutually exclusive.</w:t>
      </w:r>
    </w:p>
    <w:p>
      <w:pPr>
        <w:spacing w:after="140" w:line="278"/>
      </w:pPr>
      <w:r>
        <w:rPr>
          <w:b/>
          <w:bCs/>
        </w:rPr>
        <w:t xml:space="preserve">Recommendation. </w:t>
      </w:r>
      <w:r>
        <w:t xml:space="preserve">Resolve the redemption model before further design work. Name-matching for reserved activities is operationally simpler and preserves the no-QR position as a genuine differentiator; on that basis the QR screens should be removed. This is a substantive product decision, not a cosmetic correction, as it affects both the operator workflow and the consumer interface.</w:t>
      </w:r>
    </w:p>
    <w:p>
      <w:pPr>
        <w:pBdr>
          <w:bottom w:val="single" w:color="D5D5DE" w:sz="6" w:space="1"/>
        </w:pBdr>
        <w:spacing w:after="160" w:before="60"/>
      </w:pPr>
      <w:r>
        <w:t xml:space="preserve"/>
      </w:r>
    </w:p>
    <w:p>
      <w:pPr>
        <w:pStyle w:val="Heading2"/>
      </w:pPr>
      <w:r>
        <w:t xml:space="preserve">2.3  Geographic inconsistency between data, design and launch market</w:t>
      </w:r>
    </w:p>
    <w:p>
      <w:pPr>
        <w:spacing w:after="70"/>
      </w:pPr>
      <w:r>
        <w:rPr>
          <w:b/>
          <w:bCs/>
          <w:color w:val="9A6206"/>
          <w:sz w:val="18"/>
          <w:szCs w:val="18"/>
          <w:shd w:fill="F8F0DD" w:val="clear"/>
        </w:rPr>
        <w:t xml:space="preserve">  MEDIUM IMPACT  ·  POSITIONING &amp; ECONOMICS  </w:t>
      </w:r>
    </w:p>
    <w:p>
      <w:pPr>
        <w:spacing w:after="140" w:line="278"/>
      </w:pPr>
      <w:r>
        <w:t xml:space="preserve">The market sizing is drawn from US sources, the competitive set and mockups are oriented to the UK (sterling pricing, London locations), while the intended launch market is Melbourne — where EatClub is already established. A market-agnostic thesis is acceptable, but the operating plan must be specific. Unit economics differ materially by jurisdiction: Australian payment-processing fees, local interchange rates and GST treatment are not reflected in the figures presented.</w:t>
      </w:r>
    </w:p>
    <w:p>
      <w:pPr>
        <w:spacing w:after="140" w:line="278"/>
      </w:pPr>
      <w:r>
        <w:rPr>
          <w:b/>
          <w:bCs/>
        </w:rPr>
        <w:t xml:space="preserve">Recommendation. </w:t>
      </w:r>
      <w:r>
        <w:t xml:space="preserve">With Melbourne confirmed, the economic model has been re-derived on Australian rates (Section 4), and the UK-oriented styling should be retired so that venue-facing materials present an Australian product.</w:t>
      </w:r>
    </w:p>
    <w:p>
      <w:pPr>
        <w:pBdr>
          <w:bottom w:val="single" w:color="D5D5DE" w:sz="6" w:space="1"/>
        </w:pBdr>
        <w:spacing w:after="160" w:before="60"/>
      </w:pPr>
      <w:r>
        <w:t xml:space="preserve"/>
      </w:r>
    </w:p>
    <w:p>
      <w:pPr>
        <w:pStyle w:val="Heading2"/>
      </w:pPr>
      <w:r>
        <w:t xml:space="preserve">2.4  The five-deal cap is presented as a benefit but remains unvalidated</w:t>
      </w:r>
    </w:p>
    <w:p>
      <w:pPr>
        <w:spacing w:after="70"/>
      </w:pPr>
      <w:r>
        <w:rPr>
          <w:b/>
          <w:bCs/>
          <w:color w:val="9A6206"/>
          <w:sz w:val="18"/>
          <w:szCs w:val="18"/>
          <w:shd w:fill="F8F0DD" w:val="clear"/>
        </w:rPr>
        <w:t xml:space="preserve">  LOWER IMPACT  ·  PRODUCT HYPOTHESIS  </w:t>
      </w:r>
    </w:p>
    <w:p>
      <w:pPr>
        <w:spacing w:after="140" w:line="278"/>
      </w:pPr>
      <w:r>
        <w:t xml:space="preserve">The proposition that limiting each venue to five live deals creates scarcity and a curated, “members’-club” feel is plausible, but it is a hypothesis rather than an established fact. For venues with deep off-peak troughs, a five-deal limit may leave incremental-margin capacity unsold — the precise capacity the platform exists to fill.</w:t>
      </w:r>
    </w:p>
    <w:p>
      <w:pPr>
        <w:spacing w:after="140" w:line="278"/>
      </w:pPr>
      <w:r>
        <w:rPr>
          <w:b/>
          <w:bCs/>
        </w:rPr>
        <w:t xml:space="preserve">Recommendation. </w:t>
      </w:r>
      <w:r>
        <w:t xml:space="preserve">Implement the cap as a configurable default and treat it as a candidate for A/B testing once live venues are onboarded, rather than as fixed policy.</w:t>
      </w:r>
    </w:p>
    <w:p>
      <w:pPr>
        <w:pBdr>
          <w:bottom w:val="single" w:color="D5D5DE" w:sz="6" w:space="1"/>
        </w:pBdr>
        <w:spacing w:after="160" w:before="60"/>
      </w:pPr>
      <w:r>
        <w:t xml:space="preserve"/>
      </w:r>
    </w:p>
    <w:p>
      <w:pPr>
        <w:pStyle w:val="Heading2"/>
      </w:pPr>
      <w:r>
        <w:t xml:space="preserve">2.5  Theatre and live shows have been de-scoped relative to the original concept</w:t>
      </w:r>
    </w:p>
    <w:p>
      <w:pPr>
        <w:spacing w:after="70"/>
      </w:pPr>
      <w:r>
        <w:rPr>
          <w:b/>
          <w:bCs/>
          <w:color w:val="9A6206"/>
          <w:sz w:val="18"/>
          <w:szCs w:val="18"/>
          <w:shd w:fill="F8F0DD" w:val="clear"/>
        </w:rPr>
        <w:t xml:space="preserve">  LOWER IMPACT  ·  SCOPE AWARENESS  </w:t>
      </w:r>
    </w:p>
    <w:p>
      <w:pPr>
        <w:spacing w:after="140" w:line="278"/>
      </w:pPr>
      <w:r>
        <w:t xml:space="preserve">Theatre, originally conceived as a co-equal pillar, is retained as a high-value category but positioned as a later, secondary play. The product is structured around a rolling seven-day window and a live availability engine, which suit competitive-socialising venues considerably better than scheduled theatre — a production booking several weeks ahead does not fit a seven-day window.</w:t>
      </w:r>
    </w:p>
    <w:p>
      <w:pPr>
        <w:spacing w:after="140" w:line="278"/>
      </w:pPr>
      <w:r>
        <w:rPr>
          <w:b/>
          <w:bCs/>
        </w:rPr>
        <w:t xml:space="preserve">Recommendation. </w:t>
      </w:r>
      <w:r>
        <w:t xml:space="preserve">This is a reasonable focusing decision and should be adopted deliberately. If theatre is to be served later, it requires a distinct “upcoming events” model rather than accommodation within the daily-deals window.</w:t>
      </w:r>
    </w:p>
    <w:p>
      <w:pPr>
        <w:spacing w:after="120"/>
      </w:pPr>
      <w:r>
        <w:t xml:space="preserve"/>
      </w:r>
    </w:p>
    <w:tbl>
      <w:tblPr>
        <w:tblW w:type="dxa" w:w="9360"/>
        <w:tblBorders>
          <w:top w:val="single" w:color="EAEEF8" w:sz="2"/>
          <w:left w:val="single" w:color="1F3A8A" w:sz="24"/>
          <w:bottom w:val="single" w:color="EAEEF8" w:sz="2"/>
          <w:right w:val="single" w:color="EAEEF8" w:sz="2"/>
          <w:insideH w:val="single" w:color="auto" w:sz="4"/>
          <w:insideV w:val="single" w:color="auto" w:sz="4"/>
        </w:tblBorders>
      </w:tblPr>
      <w:tblGrid>
        <w:gridCol w:w="9360"/>
      </w:tblGrid>
      <w:tr>
        <w:tc>
          <w:tcPr>
            <w:tcW w:type="dxa" w:w="9360"/>
            <w:shd w:fill="EAEEF8" w:val="clear"/>
            <w:tcMar>
              <w:top w:type="dxa" w:w="140"/>
              <w:left w:type="dxa" w:w="220"/>
              <w:bottom w:type="dxa" w:w="140"/>
              <w:right w:type="dxa" w:w="200"/>
            </w:tcMar>
          </w:tcPr>
          <w:p>
            <w:pPr>
              <w:spacing w:after="0"/>
            </w:pPr>
            <w:r>
              <w:rPr>
                <w:b/>
                <w:bCs/>
                <w:color w:val="1F3A8A"/>
              </w:rPr>
              <w:t xml:space="preserve">Priority actions. </w:t>
            </w:r>
            <w:r>
              <w:t xml:space="preserve">Two decisions de-risk the build more than any others: (1) remove the Zivvo Card from the first release and ship pre-paid bookings first; (2) resolve the QR / no-QR contradiction before additional design work proceeds.</w:t>
            </w:r>
          </w:p>
        </w:tc>
      </w:tr>
    </w:tbl>
    <w:p>
      <w:r>
        <w:br w:type="page"/>
      </w:r>
    </w:p>
    <w:p>
      <w:pPr>
        <w:pStyle w:val="Heading1"/>
      </w:pPr>
      <w:r>
        <w:t xml:space="preserve">3. Red-team: the three highest-risk assumptions</w:t>
      </w:r>
    </w:p>
    <w:p>
      <w:pPr>
        <w:spacing w:after="140" w:line="278"/>
      </w:pPr>
      <w:r>
        <w:rPr>
          <w:i/>
          <w:iCs/>
          <w:color w:val="5C5C6B"/>
        </w:rPr>
        <w:t xml:space="preserve">The following examines the assumptions whose failure would most threaten the venture. Each is stated as the dossier frames it, followed by the strongest opposing case and a recommended mitigation. The purpose is to identify what could cause the model to fail, not to argue against proceeding.</w:t>
      </w:r>
    </w:p>
    <w:p>
      <w:pPr>
        <w:spacing w:after="60"/>
      </w:pPr>
      <w:r>
        <w:t xml:space="preserve"/>
      </w:r>
    </w:p>
    <w:p>
      <w:pPr>
        <w:pStyle w:val="Heading2"/>
      </w:pPr>
      <w:r>
        <w:t xml:space="preserve">3.1  That venues will supply discounted off-peak capacity</w:t>
      </w:r>
    </w:p>
    <w:p>
      <w:pPr>
        <w:spacing w:after="70"/>
      </w:pPr>
      <w:r>
        <w:rPr>
          <w:b/>
          <w:bCs/>
          <w:color w:val="A93226"/>
          <w:sz w:val="18"/>
          <w:szCs w:val="18"/>
          <w:shd w:fill="F8E8E5" w:val="clear"/>
        </w:rPr>
        <w:t xml:space="preserve">  RISK 1  ·  SUPPLY-SIDE LIQUIDITY  </w:t>
      </w:r>
    </w:p>
    <w:p>
      <w:pPr>
        <w:spacing w:after="140" w:line="278"/>
      </w:pPr>
      <w:r>
        <w:rPr>
          <w:b/>
          <w:bCs/>
        </w:rPr>
        <w:t xml:space="preserve">The assumption. </w:t>
      </w:r>
      <w:r>
        <w:t xml:space="preserve">Venues will release spare off-peak capacity at a discount because filling an otherwise-empty slot is near-pure incremental margin.</w:t>
      </w:r>
    </w:p>
    <w:p>
      <w:pPr>
        <w:spacing w:after="140" w:line="278"/>
      </w:pPr>
      <w:r>
        <w:rPr>
          <w:b/>
          <w:bCs/>
        </w:rPr>
        <w:t xml:space="preserve">The opposing case. </w:t>
      </w:r>
      <w:r>
        <w:t xml:space="preserve">The margin logic is sound but does not guarantee participation. Operators may fear that discounting trains regular customers to wait for deals (cannibalising full-price demand); larger chains already run their own loyalty schemes and may decline to cede the customer relationship or the data; and a venue with genuinely dead mid-week periods may have a structural demand problem that a discount cannot fix. EatClub took years and a sales-led, consultative onboarding model to build supply — a single new entrant without that track record will find venue acquisition slow and manual.</w:t>
      </w:r>
    </w:p>
    <w:p>
      <w:pPr>
        <w:spacing w:after="140" w:line="278"/>
      </w:pPr>
      <w:r>
        <w:rPr>
          <w:b/>
          <w:bCs/>
        </w:rPr>
        <w:t xml:space="preserve">Mitigation. </w:t>
      </w:r>
      <w:r>
        <w:t xml:space="preserve">Treat supply as the binding constraint, not an assumption. Validate with eight to ten Melbourne venues before building; lead with strict off-peak targeting (only the slots that are genuinely empty) to address the cannibalisation concern; and concentrate on independent operators first, where the data and loyalty objections are weakest. If venues will not commit during discovery, that is decisive information obtained cheaply.</w:t>
      </w:r>
    </w:p>
    <w:p>
      <w:pPr>
        <w:pBdr>
          <w:bottom w:val="single" w:color="D5D5DE" w:sz="6" w:space="1"/>
        </w:pBdr>
        <w:spacing w:after="160" w:before="60"/>
      </w:pPr>
      <w:r>
        <w:t xml:space="preserve"/>
      </w:r>
    </w:p>
    <w:p>
      <w:pPr>
        <w:pStyle w:val="Heading2"/>
      </w:pPr>
      <w:r>
        <w:t xml:space="preserve">3.2  That the cold-start problem can be solved in one market</w:t>
      </w:r>
    </w:p>
    <w:p>
      <w:pPr>
        <w:spacing w:after="70"/>
      </w:pPr>
      <w:r>
        <w:rPr>
          <w:b/>
          <w:bCs/>
          <w:color w:val="A93226"/>
          <w:sz w:val="18"/>
          <w:szCs w:val="18"/>
          <w:shd w:fill="F8E8E5" w:val="clear"/>
        </w:rPr>
        <w:t xml:space="preserve">  RISK 2  ·  TWO-SIDED LIQUIDITY  </w:t>
      </w:r>
    </w:p>
    <w:p>
      <w:pPr>
        <w:spacing w:after="140" w:line="278"/>
      </w:pPr>
      <w:r>
        <w:rPr>
          <w:b/>
          <w:bCs/>
        </w:rPr>
        <w:t xml:space="preserve">The assumption. </w:t>
      </w:r>
      <w:r>
        <w:t xml:space="preserve">Concentrating on one city and one vertical will generate sufficient density for the marketplace to become useful to both sides.</w:t>
      </w:r>
    </w:p>
    <w:p>
      <w:pPr>
        <w:spacing w:after="140" w:line="278"/>
      </w:pPr>
      <w:r>
        <w:rPr>
          <w:b/>
          <w:bCs/>
        </w:rPr>
        <w:t xml:space="preserve">The opposing case. </w:t>
      </w:r>
      <w:r>
        <w:t xml:space="preserve">Two-sided marketplaces fail more often from cold-start than from any other cause. Consumers will not open an app showing three deals; venues will not maintain listings that produce no bookings. The two sides must be built in near-lockstep, and there is a window in which the product is live but not yet useful to either party. A discovery-led app is also subject to low retention if early inventory is thin — a single disappointing search can lose a user permanently.</w:t>
      </w:r>
    </w:p>
    <w:p>
      <w:pPr>
        <w:spacing w:after="140" w:line="278"/>
      </w:pPr>
      <w:r>
        <w:rPr>
          <w:b/>
          <w:bCs/>
        </w:rPr>
        <w:t xml:space="preserve">Mitigation. </w:t>
      </w:r>
      <w:r>
        <w:t xml:space="preserve">Deliberately over-concentrate: a single vertical within a defined radius of central Melbourne, dense enough that the map feels active from launch. Solve supply first and manually — hand-sign initial venues. Seed demand through the venues’ own audiences and a small invited user group rather than broad marketing. Accept that the first release should look narrow; premature breadth is the more common failure.</w:t>
      </w:r>
    </w:p>
    <w:p>
      <w:pPr>
        <w:pBdr>
          <w:bottom w:val="single" w:color="D5D5DE" w:sz="6" w:space="1"/>
        </w:pBdr>
        <w:spacing w:after="160" w:before="60"/>
      </w:pPr>
      <w:r>
        <w:t xml:space="preserve"/>
      </w:r>
    </w:p>
    <w:p>
      <w:pPr>
        <w:pStyle w:val="Heading2"/>
      </w:pPr>
      <w:r>
        <w:t xml:space="preserve">3.3  That the model is defensible once proven</w:t>
      </w:r>
    </w:p>
    <w:p>
      <w:pPr>
        <w:spacing w:after="70"/>
      </w:pPr>
      <w:r>
        <w:rPr>
          <w:b/>
          <w:bCs/>
          <w:color w:val="9A6206"/>
          <w:sz w:val="18"/>
          <w:szCs w:val="18"/>
          <w:shd w:fill="F8F0DD" w:val="clear"/>
        </w:rPr>
        <w:t xml:space="preserve">  RISK 3  ·  DEFENSIBILITY  </w:t>
      </w:r>
    </w:p>
    <w:p>
      <w:pPr>
        <w:spacing w:after="140" w:line="278"/>
      </w:pPr>
      <w:r>
        <w:rPr>
          <w:b/>
          <w:bCs/>
        </w:rPr>
        <w:t xml:space="preserve">The assumption. </w:t>
      </w:r>
      <w:r>
        <w:t xml:space="preserve">Frictionless redemption (the Zivvo Card) and an aggregated, AI-priced marketplace constitute a durable competitive moat.</w:t>
      </w:r>
    </w:p>
    <w:p>
      <w:pPr>
        <w:spacing w:after="140" w:line="278"/>
      </w:pPr>
      <w:r>
        <w:rPr>
          <w:b/>
          <w:bCs/>
        </w:rPr>
        <w:t xml:space="preserve">The opposing case. </w:t>
      </w:r>
      <w:r>
        <w:t xml:space="preserve">The concept is executable but not inherently protected. Should the category prove attractive, an incumbent with existing supply relationships could replicate it — EatClub could extend from dining into leisure; a booking-software provider such as FareHarbor or Resova already holds the inventory and could add a demand layer; a large operator such as Bowlero could build for its own estate. The Card is a feature, not a structural barrier, and AI-based pricing requires transaction data the platform will not possess at launch.</w:t>
      </w:r>
    </w:p>
    <w:p>
      <w:pPr>
        <w:spacing w:after="140" w:line="278"/>
      </w:pPr>
      <w:r>
        <w:rPr>
          <w:b/>
          <w:bCs/>
        </w:rPr>
        <w:t xml:space="preserve">Mitigation. </w:t>
      </w:r>
      <w:r>
        <w:t xml:space="preserve">Recognise that defensibility is earned rather than designed: it derives from local venue density and exclusivity, the accumulated pricing dataset, and becoming the default consumer habit for spontaneous local leisure — none of which exist initially. The implication is that speed and focus in a single market matter more than feature breadth. Where feasible, secure preferential or exclusive terms with early venues to raise the cost of replication.</w:t>
      </w:r>
    </w:p>
    <w:p>
      <w:pPr>
        <w:spacing w:after="120"/>
      </w:pPr>
      <w:r>
        <w:t xml:space="preserve"/>
      </w:r>
    </w:p>
    <w:tbl>
      <w:tblPr>
        <w:tblW w:type="dxa" w:w="9360"/>
        <w:tblBorders>
          <w:top w:val="single" w:color="F8F0DD" w:sz="2"/>
          <w:left w:val="single" w:color="9A6206" w:sz="24"/>
          <w:bottom w:val="single" w:color="F8F0DD" w:sz="2"/>
          <w:right w:val="single" w:color="F8F0DD" w:sz="2"/>
          <w:insideH w:val="single" w:color="auto" w:sz="4"/>
          <w:insideV w:val="single" w:color="auto" w:sz="4"/>
        </w:tblBorders>
      </w:tblPr>
      <w:tblGrid>
        <w:gridCol w:w="9360"/>
      </w:tblGrid>
      <w:tr>
        <w:tc>
          <w:tcPr>
            <w:tcW w:type="dxa" w:w="9360"/>
            <w:shd w:fill="F8F0DD" w:val="clear"/>
            <w:tcMar>
              <w:top w:type="dxa" w:w="140"/>
              <w:left w:type="dxa" w:w="220"/>
              <w:bottom w:type="dxa" w:w="140"/>
              <w:right w:type="dxa" w:w="200"/>
            </w:tcMar>
          </w:tcPr>
          <w:p>
            <w:pPr>
              <w:spacing w:after="0"/>
            </w:pPr>
            <w:r>
              <w:rPr>
                <w:b/>
                <w:bCs/>
                <w:color w:val="9A6206"/>
              </w:rPr>
              <w:t xml:space="preserve">Conclusion of the red-team. </w:t>
            </w:r>
            <w:r>
              <w:t xml:space="preserve">The dominant risks are commercial rather than technical — securing supply and achieving two-sided liquidity in one market. This reinforces the recommended sequence: validate venue appetite and model the economics before building, and concentrate ruthlessly on a single Melbourne vertical at launch.</w:t>
            </w:r>
          </w:p>
        </w:tc>
      </w:tr>
    </w:tbl>
    <w:p>
      <w:r>
        <w:br w:type="page"/>
      </w:r>
    </w:p>
    <w:p>
      <w:pPr>
        <w:pStyle w:val="Heading1"/>
      </w:pPr>
      <w:r>
        <w:t xml:space="preserve">4. Unit economics (Australian rates)</w:t>
      </w:r>
    </w:p>
    <w:p>
      <w:pPr>
        <w:spacing w:after="140" w:line="278"/>
      </w:pPr>
      <w:r>
        <w:rPr>
          <w:i/>
          <w:iCs/>
          <w:color w:val="5C5C6B"/>
        </w:rPr>
        <w:t xml:space="preserve">The following models a single representative booking to test whether the proposed commercial structure is viable on Australian costs. The consumer pays a single discounted price with no added fee; the platform’s revenue is the venue commission alone. Figures use Stripe’s standard Australian domestic card rate of 1.7% + A$0.30 and the dossier’s proposed 18% venue commission. All figures are estimates for assessment; they should be confirmed against live data before any external use.</w:t>
      </w:r>
    </w:p>
    <w:p>
      <w:pPr>
        <w:spacing w:after="80"/>
      </w:pPr>
      <w:r>
        <w:t xml:space="preserve"/>
      </w:r>
    </w:p>
    <w:p>
      <w:pPr>
        <w:pStyle w:val="Heading3"/>
      </w:pPr>
      <w:r>
        <w:t xml:space="preserve">Worked example — a representative booking</w:t>
      </w:r>
    </w:p>
    <w:p>
      <w:pPr>
        <w:spacing w:after="140" w:line="278"/>
      </w:pPr>
      <w:r>
        <w:t xml:space="preserve">Assume a reserved off-peak activity with a standard price of A$60, discounted 20% to a A$48 deal price. The customer pays A$48 — the only price shown in the app, with no service fee added. The venue has agreed an 18% commission on the deal price.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rPr>
          <w:tblHeader/>
        </w:trPr>
        <w:tc>
          <w:tcPr>
            <w:tcW w:type="dxa" w:w="4200"/>
            <w:tcBorders>
              <w:top w:val="single" w:color="D5D5DE" w:sz="1"/>
              <w:left w:val="single" w:color="D5D5DE" w:sz="1"/>
              <w:bottom w:val="single" w:color="D5D5DE" w:sz="1"/>
              <w:right w:val="single" w:color="D5D5DE" w:sz="1"/>
            </w:tcBorders>
            <w:shd w:fill="1F3A8A" w:val="clear"/>
            <w:tcMar>
              <w:top w:type="dxa" w:w="80"/>
              <w:left w:type="dxa" w:w="110"/>
              <w:bottom w:type="dxa" w:w="80"/>
              <w:right w:type="dxa" w:w="110"/>
            </w:tcMar>
          </w:tcPr>
          <w:p>
            <w:pPr>
              <w:spacing w:after="0"/>
            </w:pPr>
            <w:r>
              <w:rPr>
                <w:b/>
                <w:bCs/>
                <w:color w:val="FFFFFF"/>
                <w:sz w:val="19"/>
                <w:szCs w:val="19"/>
              </w:rPr>
              <w:t xml:space="preserve">Line item</w:t>
            </w:r>
          </w:p>
        </w:tc>
        <w:tc>
          <w:tcPr>
            <w:tcW w:type="dxa" w:w="3160"/>
            <w:tcBorders>
              <w:top w:val="single" w:color="D5D5DE" w:sz="1"/>
              <w:left w:val="single" w:color="D5D5DE" w:sz="1"/>
              <w:bottom w:val="single" w:color="D5D5DE" w:sz="1"/>
              <w:right w:val="single" w:color="D5D5DE" w:sz="1"/>
            </w:tcBorders>
            <w:shd w:fill="1F3A8A" w:val="clear"/>
            <w:tcMar>
              <w:top w:type="dxa" w:w="80"/>
              <w:left w:type="dxa" w:w="110"/>
              <w:bottom w:type="dxa" w:w="80"/>
              <w:right w:type="dxa" w:w="110"/>
            </w:tcMar>
          </w:tcPr>
          <w:p>
            <w:pPr>
              <w:spacing w:after="0"/>
              <w:jc w:val="right"/>
            </w:pPr>
            <w:r>
              <w:rPr>
                <w:b/>
                <w:bCs/>
                <w:color w:val="FFFFFF"/>
                <w:sz w:val="19"/>
                <w:szCs w:val="19"/>
              </w:rPr>
              <w:t xml:space="preserve">Basis</w:t>
            </w:r>
          </w:p>
        </w:tc>
        <w:tc>
          <w:tcPr>
            <w:tcW w:type="dxa" w:w="2000"/>
            <w:tcBorders>
              <w:top w:val="single" w:color="D5D5DE" w:sz="1"/>
              <w:left w:val="single" w:color="D5D5DE" w:sz="1"/>
              <w:bottom w:val="single" w:color="D5D5DE" w:sz="1"/>
              <w:right w:val="single" w:color="D5D5DE" w:sz="1"/>
            </w:tcBorders>
            <w:shd w:fill="1F3A8A" w:val="clear"/>
            <w:tcMar>
              <w:top w:type="dxa" w:w="80"/>
              <w:left w:type="dxa" w:w="110"/>
              <w:bottom w:type="dxa" w:w="80"/>
              <w:right w:type="dxa" w:w="110"/>
            </w:tcMar>
          </w:tcPr>
          <w:p>
            <w:pPr>
              <w:spacing w:after="0"/>
              <w:jc w:val="right"/>
            </w:pPr>
            <w:r>
              <w:rPr>
                <w:b/>
                <w:bCs/>
                <w:color w:val="FFFFFF"/>
                <w:sz w:val="19"/>
                <w:szCs w:val="19"/>
              </w:rPr>
              <w:t xml:space="preserve">Amount (A$)</w:t>
            </w:r>
          </w:p>
        </w:tc>
      </w:tr>
      <w:tr>
        <w:tc>
          <w:tcPr>
            <w:tcW w:type="dxa" w:w="4200"/>
            <w:shd w:fill="FFFFFF" w:val="clear"/>
            <w:tcMar>
              <w:top w:type="dxa" w:w="70"/>
              <w:left w:type="dxa" w:w="110"/>
              <w:bottom w:type="dxa" w:w="70"/>
              <w:right w:type="dxa" w:w="110"/>
            </w:tcMar>
          </w:tcPr>
          <w:p>
            <w:pPr>
              <w:spacing w:after="0" w:line="264"/>
            </w:pPr>
            <w:r>
              <w:rPr>
                <w:b w:val="false"/>
                <w:bCs w:val="false"/>
                <w:color w:val="1A1A2E"/>
                <w:sz w:val="19"/>
                <w:szCs w:val="19"/>
              </w:rPr>
              <w:t xml:space="preserve">Standard price (before discount)</w:t>
            </w:r>
          </w:p>
        </w:tc>
        <w:tc>
          <w:tcPr>
            <w:tcW w:type="dxa" w:w="3160"/>
            <w:shd w:fill="FFFFFF" w:val="clear"/>
            <w:tcMar>
              <w:top w:type="dxa" w:w="70"/>
              <w:left w:type="dxa" w:w="110"/>
              <w:bottom w:type="dxa" w:w="70"/>
              <w:right w:type="dxa" w:w="110"/>
            </w:tcMar>
          </w:tcPr>
          <w:p>
            <w:pPr>
              <w:spacing w:after="0" w:line="264"/>
              <w:jc w:val="right"/>
            </w:pPr>
            <w:r>
              <w:rPr>
                <w:b w:val="false"/>
                <w:bCs w:val="false"/>
                <w:color w:val="1A1A2E"/>
                <w:sz w:val="19"/>
                <w:szCs w:val="19"/>
              </w:rPr>
              <w:t xml:space="preserve">Venue’s normal slot price</w:t>
            </w:r>
          </w:p>
        </w:tc>
        <w:tc>
          <w:tcPr>
            <w:tcW w:type="dxa" w:w="2000"/>
            <w:shd w:fill="FFFFFF" w:val="clear"/>
            <w:tcMar>
              <w:top w:type="dxa" w:w="70"/>
              <w:left w:type="dxa" w:w="110"/>
              <w:bottom w:type="dxa" w:w="70"/>
              <w:right w:type="dxa" w:w="110"/>
            </w:tcMar>
          </w:tcPr>
          <w:p>
            <w:pPr>
              <w:spacing w:after="0" w:line="264"/>
              <w:jc w:val="right"/>
            </w:pPr>
            <w:r>
              <w:rPr>
                <w:b w:val="false"/>
                <w:bCs w:val="false"/>
                <w:color w:val="1A1A2E"/>
                <w:sz w:val="19"/>
                <w:szCs w:val="19"/>
              </w:rPr>
              <w:t xml:space="preserve">60.00</w:t>
            </w:r>
          </w:p>
        </w:tc>
      </w:tr>
      <w:tr>
        <w:tc>
          <w:tcPr>
            <w:tcW w:type="dxa" w:w="4200"/>
            <w:shd w:fill="F1F1F4" w:val="clear"/>
            <w:tcMar>
              <w:top w:type="dxa" w:w="70"/>
              <w:left w:type="dxa" w:w="110"/>
              <w:bottom w:type="dxa" w:w="70"/>
              <w:right w:type="dxa" w:w="110"/>
            </w:tcMar>
          </w:tcPr>
          <w:p>
            <w:pPr>
              <w:spacing w:after="0" w:line="264"/>
            </w:pPr>
            <w:r>
              <w:rPr>
                <w:b w:val="false"/>
                <w:bCs w:val="false"/>
                <w:color w:val="1A1A2E"/>
                <w:sz w:val="19"/>
                <w:szCs w:val="19"/>
              </w:rPr>
              <w:t xml:space="preserve">Less: off-peak discount (20%)</w:t>
            </w:r>
          </w:p>
        </w:tc>
        <w:tc>
          <w:tcPr>
            <w:tcW w:type="dxa" w:w="3160"/>
            <w:shd w:fill="F1F1F4" w:val="clear"/>
            <w:tcMar>
              <w:top w:type="dxa" w:w="70"/>
              <w:left w:type="dxa" w:w="110"/>
              <w:bottom w:type="dxa" w:w="70"/>
              <w:right w:type="dxa" w:w="110"/>
            </w:tcMar>
          </w:tcPr>
          <w:p>
            <w:pPr>
              <w:spacing w:after="0" w:line="264"/>
              <w:jc w:val="right"/>
            </w:pPr>
            <w:r>
              <w:rPr>
                <w:b w:val="false"/>
                <w:bCs w:val="false"/>
                <w:color w:val="1A1A2E"/>
                <w:sz w:val="19"/>
                <w:szCs w:val="19"/>
              </w:rPr>
              <w:t xml:space="preserve">Discount the venue offers</w:t>
            </w:r>
          </w:p>
        </w:tc>
        <w:tc>
          <w:tcPr>
            <w:tcW w:type="dxa" w:w="2000"/>
            <w:shd w:fill="F1F1F4" w:val="clear"/>
            <w:tcMar>
              <w:top w:type="dxa" w:w="70"/>
              <w:left w:type="dxa" w:w="110"/>
              <w:bottom w:type="dxa" w:w="70"/>
              <w:right w:type="dxa" w:w="110"/>
            </w:tcMar>
          </w:tcPr>
          <w:p>
            <w:pPr>
              <w:spacing w:after="0" w:line="264"/>
              <w:jc w:val="right"/>
            </w:pPr>
            <w:r>
              <w:rPr>
                <w:b w:val="false"/>
                <w:bCs w:val="false"/>
                <w:color w:val="1A1A2E"/>
                <w:sz w:val="19"/>
                <w:szCs w:val="19"/>
              </w:rPr>
              <w:t xml:space="preserve">(12.00)</w:t>
            </w:r>
          </w:p>
        </w:tc>
      </w:tr>
      <w:tr>
        <w:tc>
          <w:tcPr>
            <w:tcW w:type="dxa" w:w="4200"/>
            <w:shd w:fill="EAEEF8" w:val="clear"/>
            <w:tcMar>
              <w:top w:type="dxa" w:w="70"/>
              <w:left w:type="dxa" w:w="110"/>
              <w:bottom w:type="dxa" w:w="70"/>
              <w:right w:type="dxa" w:w="110"/>
            </w:tcMar>
          </w:tcPr>
          <w:p>
            <w:pPr>
              <w:spacing w:after="0" w:line="264"/>
            </w:pPr>
            <w:r>
              <w:rPr>
                <w:b/>
                <w:bCs/>
                <w:color w:val="1F3A8A"/>
                <w:sz w:val="19"/>
                <w:szCs w:val="19"/>
              </w:rPr>
              <w:t xml:space="preserve">Deal price shown in app = consumer pays</w:t>
            </w:r>
          </w:p>
        </w:tc>
        <w:tc>
          <w:tcPr>
            <w:tcW w:type="dxa" w:w="3160"/>
            <w:shd w:fill="EAEEF8" w:val="clear"/>
            <w:tcMar>
              <w:top w:type="dxa" w:w="70"/>
              <w:left w:type="dxa" w:w="110"/>
              <w:bottom w:type="dxa" w:w="70"/>
              <w:right w:type="dxa" w:w="110"/>
            </w:tcMar>
          </w:tcPr>
          <w:p>
            <w:pPr>
              <w:spacing w:after="0" w:line="264"/>
              <w:jc w:val="right"/>
            </w:pPr>
            <w:r>
              <w:rPr>
                <w:b/>
                <w:bCs/>
                <w:color w:val="1F3A8A"/>
                <w:sz w:val="19"/>
                <w:szCs w:val="19"/>
              </w:rPr>
              <w:t xml:space="preserve">The only price the customer sees</w:t>
            </w:r>
          </w:p>
        </w:tc>
        <w:tc>
          <w:tcPr>
            <w:tcW w:type="dxa" w:w="2000"/>
            <w:shd w:fill="EAEEF8" w:val="clear"/>
            <w:tcMar>
              <w:top w:type="dxa" w:w="70"/>
              <w:left w:type="dxa" w:w="110"/>
              <w:bottom w:type="dxa" w:w="70"/>
              <w:right w:type="dxa" w:w="110"/>
            </w:tcMar>
          </w:tcPr>
          <w:p>
            <w:pPr>
              <w:spacing w:after="0" w:line="264"/>
              <w:jc w:val="right"/>
            </w:pPr>
            <w:r>
              <w:rPr>
                <w:b/>
                <w:bCs/>
                <w:color w:val="1F3A8A"/>
                <w:sz w:val="19"/>
                <w:szCs w:val="19"/>
              </w:rPr>
              <w:t xml:space="preserve">48.00</w:t>
            </w:r>
          </w:p>
        </w:tc>
      </w:tr>
      <w:tr>
        <w:tc>
          <w:tcPr>
            <w:tcW w:type="dxa" w:w="4200"/>
            <w:shd w:fill="F1F1F4" w:val="clear"/>
            <w:tcMar>
              <w:top w:type="dxa" w:w="70"/>
              <w:left w:type="dxa" w:w="110"/>
              <w:bottom w:type="dxa" w:w="70"/>
              <w:right w:type="dxa" w:w="110"/>
            </w:tcMar>
          </w:tcPr>
          <w:p>
            <w:pPr>
              <w:spacing w:after="0" w:line="264"/>
            </w:pPr>
            <w:r>
              <w:rPr>
                <w:b w:val="false"/>
                <w:bCs w:val="false"/>
                <w:color w:val="1A1A2E"/>
                <w:sz w:val="19"/>
                <w:szCs w:val="19"/>
              </w:rPr>
              <w:t xml:space="preserve">Venue commission (18%)</w:t>
            </w:r>
          </w:p>
        </w:tc>
        <w:tc>
          <w:tcPr>
            <w:tcW w:type="dxa" w:w="3160"/>
            <w:shd w:fill="F1F1F4" w:val="clear"/>
            <w:tcMar>
              <w:top w:type="dxa" w:w="70"/>
              <w:left w:type="dxa" w:w="110"/>
              <w:bottom w:type="dxa" w:w="70"/>
              <w:right w:type="dxa" w:w="110"/>
            </w:tcMar>
          </w:tcPr>
          <w:p>
            <w:pPr>
              <w:spacing w:after="0" w:line="264"/>
              <w:jc w:val="right"/>
            </w:pPr>
            <w:r>
              <w:rPr>
                <w:b w:val="false"/>
                <w:bCs w:val="false"/>
                <w:color w:val="1A1A2E"/>
                <w:sz w:val="19"/>
                <w:szCs w:val="19"/>
              </w:rPr>
              <w:t xml:space="preserve">18% of deal price</w:t>
            </w:r>
          </w:p>
        </w:tc>
        <w:tc>
          <w:tcPr>
            <w:tcW w:type="dxa" w:w="2000"/>
            <w:shd w:fill="F1F1F4" w:val="clear"/>
            <w:tcMar>
              <w:top w:type="dxa" w:w="70"/>
              <w:left w:type="dxa" w:w="110"/>
              <w:bottom w:type="dxa" w:w="70"/>
              <w:right w:type="dxa" w:w="110"/>
            </w:tcMar>
          </w:tcPr>
          <w:p>
            <w:pPr>
              <w:spacing w:after="0" w:line="264"/>
              <w:jc w:val="right"/>
            </w:pPr>
            <w:r>
              <w:rPr>
                <w:b w:val="false"/>
                <w:bCs w:val="false"/>
                <w:color w:val="1A1A2E"/>
                <w:sz w:val="19"/>
                <w:szCs w:val="19"/>
              </w:rPr>
              <w:t xml:space="preserve">8.64</w:t>
            </w:r>
          </w:p>
        </w:tc>
      </w:tr>
      <w:tr>
        <w:tc>
          <w:tcPr>
            <w:tcW w:type="dxa" w:w="4200"/>
            <w:shd w:fill="FFFFFF" w:val="clear"/>
            <w:tcMar>
              <w:top w:type="dxa" w:w="70"/>
              <w:left w:type="dxa" w:w="110"/>
              <w:bottom w:type="dxa" w:w="70"/>
              <w:right w:type="dxa" w:w="110"/>
            </w:tcMar>
          </w:tcPr>
          <w:p>
            <w:pPr>
              <w:spacing w:after="0" w:line="264"/>
            </w:pPr>
            <w:r>
              <w:rPr>
                <w:b w:val="false"/>
                <w:bCs w:val="false"/>
                <w:color w:val="1A1A2E"/>
                <w:sz w:val="19"/>
                <w:szCs w:val="19"/>
              </w:rPr>
              <w:t xml:space="preserve">Less: Stripe processing</w:t>
            </w:r>
          </w:p>
        </w:tc>
        <w:tc>
          <w:tcPr>
            <w:tcW w:type="dxa" w:w="3160"/>
            <w:shd w:fill="FFFFFF" w:val="clear"/>
            <w:tcMar>
              <w:top w:type="dxa" w:w="70"/>
              <w:left w:type="dxa" w:w="110"/>
              <w:bottom w:type="dxa" w:w="70"/>
              <w:right w:type="dxa" w:w="110"/>
            </w:tcMar>
          </w:tcPr>
          <w:p>
            <w:pPr>
              <w:spacing w:after="0" w:line="264"/>
              <w:jc w:val="right"/>
            </w:pPr>
            <w:r>
              <w:rPr>
                <w:b w:val="false"/>
                <w:bCs w:val="false"/>
                <w:color w:val="1A1A2E"/>
                <w:sz w:val="19"/>
                <w:szCs w:val="19"/>
              </w:rPr>
              <w:t xml:space="preserve">1.7% of A$48.00 + A$0.30</w:t>
            </w:r>
          </w:p>
        </w:tc>
        <w:tc>
          <w:tcPr>
            <w:tcW w:type="dxa" w:w="2000"/>
            <w:shd w:fill="FFFFFF" w:val="clear"/>
            <w:tcMar>
              <w:top w:type="dxa" w:w="70"/>
              <w:left w:type="dxa" w:w="110"/>
              <w:bottom w:type="dxa" w:w="70"/>
              <w:right w:type="dxa" w:w="110"/>
            </w:tcMar>
          </w:tcPr>
          <w:p>
            <w:pPr>
              <w:spacing w:after="0" w:line="264"/>
              <w:jc w:val="right"/>
            </w:pPr>
            <w:r>
              <w:rPr>
                <w:b w:val="false"/>
                <w:bCs w:val="false"/>
                <w:color w:val="1A1A2E"/>
                <w:sz w:val="19"/>
                <w:szCs w:val="19"/>
              </w:rPr>
              <w:t xml:space="preserve">1.12</w:t>
            </w:r>
          </w:p>
        </w:tc>
      </w:tr>
      <w:tr>
        <w:tc>
          <w:tcPr>
            <w:tcW w:type="dxa" w:w="4200"/>
            <w:shd w:fill="EAEEF8" w:val="clear"/>
            <w:tcMar>
              <w:top w:type="dxa" w:w="70"/>
              <w:left w:type="dxa" w:w="110"/>
              <w:bottom w:type="dxa" w:w="70"/>
              <w:right w:type="dxa" w:w="110"/>
            </w:tcMar>
          </w:tcPr>
          <w:p>
            <w:pPr>
              <w:spacing w:after="0" w:line="264"/>
            </w:pPr>
            <w:r>
              <w:rPr>
                <w:b/>
                <w:bCs/>
                <w:color w:val="1F3A8A"/>
                <w:sz w:val="19"/>
                <w:szCs w:val="19"/>
              </w:rPr>
              <w:t xml:space="preserve">Net platform contribution</w:t>
            </w:r>
          </w:p>
        </w:tc>
        <w:tc>
          <w:tcPr>
            <w:tcW w:type="dxa" w:w="3160"/>
            <w:shd w:fill="EAEEF8" w:val="clear"/>
            <w:tcMar>
              <w:top w:type="dxa" w:w="70"/>
              <w:left w:type="dxa" w:w="110"/>
              <w:bottom w:type="dxa" w:w="70"/>
              <w:right w:type="dxa" w:w="110"/>
            </w:tcMar>
          </w:tcPr>
          <w:p>
            <w:pPr>
              <w:spacing w:after="0" w:line="264"/>
              <w:jc w:val="right"/>
            </w:pPr>
            <w:r>
              <w:rPr>
                <w:b/>
                <w:bCs/>
                <w:color w:val="1F3A8A"/>
                <w:sz w:val="19"/>
                <w:szCs w:val="19"/>
              </w:rPr>
              <w:t xml:space="preserve">Per booking, pre-overhead</w:t>
            </w:r>
          </w:p>
        </w:tc>
        <w:tc>
          <w:tcPr>
            <w:tcW w:type="dxa" w:w="2000"/>
            <w:shd w:fill="EAEEF8" w:val="clear"/>
            <w:tcMar>
              <w:top w:type="dxa" w:w="70"/>
              <w:left w:type="dxa" w:w="110"/>
              <w:bottom w:type="dxa" w:w="70"/>
              <w:right w:type="dxa" w:w="110"/>
            </w:tcMar>
          </w:tcPr>
          <w:p>
            <w:pPr>
              <w:spacing w:after="0" w:line="264"/>
              <w:jc w:val="right"/>
            </w:pPr>
            <w:r>
              <w:rPr>
                <w:b/>
                <w:bCs/>
                <w:color w:val="1F3A8A"/>
                <w:sz w:val="19"/>
                <w:szCs w:val="19"/>
              </w:rPr>
              <w:t xml:space="preserve">7.52</w:t>
            </w:r>
          </w:p>
        </w:tc>
      </w:tr>
      <w:tr>
        <w:tc>
          <w:tcPr>
            <w:tcW w:type="dxa" w:w="4200"/>
            <w:shd w:fill="FFFFFF" w:val="clear"/>
            <w:tcMar>
              <w:top w:type="dxa" w:w="70"/>
              <w:left w:type="dxa" w:w="110"/>
              <w:bottom w:type="dxa" w:w="70"/>
              <w:right w:type="dxa" w:w="110"/>
            </w:tcMar>
          </w:tcPr>
          <w:p>
            <w:pPr>
              <w:spacing w:after="0" w:line="264"/>
            </w:pPr>
            <w:r>
              <w:rPr>
                <w:b w:val="false"/>
                <w:bCs w:val="false"/>
                <w:color w:val="1A1A2E"/>
                <w:sz w:val="19"/>
                <w:szCs w:val="19"/>
              </w:rPr>
              <w:t xml:space="preserve">Venue receives</w:t>
            </w:r>
          </w:p>
        </w:tc>
        <w:tc>
          <w:tcPr>
            <w:tcW w:type="dxa" w:w="3160"/>
            <w:shd w:fill="FFFFFF" w:val="clear"/>
            <w:tcMar>
              <w:top w:type="dxa" w:w="70"/>
              <w:left w:type="dxa" w:w="110"/>
              <w:bottom w:type="dxa" w:w="70"/>
              <w:right w:type="dxa" w:w="110"/>
            </w:tcMar>
          </w:tcPr>
          <w:p>
            <w:pPr>
              <w:spacing w:after="0" w:line="264"/>
              <w:jc w:val="right"/>
            </w:pPr>
            <w:r>
              <w:rPr>
                <w:b w:val="false"/>
                <w:bCs w:val="false"/>
                <w:color w:val="1A1A2E"/>
                <w:sz w:val="19"/>
                <w:szCs w:val="19"/>
              </w:rPr>
              <w:t xml:space="preserve">Deal price less commission</w:t>
            </w:r>
          </w:p>
        </w:tc>
        <w:tc>
          <w:tcPr>
            <w:tcW w:type="dxa" w:w="2000"/>
            <w:shd w:fill="FFFFFF" w:val="clear"/>
            <w:tcMar>
              <w:top w:type="dxa" w:w="70"/>
              <w:left w:type="dxa" w:w="110"/>
              <w:bottom w:type="dxa" w:w="70"/>
              <w:right w:type="dxa" w:w="110"/>
            </w:tcMar>
          </w:tcPr>
          <w:p>
            <w:pPr>
              <w:spacing w:after="0" w:line="264"/>
              <w:jc w:val="right"/>
            </w:pPr>
            <w:r>
              <w:rPr>
                <w:b w:val="false"/>
                <w:bCs w:val="false"/>
                <w:color w:val="1A1A2E"/>
                <w:sz w:val="19"/>
                <w:szCs w:val="19"/>
              </w:rPr>
              <w:t xml:space="preserve">39.36</w:t>
            </w:r>
          </w:p>
        </w:tc>
      </w:tr>
    </w:tbl>
    <w:p>
      <w:pPr>
        <w:spacing w:after="60"/>
      </w:pPr>
      <w:r>
        <w:t xml:space="preserve"/>
      </w:r>
    </w:p>
    <w:p>
      <w:pPr>
        <w:spacing w:after="140" w:line="278"/>
      </w:pPr>
      <w:r>
        <w:t xml:space="preserve">On these assumptions the platform retains approximately </w:t>
      </w:r>
      <w:r>
        <w:rPr>
          <w:b/>
          <w:bCs/>
        </w:rPr>
        <w:t xml:space="preserve">A$7.52 per booking</w:t>
      </w:r>
      <w:r>
        <w:t xml:space="preserve"> before fixed overhead, the customer pays A$48 and sees a clear A$12 saving against the standard price, and the venue receives A$39.36 for capacity that would otherwise have generated nothing. Revenue comes solely from the venue commission. Three sensitivities determine how comfortably the model works:</w:t>
      </w:r>
    </w:p>
    <w:p>
      <w:pPr>
        <w:pStyle w:val="ListParagraph"/>
        <w:numPr>
          <w:ilvl w:val="0"/>
          <w:numId w:val="3"/>
        </w:numPr>
        <w:spacing w:after="90" w:line="272"/>
      </w:pPr>
      <w:r>
        <w:rPr>
          <w:b/>
          <w:bCs/>
        </w:rPr>
        <w:t xml:space="preserve">Commission rate is the principal lever. </w:t>
      </w:r>
      <w:r>
        <w:t xml:space="preserve">With no consumer fee, the commission is the only revenue source, so the rate matters more than in the original structure. 18% sits well below Groupon’s 35–50% but above pure booking-software fees of 6–8%. Anchoring launch venues nearer 15% to secure supply reduces net contribution to roughly A$6.10 on this example — a meaningful difference that must be weighed against ease of onboarding.</w:t>
      </w:r>
    </w:p>
    <w:p>
      <w:pPr>
        <w:pStyle w:val="ListParagraph"/>
        <w:numPr>
          <w:ilvl w:val="0"/>
          <w:numId w:val="3"/>
        </w:numPr>
        <w:spacing w:after="90" w:line="272"/>
      </w:pPr>
      <w:r>
        <w:rPr>
          <w:b/>
          <w:bCs/>
        </w:rPr>
        <w:t xml:space="preserve">Average order value is the second driver. </w:t>
      </w:r>
      <w:r>
        <w:t xml:space="preserve">Because the fixed A$0.30 processing component is constant, lower-value bookings are proportionally more expensive to process. A A$20 single booking nets only about A$2.96, whereas group bookings net far more (below). Party size and add-ons materially improve the economics.</w:t>
      </w:r>
    </w:p>
    <w:p>
      <w:pPr>
        <w:pStyle w:val="ListParagraph"/>
        <w:numPr>
          <w:ilvl w:val="0"/>
          <w:numId w:val="3"/>
        </w:numPr>
        <w:spacing w:after="90" w:line="272"/>
      </w:pPr>
      <w:r>
        <w:rPr>
          <w:b/>
          <w:bCs/>
        </w:rPr>
        <w:t xml:space="preserve">Payment-processing assumptions must be confirmed. </w:t>
      </w:r>
      <w:r>
        <w:t xml:space="preserve">The model uses standard Stripe Connect pricing. Should the Zivvo Card (Stripe Issuing) be introduced later for walk-in venues, issuing and funding costs would change those economics and must be modelled separately.</w:t>
      </w:r>
    </w:p>
    <w:p>
      <w:pPr>
        <w:spacing w:after="80"/>
      </w:pPr>
      <w:r>
        <w:t xml:space="preserve"/>
      </w:r>
    </w:p>
    <w:p>
      <w:pPr>
        <w:pStyle w:val="Heading3"/>
      </w:pPr>
      <w:r>
        <w:t xml:space="preserve">Illustrative group booking — a A$120 transaction</w:t>
      </w:r>
    </w:p>
    <w:p>
      <w:pPr>
        <w:spacing w:after="140" w:line="278"/>
      </w:pPr>
      <w:r>
        <w:t xml:space="preserve">Group and party bookings are identified in the dossier as the high-value, recurring use case. The same commission-only structure applied to a A$120 deal price: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5D5DE" w:sz="1"/>
              <w:left w:val="single" w:color="D5D5DE" w:sz="1"/>
              <w:bottom w:val="single" w:color="D5D5DE" w:sz="1"/>
              <w:right w:val="single" w:color="D5D5DE" w:sz="1"/>
            </w:tcBorders>
            <w:shd w:fill="1F3A8A" w:val="clear"/>
            <w:tcMar>
              <w:top w:type="dxa" w:w="80"/>
              <w:left w:type="dxa" w:w="110"/>
              <w:bottom w:type="dxa" w:w="80"/>
              <w:right w:type="dxa" w:w="110"/>
            </w:tcMar>
          </w:tcPr>
          <w:p>
            <w:pPr>
              <w:spacing w:after="0"/>
            </w:pPr>
            <w:r>
              <w:rPr>
                <w:b/>
                <w:bCs/>
                <w:color w:val="FFFFFF"/>
                <w:sz w:val="19"/>
                <w:szCs w:val="19"/>
              </w:rPr>
              <w:t xml:space="preserve">Line item</w:t>
            </w:r>
          </w:p>
        </w:tc>
        <w:tc>
          <w:tcPr>
            <w:tcW w:type="dxa" w:w="3000"/>
            <w:tcBorders>
              <w:top w:val="single" w:color="D5D5DE" w:sz="1"/>
              <w:left w:val="single" w:color="D5D5DE" w:sz="1"/>
              <w:bottom w:val="single" w:color="D5D5DE" w:sz="1"/>
              <w:right w:val="single" w:color="D5D5DE" w:sz="1"/>
            </w:tcBorders>
            <w:shd w:fill="1F3A8A" w:val="clear"/>
            <w:tcMar>
              <w:top w:type="dxa" w:w="80"/>
              <w:left w:type="dxa" w:w="110"/>
              <w:bottom w:type="dxa" w:w="80"/>
              <w:right w:type="dxa" w:w="110"/>
            </w:tcMar>
          </w:tcPr>
          <w:p>
            <w:pPr>
              <w:spacing w:after="0"/>
              <w:jc w:val="right"/>
            </w:pPr>
            <w:r>
              <w:rPr>
                <w:b/>
                <w:bCs/>
                <w:color w:val="FFFFFF"/>
                <w:sz w:val="19"/>
                <w:szCs w:val="19"/>
              </w:rPr>
              <w:t xml:space="preserve">Amount (A$)</w:t>
            </w:r>
          </w:p>
        </w:tc>
      </w:tr>
      <w:tr>
        <w:tc>
          <w:tcPr>
            <w:tcW w:type="dxa" w:w="6360"/>
            <w:shd w:fill="FFFFFF" w:val="clear"/>
            <w:tcMar>
              <w:top w:type="dxa" w:w="70"/>
              <w:left w:type="dxa" w:w="110"/>
              <w:bottom w:type="dxa" w:w="70"/>
              <w:right w:type="dxa" w:w="110"/>
            </w:tcMar>
          </w:tcPr>
          <w:p>
            <w:pPr>
              <w:spacing w:after="0" w:line="264"/>
            </w:pPr>
            <w:r>
              <w:rPr>
                <w:b w:val="false"/>
                <w:bCs w:val="false"/>
                <w:color w:val="1A1A2E"/>
                <w:sz w:val="19"/>
                <w:szCs w:val="19"/>
              </w:rPr>
              <w:t xml:space="preserve">Deal price = consumer pays</w:t>
            </w:r>
          </w:p>
        </w:tc>
        <w:tc>
          <w:tcPr>
            <w:tcW w:type="dxa" w:w="3000"/>
            <w:shd w:fill="FFFFFF" w:val="clear"/>
            <w:tcMar>
              <w:top w:type="dxa" w:w="70"/>
              <w:left w:type="dxa" w:w="110"/>
              <w:bottom w:type="dxa" w:w="70"/>
              <w:right w:type="dxa" w:w="110"/>
            </w:tcMar>
          </w:tcPr>
          <w:p>
            <w:pPr>
              <w:spacing w:after="0" w:line="264"/>
              <w:jc w:val="right"/>
            </w:pPr>
            <w:r>
              <w:rPr>
                <w:b w:val="false"/>
                <w:bCs w:val="false"/>
                <w:color w:val="1A1A2E"/>
                <w:sz w:val="19"/>
                <w:szCs w:val="19"/>
              </w:rPr>
              <w:t xml:space="preserve">120.00</w:t>
            </w:r>
          </w:p>
        </w:tc>
      </w:tr>
      <w:tr>
        <w:tc>
          <w:tcPr>
            <w:tcW w:type="dxa" w:w="6360"/>
            <w:shd w:fill="F1F1F4" w:val="clear"/>
            <w:tcMar>
              <w:top w:type="dxa" w:w="70"/>
              <w:left w:type="dxa" w:w="110"/>
              <w:bottom w:type="dxa" w:w="70"/>
              <w:right w:type="dxa" w:w="110"/>
            </w:tcMar>
          </w:tcPr>
          <w:p>
            <w:pPr>
              <w:spacing w:after="0" w:line="264"/>
            </w:pPr>
            <w:r>
              <w:rPr>
                <w:b w:val="false"/>
                <w:bCs w:val="false"/>
                <w:color w:val="1A1A2E"/>
                <w:sz w:val="19"/>
                <w:szCs w:val="19"/>
              </w:rPr>
              <w:t xml:space="preserve">Venue commission (18%)</w:t>
            </w:r>
          </w:p>
        </w:tc>
        <w:tc>
          <w:tcPr>
            <w:tcW w:type="dxa" w:w="3000"/>
            <w:shd w:fill="F1F1F4" w:val="clear"/>
            <w:tcMar>
              <w:top w:type="dxa" w:w="70"/>
              <w:left w:type="dxa" w:w="110"/>
              <w:bottom w:type="dxa" w:w="70"/>
              <w:right w:type="dxa" w:w="110"/>
            </w:tcMar>
          </w:tcPr>
          <w:p>
            <w:pPr>
              <w:spacing w:after="0" w:line="264"/>
              <w:jc w:val="right"/>
            </w:pPr>
            <w:r>
              <w:rPr>
                <w:b w:val="false"/>
                <w:bCs w:val="false"/>
                <w:color w:val="1A1A2E"/>
                <w:sz w:val="19"/>
                <w:szCs w:val="19"/>
              </w:rPr>
              <w:t xml:space="preserve">21.60</w:t>
            </w:r>
          </w:p>
        </w:tc>
      </w:tr>
      <w:tr>
        <w:tc>
          <w:tcPr>
            <w:tcW w:type="dxa" w:w="6360"/>
            <w:shd w:fill="FFFFFF" w:val="clear"/>
            <w:tcMar>
              <w:top w:type="dxa" w:w="70"/>
              <w:left w:type="dxa" w:w="110"/>
              <w:bottom w:type="dxa" w:w="70"/>
              <w:right w:type="dxa" w:w="110"/>
            </w:tcMar>
          </w:tcPr>
          <w:p>
            <w:pPr>
              <w:spacing w:after="0" w:line="264"/>
            </w:pPr>
            <w:r>
              <w:rPr>
                <w:b w:val="false"/>
                <w:bCs w:val="false"/>
                <w:color w:val="1A1A2E"/>
                <w:sz w:val="19"/>
                <w:szCs w:val="19"/>
              </w:rPr>
              <w:t xml:space="preserve">Less: Stripe processing (1.7% + A$0.30)</w:t>
            </w:r>
          </w:p>
        </w:tc>
        <w:tc>
          <w:tcPr>
            <w:tcW w:type="dxa" w:w="3000"/>
            <w:shd w:fill="FFFFFF" w:val="clear"/>
            <w:tcMar>
              <w:top w:type="dxa" w:w="70"/>
              <w:left w:type="dxa" w:w="110"/>
              <w:bottom w:type="dxa" w:w="70"/>
              <w:right w:type="dxa" w:w="110"/>
            </w:tcMar>
          </w:tcPr>
          <w:p>
            <w:pPr>
              <w:spacing w:after="0" w:line="264"/>
              <w:jc w:val="right"/>
            </w:pPr>
            <w:r>
              <w:rPr>
                <w:b w:val="false"/>
                <w:bCs w:val="false"/>
                <w:color w:val="1A1A2E"/>
                <w:sz w:val="19"/>
                <w:szCs w:val="19"/>
              </w:rPr>
              <w:t xml:space="preserve">2.34</w:t>
            </w:r>
          </w:p>
        </w:tc>
      </w:tr>
      <w:tr>
        <w:tc>
          <w:tcPr>
            <w:tcW w:type="dxa" w:w="6360"/>
            <w:shd w:fill="EAEEF8" w:val="clear"/>
            <w:tcMar>
              <w:top w:type="dxa" w:w="70"/>
              <w:left w:type="dxa" w:w="110"/>
              <w:bottom w:type="dxa" w:w="70"/>
              <w:right w:type="dxa" w:w="110"/>
            </w:tcMar>
          </w:tcPr>
          <w:p>
            <w:pPr>
              <w:spacing w:after="0" w:line="264"/>
            </w:pPr>
            <w:r>
              <w:rPr>
                <w:b/>
                <w:bCs/>
                <w:color w:val="1F3A8A"/>
                <w:sz w:val="19"/>
                <w:szCs w:val="19"/>
              </w:rPr>
              <w:t xml:space="preserve">Net platform contribution</w:t>
            </w:r>
          </w:p>
        </w:tc>
        <w:tc>
          <w:tcPr>
            <w:tcW w:type="dxa" w:w="3000"/>
            <w:shd w:fill="EAEEF8" w:val="clear"/>
            <w:tcMar>
              <w:top w:type="dxa" w:w="70"/>
              <w:left w:type="dxa" w:w="110"/>
              <w:bottom w:type="dxa" w:w="70"/>
              <w:right w:type="dxa" w:w="110"/>
            </w:tcMar>
          </w:tcPr>
          <w:p>
            <w:pPr>
              <w:spacing w:after="0" w:line="264"/>
              <w:jc w:val="right"/>
            </w:pPr>
            <w:r>
              <w:rPr>
                <w:b/>
                <w:bCs/>
                <w:color w:val="1F3A8A"/>
                <w:sz w:val="19"/>
                <w:szCs w:val="19"/>
              </w:rPr>
              <w:t xml:space="preserve">19.26</w:t>
            </w:r>
          </w:p>
        </w:tc>
      </w:tr>
      <w:tr>
        <w:tc>
          <w:tcPr>
            <w:tcW w:type="dxa" w:w="6360"/>
            <w:shd w:fill="FFFFFF" w:val="clear"/>
            <w:tcMar>
              <w:top w:type="dxa" w:w="70"/>
              <w:left w:type="dxa" w:w="110"/>
              <w:bottom w:type="dxa" w:w="70"/>
              <w:right w:type="dxa" w:w="110"/>
            </w:tcMar>
          </w:tcPr>
          <w:p>
            <w:pPr>
              <w:spacing w:after="0" w:line="264"/>
            </w:pPr>
            <w:r>
              <w:rPr>
                <w:b w:val="false"/>
                <w:bCs w:val="false"/>
                <w:color w:val="1A1A2E"/>
                <w:sz w:val="19"/>
                <w:szCs w:val="19"/>
              </w:rPr>
              <w:t xml:space="preserve">Venue receives</w:t>
            </w:r>
          </w:p>
        </w:tc>
        <w:tc>
          <w:tcPr>
            <w:tcW w:type="dxa" w:w="3000"/>
            <w:shd w:fill="FFFFFF" w:val="clear"/>
            <w:tcMar>
              <w:top w:type="dxa" w:w="70"/>
              <w:left w:type="dxa" w:w="110"/>
              <w:bottom w:type="dxa" w:w="70"/>
              <w:right w:type="dxa" w:w="110"/>
            </w:tcMar>
          </w:tcPr>
          <w:p>
            <w:pPr>
              <w:spacing w:after="0" w:line="264"/>
              <w:jc w:val="right"/>
            </w:pPr>
            <w:r>
              <w:rPr>
                <w:b w:val="false"/>
                <w:bCs w:val="false"/>
                <w:color w:val="1A1A2E"/>
                <w:sz w:val="19"/>
                <w:szCs w:val="19"/>
              </w:rPr>
              <w:t xml:space="preserve">98.40</w:t>
            </w:r>
          </w:p>
        </w:tc>
      </w:tr>
    </w:tbl>
    <w:p>
      <w:pPr>
        <w:spacing w:after="60"/>
      </w:pPr>
      <w:r>
        <w:t xml:space="preserve"/>
      </w:r>
    </w:p>
    <w:p>
      <w:pPr>
        <w:spacing w:after="140" w:line="278"/>
      </w:pPr>
      <w:r>
        <w:t xml:space="preserve">Net contribution rises to roughly </w:t>
      </w:r>
      <w:r>
        <w:rPr>
          <w:b/>
          <w:bCs/>
        </w:rPr>
        <w:t xml:space="preserve">A$19 per booking</w:t>
      </w:r>
      <w:r>
        <w:t xml:space="preserve"> — about 2.5× the single-activity example — confirming that group and party bookings are the economically decisive segment and should be prioritised in both product and acquisition.</w:t>
      </w:r>
    </w:p>
    <w:p>
      <w:pPr>
        <w:spacing w:after="60"/>
      </w:pPr>
      <w:r>
        <w:t xml:space="preserve"/>
      </w:r>
    </w:p>
    <w:tbl>
      <w:tblPr>
        <w:tblW w:type="dxa" w:w="9360"/>
        <w:tblBorders>
          <w:top w:val="single" w:color="F1F1F4" w:sz="2"/>
          <w:left w:val="single" w:color="5C5C6B" w:sz="24"/>
          <w:bottom w:val="single" w:color="F1F1F4" w:sz="2"/>
          <w:right w:val="single" w:color="F1F1F4" w:sz="2"/>
          <w:insideH w:val="single" w:color="auto" w:sz="4"/>
          <w:insideV w:val="single" w:color="auto" w:sz="4"/>
        </w:tblBorders>
      </w:tblPr>
      <w:tblGrid>
        <w:gridCol w:w="9360"/>
      </w:tblGrid>
      <w:tr>
        <w:tc>
          <w:tcPr>
            <w:tcW w:type="dxa" w:w="9360"/>
            <w:shd w:fill="F1F1F4" w:val="clear"/>
            <w:tcMar>
              <w:top w:type="dxa" w:w="140"/>
              <w:left w:type="dxa" w:w="220"/>
              <w:bottom w:type="dxa" w:w="140"/>
              <w:right w:type="dxa" w:w="200"/>
            </w:tcMar>
          </w:tcPr>
          <w:p>
            <w:pPr>
              <w:spacing w:after="0"/>
            </w:pPr>
            <w:r>
              <w:rPr>
                <w:b/>
                <w:bCs/>
              </w:rPr>
              <w:t xml:space="preserve">Break-even framing. </w:t>
            </w:r>
            <w:r>
              <w:t xml:space="preserve">At roughly A$7.50 net contribution per standard booking, covering a modest monthly fixed-cost base (hosting, tooling, payment-platform fees and basic operations) requires on the order of a few hundred bookings per month — achievable within a single concentrated Melbourne vertical. The accompanying spreadsheet allows commission, discount, order value and volume to be varied directly.</w:t>
            </w:r>
          </w:p>
        </w:tc>
      </w:tr>
    </w:tbl>
    <w:p>
      <w:r>
        <w:br w:type="page"/>
      </w:r>
    </w:p>
    <w:p>
      <w:pPr>
        <w:pStyle w:val="Heading1"/>
      </w:pPr>
      <w:r>
        <w:t xml:space="preserve">5. Path to launch</w:t>
      </w:r>
    </w:p>
    <w:p>
      <w:pPr>
        <w:spacing w:after="140" w:line="278"/>
      </w:pPr>
      <w:r>
        <w:t xml:space="preserve">The route from the current dossier to a working MVP comprises two phases — discovery (decide and de-risk) and delivery (build and pilot). The discovery phase is intended to make the delivery phase routine: by the point development begins, every material decision is settled.</w:t>
      </w:r>
    </w:p>
    <w:p>
      <w:pPr>
        <w:pStyle w:val="Heading2"/>
      </w:pPr>
      <w:r>
        <w:t xml:space="preserve">5.1  Discovery phase — decide and de-risk</w:t>
      </w:r>
    </w:p>
    <w:p>
      <w:pPr>
        <w:spacing w:after="140" w:line="278"/>
      </w:pPr>
      <w:r>
        <w:t xml:space="preserve">Predominantly venue conversations, financial modelling and decision-making rather than development.</w:t>
      </w:r>
    </w:p>
    <w:p>
      <w:pPr>
        <w:pStyle w:val="Heading3"/>
      </w:pPr>
      <w:r>
        <w:t xml:space="preserve">Step 1 — Confirm the foundational decisions</w:t>
      </w:r>
    </w:p>
    <w:p>
      <w:pPr>
        <w:pStyle w:val="ListParagraph"/>
        <w:numPr>
          <w:ilvl w:val="0"/>
          <w:numId w:val="2"/>
        </w:numPr>
        <w:spacing w:after="100" w:line="272"/>
      </w:pPr>
      <w:r>
        <w:rPr>
          <w:b/>
          <w:bCs/>
        </w:rPr>
        <w:t xml:space="preserve">Launch market: </w:t>
      </w:r>
      <w:r>
        <w:t xml:space="preserve">Melbourne (confirmed).</w:t>
      </w:r>
    </w:p>
    <w:p>
      <w:pPr>
        <w:pStyle w:val="ListParagraph"/>
        <w:numPr>
          <w:ilvl w:val="0"/>
          <w:numId w:val="2"/>
        </w:numPr>
        <w:spacing w:after="100" w:line="272"/>
      </w:pPr>
      <w:r>
        <w:rPr>
          <w:b/>
          <w:bCs/>
        </w:rPr>
        <w:t xml:space="preserve">Launch vertical: </w:t>
      </w:r>
      <w:r>
        <w:t xml:space="preserve">a single category with the clearest perishable capacity — bowling or escape rooms are the strongest candidates.</w:t>
      </w:r>
    </w:p>
    <w:p>
      <w:pPr>
        <w:pStyle w:val="ListParagraph"/>
        <w:numPr>
          <w:ilvl w:val="0"/>
          <w:numId w:val="2"/>
        </w:numPr>
        <w:spacing w:after="100" w:line="272"/>
      </w:pPr>
      <w:r>
        <w:rPr>
          <w:b/>
          <w:bCs/>
        </w:rPr>
        <w:t xml:space="preserve">Redemption model: </w:t>
      </w:r>
      <w:r>
        <w:t xml:space="preserve">resolve the QR / name-match question (Issue 2.2).</w:t>
      </w:r>
    </w:p>
    <w:p>
      <w:pPr>
        <w:pStyle w:val="ListParagraph"/>
        <w:numPr>
          <w:ilvl w:val="0"/>
          <w:numId w:val="2"/>
        </w:numPr>
        <w:spacing w:after="100" w:line="272"/>
      </w:pPr>
      <w:r>
        <w:rPr>
          <w:b/>
          <w:bCs/>
        </w:rPr>
        <w:t xml:space="preserve">Release scope: </w:t>
      </w:r>
      <w:r>
        <w:t xml:space="preserve">confirm pre-paid bookings only, with the Card deferred (Issue 2.1).</w:t>
      </w:r>
    </w:p>
    <w:p>
      <w:pPr>
        <w:pStyle w:val="Heading3"/>
      </w:pPr>
      <w:r>
        <w:t xml:space="preserve">Step 2 — Validate supply</w:t>
      </w:r>
    </w:p>
    <w:p>
      <w:pPr>
        <w:spacing w:after="140" w:line="278"/>
      </w:pPr>
      <w:r>
        <w:t xml:space="preserve">Conduct eight to ten structured conversations with Melbourne venues in the chosen vertical to confirm that off-peak troughs are commercially painful, that operators will release discounted capacity, what commission is acceptable, and which booking systems are already in use. This is the determining factor for the venture and precedes all development.</w:t>
      </w:r>
    </w:p>
    <w:p>
      <w:pPr>
        <w:pStyle w:val="Heading3"/>
      </w:pPr>
      <w:r>
        <w:t xml:space="preserve">Step 3 — Finalise the unit-economics model</w:t>
      </w:r>
    </w:p>
    <w:p>
      <w:pPr>
        <w:spacing w:after="140" w:line="278"/>
      </w:pPr>
      <w:r>
        <w:t xml:space="preserve">Confirm the Section 4 model against live venue data and Australian processing rates, producing a defensible per-booking contribution figure that also serves as the venue-facing commercial case.</w:t>
      </w:r>
    </w:p>
    <w:p>
      <w:pPr>
        <w:pStyle w:val="Heading3"/>
      </w:pPr>
      <w:r>
        <w:t xml:space="preserve">Step 4 — Resolve open product decisions and freeze scope</w:t>
      </w:r>
    </w:p>
    <w:p>
      <w:pPr>
        <w:spacing w:after="140" w:line="278"/>
      </w:pPr>
      <w:r>
        <w:t xml:space="preserve">Record resolutions to all five issues in a decisions log and freeze a one-page first-release feature list. Anything excluded is explicitly assigned to a later phase.</w:t>
      </w:r>
    </w:p>
    <w:tbl>
      <w:tblPr>
        <w:tblW w:type="dxa" w:w="9360"/>
        <w:tblBorders>
          <w:top w:val="single" w:color="F1F1F4" w:sz="2"/>
          <w:left w:val="single" w:color="5C5C6B" w:sz="24"/>
          <w:bottom w:val="single" w:color="F1F1F4" w:sz="2"/>
          <w:right w:val="single" w:color="F1F1F4" w:sz="2"/>
          <w:insideH w:val="single" w:color="auto" w:sz="4"/>
          <w:insideV w:val="single" w:color="auto" w:sz="4"/>
        </w:tblBorders>
      </w:tblPr>
      <w:tblGrid>
        <w:gridCol w:w="9360"/>
      </w:tblGrid>
      <w:tr>
        <w:tc>
          <w:tcPr>
            <w:tcW w:type="dxa" w:w="9360"/>
            <w:shd w:fill="F1F1F4" w:val="clear"/>
            <w:tcMar>
              <w:top w:type="dxa" w:w="140"/>
              <w:left w:type="dxa" w:w="220"/>
              <w:bottom w:type="dxa" w:w="140"/>
              <w:right w:type="dxa" w:w="200"/>
            </w:tcMar>
          </w:tcPr>
          <w:p>
            <w:pPr>
              <w:spacing w:after="0"/>
            </w:pPr>
            <w:r>
              <w:rPr>
                <w:b/>
                <w:bCs/>
              </w:rPr>
              <w:t xml:space="preserve">Discovery is complete when: </w:t>
            </w:r>
            <w:r>
              <w:t xml:space="preserve">market and vertical are confirmed; eight to ten venue conversations are held; a validated economic model exists; the five issues are resolved in a decisions log; and a one-page release scope is frozen. No development occurs in this phase.</w:t>
            </w:r>
          </w:p>
        </w:tc>
      </w:tr>
    </w:tbl>
    <w:p>
      <w:pPr>
        <w:pStyle w:val="Heading2"/>
      </w:pPr>
      <w:r>
        <w:t xml:space="preserve">5.2  Delivery phase — build and pilot</w:t>
      </w:r>
    </w:p>
    <w:p>
      <w:pPr>
        <w:spacing w:after="140" w:line="278"/>
      </w:pPr>
      <w:r>
        <w:t xml:space="preserve">Sequenced to retire the greatest risk earliest. The objective of the first release is to prove the core loop: an operator lists off-peak capacity, a consumer discovers and books it, redemption occurs, and both parties realise value.</w:t>
      </w:r>
    </w:p>
    <w:p>
      <w:pPr>
        <w:pStyle w:val="Heading3"/>
      </w:pPr>
      <w:r>
        <w:t xml:space="preserve">Step 5 — Booking engine</w:t>
      </w:r>
    </w:p>
    <w:p>
      <w:pPr>
        <w:spacing w:after="140" w:line="278"/>
      </w:pPr>
      <w:r>
        <w:t xml:space="preserve">Build and load-test the capacity-over-time engine first, before any interface. It must be incapable of double-booking under concurrent demand. This is the one irreplaceable component.</w:t>
      </w:r>
    </w:p>
    <w:p>
      <w:pPr>
        <w:pStyle w:val="Heading3"/>
      </w:pPr>
      <w:r>
        <w:t xml:space="preserve">Step 6 — Operator portal and seed data</w:t>
      </w:r>
    </w:p>
    <w:p>
      <w:pPr>
        <w:spacing w:after="140" w:line="278"/>
      </w:pPr>
      <w:r>
        <w:t xml:space="preserve">A tenant-isolated portal through which a venue can set capacity and post off-peak deals, exposing a clean availability feed. Seed with realistic mock venues so the full loop functions before any real point-of-sale integration.</w:t>
      </w:r>
    </w:p>
    <w:p>
      <w:pPr>
        <w:pStyle w:val="Heading3"/>
      </w:pPr>
      <w:r>
        <w:t xml:space="preserve">Step 7 — Consumer application (core flow only)</w:t>
      </w:r>
    </w:p>
    <w:p>
      <w:pPr>
        <w:spacing w:after="140" w:line="278"/>
      </w:pPr>
      <w:r>
        <w:t xml:space="preserve">Onboarding, a “today” feed with map and day-picker, venue and deal detail, the booking flow with party size and add-ons, pre-payment, and confirmation. The “Free tonight?” function ships here — it is the availability feed plus a filter, and provides the principal consumer hook. No further scope in the first release.</w:t>
      </w:r>
    </w:p>
    <w:p>
      <w:pPr>
        <w:pStyle w:val="Heading3"/>
      </w:pPr>
      <w:r>
        <w:t xml:space="preserve">Step 8 — Payments (pre-paid only)</w:t>
      </w:r>
    </w:p>
    <w:p>
      <w:pPr>
        <w:spacing w:after="140" w:line="278"/>
      </w:pPr>
      <w:r>
        <w:t xml:space="preserve">Stripe Connect for the marketplace split: the consumer pre-pays the discounted price, the venue receives its share net of commission, and the platform retains its fee. No issuing, card or QR component.</w:t>
      </w:r>
    </w:p>
    <w:p>
      <w:pPr>
        <w:pStyle w:val="Heading3"/>
      </w:pPr>
      <w:r>
        <w:t xml:space="preserve">Step 9 — Closed pilot</w:t>
      </w:r>
    </w:p>
    <w:p>
      <w:pPr>
        <w:spacing w:after="140" w:line="278"/>
      </w:pPr>
      <w:r>
        <w:t xml:space="preserve">Onboard three to five committed venues from discovery and run real bookings with a small invited user group. The decisive metric is whether venues record off-peak fill they would not otherwise have achieved; that demonstrated return is what retains operators and signals whether to scale.</w:t>
      </w:r>
    </w:p>
    <w:tbl>
      <w:tblPr>
        <w:tblW w:type="dxa" w:w="9360"/>
        <w:tblBorders>
          <w:top w:val="single" w:color="E6F4EE" w:sz="2"/>
          <w:left w:val="single" w:color="0F7A54" w:sz="24"/>
          <w:bottom w:val="single" w:color="E6F4EE" w:sz="2"/>
          <w:right w:val="single" w:color="E6F4EE" w:sz="2"/>
          <w:insideH w:val="single" w:color="auto" w:sz="4"/>
          <w:insideV w:val="single" w:color="auto" w:sz="4"/>
        </w:tblBorders>
      </w:tblPr>
      <w:tblGrid>
        <w:gridCol w:w="9360"/>
      </w:tblGrid>
      <w:tr>
        <w:tc>
          <w:tcPr>
            <w:tcW w:type="dxa" w:w="9360"/>
            <w:shd w:fill="E6F4EE" w:val="clear"/>
            <w:tcMar>
              <w:top w:type="dxa" w:w="140"/>
              <w:left w:type="dxa" w:w="220"/>
              <w:bottom w:type="dxa" w:w="140"/>
              <w:right w:type="dxa" w:w="200"/>
            </w:tcMar>
          </w:tcPr>
          <w:p>
            <w:pPr>
              <w:spacing w:after="0"/>
            </w:pPr>
            <w:r>
              <w:rPr>
                <w:b/>
                <w:bCs/>
                <w:color w:val="0F7A54"/>
              </w:rPr>
              <w:t xml:space="preserve">Launch is achieved when: </w:t>
            </w:r>
            <w:r>
              <w:t xml:space="preserve">a consumer in Melbourne can find a genuine off-peak deal, book and pay for it, attend without friction, and the venue can see it filled capacity that would otherwise have gone unsold. This is the full thesis, proven at small scale.</w:t>
            </w:r>
          </w:p>
        </w:tc>
      </w:tr>
    </w:tbl>
    <w:p>
      <w:r>
        <w:br w:type="page"/>
      </w:r>
    </w:p>
    <w:p>
      <w:pPr>
        <w:pStyle w:val="Heading1"/>
      </w:pPr>
      <w:r>
        <w:t xml:space="preserve">6. Indicative timeline</w:t>
      </w:r>
    </w:p>
    <w:p>
      <w:pPr>
        <w:spacing w:after="140" w:line="278"/>
      </w:pPr>
      <w:r>
        <w:t xml:space="preserve">The estimates below assume a part-time team operating alongside existing commitments. They indicate sequence and relative effort rather than firm commitments; early phases compress where AI tooling is applied to research, scaffolding and copy.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2000"/>
      </w:tblGrid>
      <w:tr>
        <w:trPr>
          <w:tblHeader/>
        </w:trPr>
        <w:tc>
          <w:tcPr>
            <w:tcW w:type="dxa" w:w="1700"/>
            <w:tcBorders>
              <w:top w:val="single" w:color="D5D5DE" w:sz="1"/>
              <w:left w:val="single" w:color="D5D5DE" w:sz="1"/>
              <w:bottom w:val="single" w:color="D5D5DE" w:sz="1"/>
              <w:right w:val="single" w:color="D5D5DE" w:sz="1"/>
            </w:tcBorders>
            <w:shd w:fill="1F3A8A" w:val="clear"/>
            <w:tcMar>
              <w:top w:type="dxa" w:w="80"/>
              <w:left w:type="dxa" w:w="110"/>
              <w:bottom w:type="dxa" w:w="80"/>
              <w:right w:type="dxa" w:w="110"/>
            </w:tcMar>
          </w:tcPr>
          <w:p>
            <w:pPr>
              <w:spacing w:after="0"/>
            </w:pPr>
            <w:r>
              <w:rPr>
                <w:b/>
                <w:bCs/>
                <w:color w:val="FFFFFF"/>
                <w:sz w:val="19"/>
                <w:szCs w:val="19"/>
              </w:rPr>
              <w:t xml:space="preserve">Phase</w:t>
            </w:r>
          </w:p>
        </w:tc>
        <w:tc>
          <w:tcPr>
            <w:tcW w:type="dxa" w:w="5660"/>
            <w:tcBorders>
              <w:top w:val="single" w:color="D5D5DE" w:sz="1"/>
              <w:left w:val="single" w:color="D5D5DE" w:sz="1"/>
              <w:bottom w:val="single" w:color="D5D5DE" w:sz="1"/>
              <w:right w:val="single" w:color="D5D5DE" w:sz="1"/>
            </w:tcBorders>
            <w:shd w:fill="1F3A8A" w:val="clear"/>
            <w:tcMar>
              <w:top w:type="dxa" w:w="80"/>
              <w:left w:type="dxa" w:w="110"/>
              <w:bottom w:type="dxa" w:w="80"/>
              <w:right w:type="dxa" w:w="110"/>
            </w:tcMar>
          </w:tcPr>
          <w:p>
            <w:pPr>
              <w:spacing w:after="0"/>
            </w:pPr>
            <w:r>
              <w:rPr>
                <w:b/>
                <w:bCs/>
                <w:color w:val="FFFFFF"/>
                <w:sz w:val="19"/>
                <w:szCs w:val="19"/>
              </w:rPr>
              <w:t xml:space="preserve">Principal activities</w:t>
            </w:r>
          </w:p>
        </w:tc>
        <w:tc>
          <w:tcPr>
            <w:tcW w:type="dxa" w:w="2000"/>
            <w:tcBorders>
              <w:top w:val="single" w:color="D5D5DE" w:sz="1"/>
              <w:left w:val="single" w:color="D5D5DE" w:sz="1"/>
              <w:bottom w:val="single" w:color="D5D5DE" w:sz="1"/>
              <w:right w:val="single" w:color="D5D5DE" w:sz="1"/>
            </w:tcBorders>
            <w:shd w:fill="1F3A8A" w:val="clear"/>
            <w:tcMar>
              <w:top w:type="dxa" w:w="80"/>
              <w:left w:type="dxa" w:w="110"/>
              <w:bottom w:type="dxa" w:w="80"/>
              <w:right w:type="dxa" w:w="110"/>
            </w:tcMar>
          </w:tcPr>
          <w:p>
            <w:pPr>
              <w:spacing w:after="0"/>
            </w:pPr>
            <w:r>
              <w:rPr>
                <w:b/>
                <w:bCs/>
                <w:color w:val="FFFFFF"/>
                <w:sz w:val="19"/>
                <w:szCs w:val="19"/>
              </w:rPr>
              <w:t xml:space="preserve">Indicative effort</w:t>
            </w:r>
          </w:p>
        </w:tc>
      </w:tr>
      <w:tr>
        <w:tc>
          <w:tcPr>
            <w:tcW w:type="dxa" w:w="1700"/>
            <w:shd w:fill="FFFFFF" w:val="clear"/>
            <w:tcMar>
              <w:top w:type="dxa" w:w="70"/>
              <w:left w:type="dxa" w:w="110"/>
              <w:bottom w:type="dxa" w:w="70"/>
              <w:right w:type="dxa" w:w="110"/>
            </w:tcMar>
          </w:tcPr>
          <w:p>
            <w:pPr>
              <w:spacing w:after="0" w:line="264"/>
            </w:pPr>
            <w:r>
              <w:rPr>
                <w:b w:val="false"/>
                <w:bCs w:val="false"/>
                <w:color w:val="1A1A2E"/>
                <w:sz w:val="19"/>
                <w:szCs w:val="19"/>
              </w:rPr>
              <w:t xml:space="preserve">Discovery</w:t>
            </w:r>
          </w:p>
        </w:tc>
        <w:tc>
          <w:tcPr>
            <w:tcW w:type="dxa" w:w="5660"/>
            <w:shd w:fill="FFFFFF" w:val="clear"/>
            <w:tcMar>
              <w:top w:type="dxa" w:w="70"/>
              <w:left w:type="dxa" w:w="110"/>
              <w:bottom w:type="dxa" w:w="70"/>
              <w:right w:type="dxa" w:w="110"/>
            </w:tcMar>
          </w:tcPr>
          <w:p>
            <w:pPr>
              <w:spacing w:after="0" w:line="264"/>
            </w:pPr>
            <w:r>
              <w:rPr>
                <w:b w:val="false"/>
                <w:bCs w:val="false"/>
                <w:color w:val="1A1A2E"/>
                <w:sz w:val="19"/>
                <w:szCs w:val="19"/>
              </w:rPr>
              <w:t xml:space="preserve">Confirm four decisions; 8–10 venue conversations; finalise economics; resolve five issues; freeze scope</w:t>
            </w:r>
          </w:p>
        </w:tc>
        <w:tc>
          <w:tcPr>
            <w:tcW w:type="dxa" w:w="2000"/>
            <w:shd w:fill="FFFFFF" w:val="clear"/>
            <w:tcMar>
              <w:top w:type="dxa" w:w="70"/>
              <w:left w:type="dxa" w:w="110"/>
              <w:bottom w:type="dxa" w:w="70"/>
              <w:right w:type="dxa" w:w="110"/>
            </w:tcMar>
          </w:tcPr>
          <w:p>
            <w:pPr>
              <w:spacing w:after="0" w:line="264"/>
            </w:pPr>
            <w:r>
              <w:rPr>
                <w:b w:val="false"/>
                <w:bCs w:val="false"/>
                <w:color w:val="1A1A2E"/>
                <w:sz w:val="19"/>
                <w:szCs w:val="19"/>
              </w:rPr>
              <w:t xml:space="preserve">2–4 weeks</w:t>
            </w:r>
          </w:p>
        </w:tc>
      </w:tr>
      <w:tr>
        <w:tc>
          <w:tcPr>
            <w:tcW w:type="dxa" w:w="1700"/>
            <w:shd w:fill="F1F1F4" w:val="clear"/>
            <w:tcMar>
              <w:top w:type="dxa" w:w="70"/>
              <w:left w:type="dxa" w:w="110"/>
              <w:bottom w:type="dxa" w:w="70"/>
              <w:right w:type="dxa" w:w="110"/>
            </w:tcMar>
          </w:tcPr>
          <w:p>
            <w:pPr>
              <w:spacing w:after="0" w:line="264"/>
            </w:pPr>
            <w:r>
              <w:rPr>
                <w:b w:val="false"/>
                <w:bCs w:val="false"/>
                <w:color w:val="1A1A2E"/>
                <w:sz w:val="19"/>
                <w:szCs w:val="19"/>
              </w:rPr>
              <w:t xml:space="preserve">Booking engine</w:t>
            </w:r>
          </w:p>
        </w:tc>
        <w:tc>
          <w:tcPr>
            <w:tcW w:type="dxa" w:w="5660"/>
            <w:shd w:fill="F1F1F4" w:val="clear"/>
            <w:tcMar>
              <w:top w:type="dxa" w:w="70"/>
              <w:left w:type="dxa" w:w="110"/>
              <w:bottom w:type="dxa" w:w="70"/>
              <w:right w:type="dxa" w:w="110"/>
            </w:tcMar>
          </w:tcPr>
          <w:p>
            <w:pPr>
              <w:spacing w:after="0" w:line="264"/>
            </w:pPr>
            <w:r>
              <w:rPr>
                <w:b w:val="false"/>
                <w:bCs w:val="false"/>
                <w:color w:val="1A1A2E"/>
                <w:sz w:val="19"/>
                <w:szCs w:val="19"/>
              </w:rPr>
              <w:t xml:space="preserve">Capacity engine with enforced conflict prevention; mock venue dataset</w:t>
            </w:r>
          </w:p>
        </w:tc>
        <w:tc>
          <w:tcPr>
            <w:tcW w:type="dxa" w:w="2000"/>
            <w:shd w:fill="F1F1F4" w:val="clear"/>
            <w:tcMar>
              <w:top w:type="dxa" w:w="70"/>
              <w:left w:type="dxa" w:w="110"/>
              <w:bottom w:type="dxa" w:w="70"/>
              <w:right w:type="dxa" w:w="110"/>
            </w:tcMar>
          </w:tcPr>
          <w:p>
            <w:pPr>
              <w:spacing w:after="0" w:line="264"/>
            </w:pPr>
            <w:r>
              <w:rPr>
                <w:b w:val="false"/>
                <w:bCs w:val="false"/>
                <w:color w:val="1A1A2E"/>
                <w:sz w:val="19"/>
                <w:szCs w:val="19"/>
              </w:rPr>
              <w:t xml:space="preserve">1–2 weeks</w:t>
            </w:r>
          </w:p>
        </w:tc>
      </w:tr>
      <w:tr>
        <w:tc>
          <w:tcPr>
            <w:tcW w:type="dxa" w:w="1700"/>
            <w:shd w:fill="FFFFFF" w:val="clear"/>
            <w:tcMar>
              <w:top w:type="dxa" w:w="70"/>
              <w:left w:type="dxa" w:w="110"/>
              <w:bottom w:type="dxa" w:w="70"/>
              <w:right w:type="dxa" w:w="110"/>
            </w:tcMar>
          </w:tcPr>
          <w:p>
            <w:pPr>
              <w:spacing w:after="0" w:line="264"/>
            </w:pPr>
            <w:r>
              <w:rPr>
                <w:b w:val="false"/>
                <w:bCs w:val="false"/>
                <w:color w:val="1A1A2E"/>
                <w:sz w:val="19"/>
                <w:szCs w:val="19"/>
              </w:rPr>
              <w:t xml:space="preserve">Operator portal</w:t>
            </w:r>
          </w:p>
        </w:tc>
        <w:tc>
          <w:tcPr>
            <w:tcW w:type="dxa" w:w="5660"/>
            <w:shd w:fill="FFFFFF" w:val="clear"/>
            <w:tcMar>
              <w:top w:type="dxa" w:w="70"/>
              <w:left w:type="dxa" w:w="110"/>
              <w:bottom w:type="dxa" w:w="70"/>
              <w:right w:type="dxa" w:w="110"/>
            </w:tcMar>
          </w:tcPr>
          <w:p>
            <w:pPr>
              <w:spacing w:after="0" w:line="264"/>
            </w:pPr>
            <w:r>
              <w:rPr>
                <w:b w:val="false"/>
                <w:bCs w:val="false"/>
                <w:color w:val="1A1A2E"/>
                <w:sz w:val="19"/>
                <w:szCs w:val="19"/>
              </w:rPr>
              <w:t xml:space="preserve">Login, capacity management, deal creation, availability feed</w:t>
            </w:r>
          </w:p>
        </w:tc>
        <w:tc>
          <w:tcPr>
            <w:tcW w:type="dxa" w:w="2000"/>
            <w:shd w:fill="FFFFFF" w:val="clear"/>
            <w:tcMar>
              <w:top w:type="dxa" w:w="70"/>
              <w:left w:type="dxa" w:w="110"/>
              <w:bottom w:type="dxa" w:w="70"/>
              <w:right w:type="dxa" w:w="110"/>
            </w:tcMar>
          </w:tcPr>
          <w:p>
            <w:pPr>
              <w:spacing w:after="0" w:line="264"/>
            </w:pPr>
            <w:r>
              <w:rPr>
                <w:b w:val="false"/>
                <w:bCs w:val="false"/>
                <w:color w:val="1A1A2E"/>
                <w:sz w:val="19"/>
                <w:szCs w:val="19"/>
              </w:rPr>
              <w:t xml:space="preserve">2–3 weeks</w:t>
            </w:r>
          </w:p>
        </w:tc>
      </w:tr>
      <w:tr>
        <w:tc>
          <w:tcPr>
            <w:tcW w:type="dxa" w:w="1700"/>
            <w:shd w:fill="F1F1F4" w:val="clear"/>
            <w:tcMar>
              <w:top w:type="dxa" w:w="70"/>
              <w:left w:type="dxa" w:w="110"/>
              <w:bottom w:type="dxa" w:w="70"/>
              <w:right w:type="dxa" w:w="110"/>
            </w:tcMar>
          </w:tcPr>
          <w:p>
            <w:pPr>
              <w:spacing w:after="0" w:line="264"/>
            </w:pPr>
            <w:r>
              <w:rPr>
                <w:b w:val="false"/>
                <w:bCs w:val="false"/>
                <w:color w:val="1A1A2E"/>
                <w:sz w:val="19"/>
                <w:szCs w:val="19"/>
              </w:rPr>
              <w:t xml:space="preserve">Consumer core</w:t>
            </w:r>
          </w:p>
        </w:tc>
        <w:tc>
          <w:tcPr>
            <w:tcW w:type="dxa" w:w="5660"/>
            <w:shd w:fill="F1F1F4" w:val="clear"/>
            <w:tcMar>
              <w:top w:type="dxa" w:w="70"/>
              <w:left w:type="dxa" w:w="110"/>
              <w:bottom w:type="dxa" w:w="70"/>
              <w:right w:type="dxa" w:w="110"/>
            </w:tcMar>
          </w:tcPr>
          <w:p>
            <w:pPr>
              <w:spacing w:after="0" w:line="264"/>
            </w:pPr>
            <w:r>
              <w:rPr>
                <w:b w:val="false"/>
                <w:bCs w:val="false"/>
                <w:color w:val="1A1A2E"/>
                <w:sz w:val="19"/>
                <w:szCs w:val="19"/>
              </w:rPr>
              <w:t xml:space="preserve">Feed, map, booking flow, “Free tonight?”</w:t>
            </w:r>
          </w:p>
        </w:tc>
        <w:tc>
          <w:tcPr>
            <w:tcW w:type="dxa" w:w="2000"/>
            <w:shd w:fill="F1F1F4" w:val="clear"/>
            <w:tcMar>
              <w:top w:type="dxa" w:w="70"/>
              <w:left w:type="dxa" w:w="110"/>
              <w:bottom w:type="dxa" w:w="70"/>
              <w:right w:type="dxa" w:w="110"/>
            </w:tcMar>
          </w:tcPr>
          <w:p>
            <w:pPr>
              <w:spacing w:after="0" w:line="264"/>
            </w:pPr>
            <w:r>
              <w:rPr>
                <w:b w:val="false"/>
                <w:bCs w:val="false"/>
                <w:color w:val="1A1A2E"/>
                <w:sz w:val="19"/>
                <w:szCs w:val="19"/>
              </w:rPr>
              <w:t xml:space="preserve">3–5 weeks</w:t>
            </w:r>
          </w:p>
        </w:tc>
      </w:tr>
      <w:tr>
        <w:tc>
          <w:tcPr>
            <w:tcW w:type="dxa" w:w="1700"/>
            <w:shd w:fill="FFFFFF" w:val="clear"/>
            <w:tcMar>
              <w:top w:type="dxa" w:w="70"/>
              <w:left w:type="dxa" w:w="110"/>
              <w:bottom w:type="dxa" w:w="70"/>
              <w:right w:type="dxa" w:w="110"/>
            </w:tcMar>
          </w:tcPr>
          <w:p>
            <w:pPr>
              <w:spacing w:after="0" w:line="264"/>
            </w:pPr>
            <w:r>
              <w:rPr>
                <w:b w:val="false"/>
                <w:bCs w:val="false"/>
                <w:color w:val="1A1A2E"/>
                <w:sz w:val="19"/>
                <w:szCs w:val="19"/>
              </w:rPr>
              <w:t xml:space="preserve">Payments</w:t>
            </w:r>
          </w:p>
        </w:tc>
        <w:tc>
          <w:tcPr>
            <w:tcW w:type="dxa" w:w="5660"/>
            <w:shd w:fill="FFFFFF" w:val="clear"/>
            <w:tcMar>
              <w:top w:type="dxa" w:w="70"/>
              <w:left w:type="dxa" w:w="110"/>
              <w:bottom w:type="dxa" w:w="70"/>
              <w:right w:type="dxa" w:w="110"/>
            </w:tcMar>
          </w:tcPr>
          <w:p>
            <w:pPr>
              <w:spacing w:after="0" w:line="264"/>
            </w:pPr>
            <w:r>
              <w:rPr>
                <w:b w:val="false"/>
                <w:bCs w:val="false"/>
                <w:color w:val="1A1A2E"/>
                <w:sz w:val="19"/>
                <w:szCs w:val="19"/>
              </w:rPr>
              <w:t xml:space="preserve">Stripe Connect split; pre-paid only</w:t>
            </w:r>
          </w:p>
        </w:tc>
        <w:tc>
          <w:tcPr>
            <w:tcW w:type="dxa" w:w="2000"/>
            <w:shd w:fill="FFFFFF" w:val="clear"/>
            <w:tcMar>
              <w:top w:type="dxa" w:w="70"/>
              <w:left w:type="dxa" w:w="110"/>
              <w:bottom w:type="dxa" w:w="70"/>
              <w:right w:type="dxa" w:w="110"/>
            </w:tcMar>
          </w:tcPr>
          <w:p>
            <w:pPr>
              <w:spacing w:after="0" w:line="264"/>
            </w:pPr>
            <w:r>
              <w:rPr>
                <w:b w:val="false"/>
                <w:bCs w:val="false"/>
                <w:color w:val="1A1A2E"/>
                <w:sz w:val="19"/>
                <w:szCs w:val="19"/>
              </w:rPr>
              <w:t xml:space="preserve">1–2 weeks</w:t>
            </w:r>
          </w:p>
        </w:tc>
      </w:tr>
      <w:tr>
        <w:tc>
          <w:tcPr>
            <w:tcW w:type="dxa" w:w="1700"/>
            <w:shd w:fill="F1F1F4" w:val="clear"/>
            <w:tcMar>
              <w:top w:type="dxa" w:w="70"/>
              <w:left w:type="dxa" w:w="110"/>
              <w:bottom w:type="dxa" w:w="70"/>
              <w:right w:type="dxa" w:w="110"/>
            </w:tcMar>
          </w:tcPr>
          <w:p>
            <w:pPr>
              <w:spacing w:after="0" w:line="264"/>
            </w:pPr>
            <w:r>
              <w:rPr>
                <w:b w:val="false"/>
                <w:bCs w:val="false"/>
                <w:color w:val="1A1A2E"/>
                <w:sz w:val="19"/>
                <w:szCs w:val="19"/>
              </w:rPr>
              <w:t xml:space="preserve">Closed pilot</w:t>
            </w:r>
          </w:p>
        </w:tc>
        <w:tc>
          <w:tcPr>
            <w:tcW w:type="dxa" w:w="5660"/>
            <w:shd w:fill="F1F1F4" w:val="clear"/>
            <w:tcMar>
              <w:top w:type="dxa" w:w="70"/>
              <w:left w:type="dxa" w:w="110"/>
              <w:bottom w:type="dxa" w:w="70"/>
              <w:right w:type="dxa" w:w="110"/>
            </w:tcMar>
          </w:tcPr>
          <w:p>
            <w:pPr>
              <w:spacing w:after="0" w:line="264"/>
            </w:pPr>
            <w:r>
              <w:rPr>
                <w:b w:val="false"/>
                <w:bCs w:val="false"/>
                <w:color w:val="1A1A2E"/>
                <w:sz w:val="19"/>
                <w:szCs w:val="19"/>
              </w:rPr>
              <w:t xml:space="preserve">3–5 live venues; invited users; measure off-peak fill</w:t>
            </w:r>
          </w:p>
        </w:tc>
        <w:tc>
          <w:tcPr>
            <w:tcW w:type="dxa" w:w="2000"/>
            <w:shd w:fill="F1F1F4" w:val="clear"/>
            <w:tcMar>
              <w:top w:type="dxa" w:w="70"/>
              <w:left w:type="dxa" w:w="110"/>
              <w:bottom w:type="dxa" w:w="70"/>
              <w:right w:type="dxa" w:w="110"/>
            </w:tcMar>
          </w:tcPr>
          <w:p>
            <w:pPr>
              <w:spacing w:after="0" w:line="264"/>
            </w:pPr>
            <w:r>
              <w:rPr>
                <w:b w:val="false"/>
                <w:bCs w:val="false"/>
                <w:color w:val="1A1A2E"/>
                <w:sz w:val="19"/>
                <w:szCs w:val="19"/>
              </w:rPr>
              <w:t xml:space="preserve">2–4 weeks + iteration</w:t>
            </w:r>
          </w:p>
        </w:tc>
      </w:tr>
    </w:tbl>
    <w:p>
      <w:pPr>
        <w:spacing w:after="120"/>
      </w:pPr>
      <w:r>
        <w:t xml:space="preserve"/>
      </w:r>
    </w:p>
    <w:tbl>
      <w:tblPr>
        <w:tblW w:type="dxa" w:w="9360"/>
        <w:tblBorders>
          <w:top w:val="single" w:color="F8F0DD" w:sz="2"/>
          <w:left w:val="single" w:color="9A6206" w:sz="24"/>
          <w:bottom w:val="single" w:color="F8F0DD" w:sz="2"/>
          <w:right w:val="single" w:color="F8F0DD" w:sz="2"/>
          <w:insideH w:val="single" w:color="auto" w:sz="4"/>
          <w:insideV w:val="single" w:color="auto" w:sz="4"/>
        </w:tblBorders>
      </w:tblPr>
      <w:tblGrid>
        <w:gridCol w:w="9360"/>
      </w:tblGrid>
      <w:tr>
        <w:tc>
          <w:tcPr>
            <w:tcW w:type="dxa" w:w="9360"/>
            <w:shd w:fill="F8F0DD" w:val="clear"/>
            <w:tcMar>
              <w:top w:type="dxa" w:w="140"/>
              <w:left w:type="dxa" w:w="220"/>
              <w:bottom w:type="dxa" w:w="140"/>
              <w:right w:type="dxa" w:w="200"/>
            </w:tcMar>
          </w:tcPr>
          <w:p>
            <w:pPr>
              <w:spacing w:after="0"/>
            </w:pPr>
            <w:r>
              <w:rPr>
                <w:b/>
                <w:bCs/>
                <w:color w:val="9A6206"/>
              </w:rPr>
              <w:t xml:space="preserve">Principal risk to schedule. </w:t>
            </w:r>
            <w:r>
              <w:t xml:space="preserve">The constraint is not development speed but commercial liquidity — securing committed venues and attendant users. Discovery therefore front-loads venue engagement. One market, one vertical, built to genuine density: an active map sustains usage; a sparse one does not.</w:t>
            </w:r>
          </w:p>
        </w:tc>
      </w:tr>
    </w:tbl>
    <w:p>
      <w:r>
        <w:br w:type="page"/>
      </w:r>
    </w:p>
    <w:p>
      <w:pPr>
        <w:pStyle w:val="Heading1"/>
      </w:pPr>
      <w:r>
        <w:t xml:space="preserve">7. Available support</w:t>
      </w:r>
    </w:p>
    <w:p>
      <w:pPr>
        <w:spacing w:after="140" w:line="278"/>
      </w:pPr>
      <w:r>
        <w:t xml:space="preserve">The following deliverables can be produced to advance the project. They are concrete work products rather than general assistance; items can be prioritised according to what most unblocks progress.</w:t>
      </w:r>
    </w:p>
    <w:p>
      <w:pPr>
        <w:spacing w:after="40"/>
      </w:pPr>
      <w:r>
        <w:t xml:space="preserve"/>
      </w:r>
    </w:p>
    <w:p>
      <w:pPr>
        <w:pStyle w:val="Heading2"/>
      </w:pPr>
      <w:r>
        <w:t xml:space="preserve">Immediate</w:t>
      </w:r>
    </w:p>
    <w:p>
      <w:pPr>
        <w:pStyle w:val="ListParagraph"/>
        <w:numPr>
          <w:ilvl w:val="0"/>
          <w:numId w:val="3"/>
        </w:numPr>
        <w:spacing w:after="90" w:line="272"/>
      </w:pPr>
      <w:r>
        <w:rPr>
          <w:b/>
          <w:bCs/>
        </w:rPr>
        <w:t xml:space="preserve">Unit-economics model. </w:t>
      </w:r>
      <w:r>
        <w:t xml:space="preserve">A working spreadsheet on Australian rates (provided alongside this document) for varying take rate, fees, order value and volume to establish per-booking contribution and break-even.</w:t>
      </w:r>
    </w:p>
    <w:p>
      <w:pPr>
        <w:pStyle w:val="ListParagraph"/>
        <w:numPr>
          <w:ilvl w:val="0"/>
          <w:numId w:val="3"/>
        </w:numPr>
        <w:spacing w:after="90" w:line="272"/>
      </w:pPr>
      <w:r>
        <w:rPr>
          <w:b/>
          <w:bCs/>
        </w:rPr>
        <w:t xml:space="preserve">Assumption red-team (extended). </w:t>
      </w:r>
      <w:r>
        <w:t xml:space="preserve">A deeper stress-test of supply acquisition, cold-start and defensibility, with the strongest counter-argument to each and corresponding mitigations.</w:t>
      </w:r>
    </w:p>
    <w:p>
      <w:pPr>
        <w:pStyle w:val="ListParagraph"/>
        <w:numPr>
          <w:ilvl w:val="0"/>
          <w:numId w:val="3"/>
        </w:numPr>
        <w:spacing w:after="90" w:line="272"/>
      </w:pPr>
      <w:r>
        <w:rPr>
          <w:b/>
          <w:bCs/>
        </w:rPr>
        <w:t xml:space="preserve">Redemption-model resolution. </w:t>
      </w:r>
      <w:r>
        <w:t xml:space="preserve">A recommended redemption flow for reserved and walk-in venues, with operator-side implications specified.</w:t>
      </w:r>
    </w:p>
    <w:p>
      <w:pPr>
        <w:pStyle w:val="ListParagraph"/>
        <w:numPr>
          <w:ilvl w:val="0"/>
          <w:numId w:val="3"/>
        </w:numPr>
        <w:spacing w:after="90" w:line="272"/>
      </w:pPr>
      <w:r>
        <w:rPr>
          <w:b/>
          <w:bCs/>
        </w:rPr>
        <w:t xml:space="preserve">Release-scope definition. </w:t>
      </w:r>
      <w:r>
        <w:t xml:space="preserve">A frozen one-page first-release feature list and an explicit deferral list to contain scope.</w:t>
      </w:r>
    </w:p>
    <w:p>
      <w:pPr>
        <w:pStyle w:val="Heading2"/>
      </w:pPr>
      <w:r>
        <w:t xml:space="preserve">During delivery</w:t>
      </w:r>
    </w:p>
    <w:p>
      <w:pPr>
        <w:pStyle w:val="ListParagraph"/>
        <w:numPr>
          <w:ilvl w:val="0"/>
          <w:numId w:val="3"/>
        </w:numPr>
        <w:spacing w:after="90" w:line="272"/>
      </w:pPr>
      <w:r>
        <w:rPr>
          <w:b/>
          <w:bCs/>
        </w:rPr>
        <w:t xml:space="preserve">Go-to-market plan. </w:t>
      </w:r>
      <w:r>
        <w:t xml:space="preserve">A supply-first acquisition playbook for one Melbourne vertical: target venues, commercial pitch, commission approach and density targets.</w:t>
      </w:r>
    </w:p>
    <w:p>
      <w:pPr>
        <w:pStyle w:val="ListParagraph"/>
        <w:numPr>
          <w:ilvl w:val="0"/>
          <w:numId w:val="3"/>
        </w:numPr>
        <w:spacing w:after="90" w:line="272"/>
      </w:pPr>
      <w:r>
        <w:rPr>
          <w:b/>
          <w:bCs/>
        </w:rPr>
        <w:t xml:space="preserve">Venue pitch materials. </w:t>
      </w:r>
      <w:r>
        <w:t xml:space="preserve">A one-page commercial case and “margin contribution” talk-track for operator acquisition.</w:t>
      </w:r>
    </w:p>
    <w:p>
      <w:pPr>
        <w:pStyle w:val="ListParagraph"/>
        <w:numPr>
          <w:ilvl w:val="0"/>
          <w:numId w:val="3"/>
        </w:numPr>
        <w:spacing w:after="90" w:line="272"/>
      </w:pPr>
      <w:r>
        <w:rPr>
          <w:b/>
          <w:bCs/>
        </w:rPr>
        <w:t xml:space="preserve">Competitive scan. </w:t>
      </w:r>
      <w:r>
        <w:t xml:space="preserve">A current review of EatClub, TodayTix, Groupon, Klook and Melbourne-local players, identifying the specific gap.</w:t>
      </w:r>
    </w:p>
    <w:p>
      <w:pPr>
        <w:pStyle w:val="ListParagraph"/>
        <w:numPr>
          <w:ilvl w:val="0"/>
          <w:numId w:val="3"/>
        </w:numPr>
        <w:spacing w:after="90" w:line="272"/>
      </w:pPr>
      <w:r>
        <w:rPr>
          <w:b/>
          <w:bCs/>
        </w:rPr>
        <w:t xml:space="preserve">Decisions log and specification. </w:t>
      </w:r>
      <w:r>
        <w:t xml:space="preserve">A maintained record of decisions and rationale to prevent re-litigation of settled questions.</w:t>
      </w:r>
    </w:p>
    <w:p>
      <w:pPr>
        <w:spacing w:after="140"/>
      </w:pPr>
      <w:r>
        <w:t xml:space="preserve"/>
      </w:r>
    </w:p>
    <w:p>
      <w:pPr>
        <w:pBdr>
          <w:bottom w:val="single" w:color="D5D5DE" w:sz="6" w:space="1"/>
        </w:pBdr>
        <w:spacing w:after="160" w:before="60"/>
      </w:pPr>
      <w:r>
        <w:t xml:space="preserve"/>
      </w:r>
    </w:p>
    <w:p>
      <w:pPr>
        <w:spacing w:after="140" w:line="278"/>
      </w:pPr>
      <w:r>
        <w:rPr>
          <w:b/>
          <w:bCs/>
          <w:color w:val="1F3A8A"/>
        </w:rPr>
        <w:t xml:space="preserve">Recommended immediate sequence. </w:t>
      </w:r>
      <w:r>
        <w:t xml:space="preserve">With Melbourne confirmed, the highest-value actions are to finalise the unit-economics model against venue data and to complete the extended red-team of supply, cold-start and defensibility — producing both a defensible commercial figure to present to venues and a clear view of the principal risks, in advance of any development.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5C5C6B"/>
        <w:sz w:val="16"/>
        <w:szCs w:val="16"/>
      </w:rPr>
      <w:t xml:space="preserve">Page </w:t>
    </w:r>
    <w:r>
      <w:rPr>
        <w:color w:val="5C5C6B"/>
        <w:sz w:val="16"/>
        <w:szCs w:val="16"/>
      </w:rPr>
      <w:fldChar w:fldCharType="begin"/>
      <w:instrText xml:space="preserve">PAGE</w:instrText>
      <w:fldChar w:fldCharType="separate"/>
      <w:fldChar w:fldCharType="end"/>
    </w:r>
    <w:r>
      <w:rPr>
        <w:color w:val="5C5C6B"/>
        <w:sz w:val="16"/>
        <w:szCs w:val="16"/>
      </w:rPr>
      <w:t xml:space="preserve"> of </w:t>
    </w:r>
    <w:r>
      <w:rPr>
        <w:color w:val="5C5C6B"/>
        <w:sz w:val="16"/>
        <w:szCs w:val="16"/>
      </w:rPr>
      <w:fldChar w:fldCharType="begin"/>
      <w:instrText xml:space="preserve">NUMPAGES</w:instrText>
      <w:fldChar w:fldCharType="separate"/>
      <w:fldChar w:fldCharType="end"/>
    </w:r>
    <w:r>
      <w:rPr>
        <w:color w:val="5C5C6B"/>
        <w:sz w:val="16"/>
        <w:szCs w:val="16"/>
      </w:rPr>
      <w:t xml:space="preserve">      Confidential working draft · Prepared by Tommy · 27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5DE" w:sz="4" w:space="4"/>
      </w:pBdr>
      <w:tabs>
        <w:tab w:val="right" w:pos="9026"/>
      </w:tabs>
      <w:spacing w:after="0"/>
    </w:pPr>
    <w:r>
      <w:rPr>
        <w:b/>
        <w:bCs/>
        <w:color w:val="1F3A8A"/>
        <w:sz w:val="18"/>
        <w:szCs w:val="18"/>
      </w:rPr>
      <w:t xml:space="preserve">zivvo</w:t>
    </w:r>
    <w:r>
      <w:rPr>
        <w:color w:val="5C5C6B"/>
        <w:sz w:val="15"/>
        <w:szCs w:val="15"/>
      </w:rPr>
      <w:t xml:space="preserve">	Strategic Review, Unit Economics &amp; Delivery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F3A8A"/>
      </w:r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8A" w:sz="8" w:space="4"/>
      </w:pBdr>
      <w:spacing w:after="200" w:before="280"/>
      <w:outlineLvl w:val="0"/>
    </w:pPr>
    <w:rPr>
      <w:rFonts w:ascii="Arial" w:cs="Arial" w:eastAsia="Arial" w:hAnsi="Arial"/>
      <w:b/>
      <w:bCs/>
      <w:color w:val="1F3A8A"/>
      <w:sz w:val="31"/>
      <w:szCs w:val="31"/>
    </w:rPr>
  </w:style>
  <w:style w:type="paragraph" w:styleId="Heading2">
    <w:name w:val="Heading 2"/>
    <w:basedOn w:val="Normal"/>
    <w:next w:val="Normal"/>
    <w:qFormat/>
    <w:pPr>
      <w:spacing w:after="120" w:before="260"/>
      <w:outlineLvl w:val="1"/>
    </w:pPr>
    <w:rPr>
      <w:rFonts w:ascii="Arial" w:cs="Arial" w:eastAsia="Arial" w:hAnsi="Arial"/>
      <w:b/>
      <w:bCs/>
      <w:color w:val="1A1A2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F3A8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Zivvo — Strategic Review, Unit Economics &amp; Delivery Roadmap</dc:title>
  <dc:creator>Tommy</dc:creator>
  <cp:lastModifiedBy>Un-named</cp:lastModifiedBy>
  <cp:revision>1</cp:revision>
  <dcterms:created xsi:type="dcterms:W3CDTF">2026-06-27T02:11:35.295Z</dcterms:created>
  <dcterms:modified xsi:type="dcterms:W3CDTF">2026-06-27T02:11:35.306Z</dcterms:modified>
</cp:coreProperties>
</file>

<file path=docProps/custom.xml><?xml version="1.0" encoding="utf-8"?>
<Properties xmlns="http://schemas.openxmlformats.org/officeDocument/2006/custom-properties" xmlns:vt="http://schemas.openxmlformats.org/officeDocument/2006/docPropsVTypes"/>
</file>