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47BE0" w14:textId="033ED85E" w:rsidR="00363A7F" w:rsidRPr="0054739C" w:rsidRDefault="00AC20CF">
      <w:pPr>
        <w:rPr>
          <w:rFonts w:ascii="Arial" w:hAnsi="Arial" w:cs="Arial"/>
          <w:b/>
          <w:bCs/>
        </w:rPr>
      </w:pPr>
      <w:r w:rsidRPr="0054739C">
        <w:rPr>
          <w:rFonts w:ascii="Arial" w:hAnsi="Arial" w:cs="Arial"/>
          <w:b/>
          <w:bCs/>
        </w:rPr>
        <w:t>Title options:</w:t>
      </w:r>
    </w:p>
    <w:p w14:paraId="1CFF41DA" w14:textId="0862DBF9" w:rsidR="00AC20CF" w:rsidRDefault="0054739C">
      <w:pPr>
        <w:rPr>
          <w:rFonts w:ascii="Arial" w:hAnsi="Arial" w:cs="Arial"/>
        </w:rPr>
      </w:pPr>
      <w:r w:rsidRPr="0054739C">
        <w:rPr>
          <w:rFonts w:ascii="Arial" w:hAnsi="Arial" w:cs="Arial"/>
        </w:rPr>
        <w:t>Defining properties regulating pioneer-factor binding and function</w:t>
      </w:r>
    </w:p>
    <w:p w14:paraId="6B7FA9CD" w14:textId="6A465DFE" w:rsidR="0060361F" w:rsidRDefault="0060361F">
      <w:pPr>
        <w:rPr>
          <w:rFonts w:ascii="Arial" w:hAnsi="Arial" w:cs="Arial"/>
        </w:rPr>
      </w:pPr>
    </w:p>
    <w:p w14:paraId="47C2336F" w14:textId="65F53052" w:rsidR="00D74851" w:rsidRDefault="00D74851" w:rsidP="00D748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Systematic analysis of </w:t>
      </w:r>
      <w:r w:rsidRPr="0054739C">
        <w:rPr>
          <w:rFonts w:ascii="Arial" w:hAnsi="Arial" w:cs="Arial"/>
        </w:rPr>
        <w:t>properties regulating pioneer-factor binding and function</w:t>
      </w:r>
    </w:p>
    <w:p w14:paraId="29240B27" w14:textId="39E2FEB2" w:rsidR="00D74851" w:rsidRDefault="001574D1" w:rsidP="00D74851">
      <w:pPr>
        <w:rPr>
          <w:rFonts w:ascii="Arial" w:hAnsi="Arial" w:cs="Arial"/>
        </w:rPr>
      </w:pPr>
      <w:r>
        <w:rPr>
          <w:rFonts w:ascii="Arial" w:hAnsi="Arial" w:cs="Arial"/>
        </w:rPr>
        <w:t>Systematic / comprehensive</w:t>
      </w:r>
    </w:p>
    <w:p w14:paraId="5451D7E4" w14:textId="6BFE06E5" w:rsidR="001574D1" w:rsidRDefault="001574D1" w:rsidP="00D74851">
      <w:pPr>
        <w:rPr>
          <w:rFonts w:ascii="Arial" w:hAnsi="Arial" w:cs="Arial"/>
        </w:rPr>
      </w:pPr>
      <w:r>
        <w:rPr>
          <w:rFonts w:ascii="Arial" w:hAnsi="Arial" w:cs="Arial"/>
        </w:rPr>
        <w:t>Analysis / exploration</w:t>
      </w:r>
    </w:p>
    <w:p w14:paraId="562AF442" w14:textId="77777777" w:rsidR="001574D1" w:rsidRDefault="001574D1" w:rsidP="00D74851">
      <w:pPr>
        <w:rPr>
          <w:rFonts w:ascii="Arial" w:hAnsi="Arial" w:cs="Arial"/>
        </w:rPr>
      </w:pPr>
    </w:p>
    <w:p w14:paraId="5547F00E" w14:textId="2AB09AD1" w:rsidR="00D74851" w:rsidRDefault="00D74851" w:rsidP="00D74851">
      <w:pPr>
        <w:rPr>
          <w:rFonts w:ascii="Arial" w:hAnsi="Arial" w:cs="Arial"/>
        </w:rPr>
      </w:pPr>
      <w:r>
        <w:rPr>
          <w:rFonts w:ascii="Arial" w:hAnsi="Arial" w:cs="Arial"/>
        </w:rPr>
        <w:t>Pioneer-factor activity requires stable occupancy of closed chromatin</w:t>
      </w:r>
    </w:p>
    <w:p w14:paraId="54301419" w14:textId="2974288E" w:rsidR="00D74851" w:rsidRDefault="001574D1" w:rsidP="00D74851">
      <w:pPr>
        <w:rPr>
          <w:rFonts w:ascii="Arial" w:hAnsi="Arial" w:cs="Arial"/>
        </w:rPr>
      </w:pPr>
      <w:r>
        <w:rPr>
          <w:rFonts w:ascii="Arial" w:hAnsi="Arial" w:cs="Arial"/>
        </w:rPr>
        <w:t>Stable / high-level / a high degree of</w:t>
      </w:r>
    </w:p>
    <w:p w14:paraId="6D5643DE" w14:textId="26FE83FC" w:rsidR="00D74851" w:rsidRDefault="001574D1" w:rsidP="00D74851">
      <w:pPr>
        <w:rPr>
          <w:rFonts w:ascii="Arial" w:hAnsi="Arial" w:cs="Arial"/>
        </w:rPr>
      </w:pPr>
      <w:r>
        <w:rPr>
          <w:rFonts w:ascii="Arial" w:hAnsi="Arial" w:cs="Arial"/>
        </w:rPr>
        <w:t>Closed / inaccessible / silent</w:t>
      </w:r>
    </w:p>
    <w:p w14:paraId="2890B85C" w14:textId="50C3B236" w:rsidR="00D74851" w:rsidRDefault="00D74851">
      <w:pPr>
        <w:rPr>
          <w:rFonts w:ascii="Arial" w:hAnsi="Arial" w:cs="Arial"/>
        </w:rPr>
      </w:pPr>
    </w:p>
    <w:p w14:paraId="7E989D53" w14:textId="29D6AC10" w:rsidR="00D74851" w:rsidRDefault="001574D1">
      <w:pPr>
        <w:rPr>
          <w:rFonts w:ascii="Arial" w:hAnsi="Arial" w:cs="Arial"/>
        </w:rPr>
      </w:pPr>
      <w:r>
        <w:rPr>
          <w:rFonts w:ascii="Arial" w:hAnsi="Arial" w:cs="Arial"/>
        </w:rPr>
        <w:t>Diverse properties regulate cell-type specific pioneer factor activity</w:t>
      </w:r>
    </w:p>
    <w:p w14:paraId="5673C503" w14:textId="3259ECEA" w:rsidR="00AC20CF" w:rsidRDefault="00AC20CF">
      <w:pPr>
        <w:rPr>
          <w:rFonts w:ascii="Arial" w:hAnsi="Arial" w:cs="Arial"/>
        </w:rPr>
      </w:pPr>
    </w:p>
    <w:p w14:paraId="3EE2AB45" w14:textId="45FADE0D" w:rsidR="00AC20CF" w:rsidRPr="0054739C" w:rsidRDefault="00AC20CF">
      <w:pPr>
        <w:rPr>
          <w:rFonts w:ascii="Arial" w:hAnsi="Arial" w:cs="Arial"/>
          <w:b/>
          <w:bCs/>
        </w:rPr>
      </w:pPr>
      <w:r w:rsidRPr="0054739C">
        <w:rPr>
          <w:rFonts w:ascii="Arial" w:hAnsi="Arial" w:cs="Arial"/>
          <w:b/>
          <w:bCs/>
        </w:rPr>
        <w:t>Titles of related papers:</w:t>
      </w:r>
    </w:p>
    <w:p w14:paraId="44258452" w14:textId="7E81B627" w:rsidR="00AC20CF" w:rsidRDefault="00AC20CF">
      <w:pPr>
        <w:rPr>
          <w:rFonts w:ascii="Arial" w:hAnsi="Arial" w:cs="Arial"/>
        </w:rPr>
      </w:pPr>
    </w:p>
    <w:p w14:paraId="78C73BDD" w14:textId="43E91F3A" w:rsidR="00AC20CF" w:rsidRPr="00AC20CF" w:rsidRDefault="00AC20CF" w:rsidP="00AC20CF">
      <w:pPr>
        <w:rPr>
          <w:rFonts w:ascii="Arial" w:hAnsi="Arial" w:cs="Arial"/>
        </w:rPr>
      </w:pPr>
      <w:r>
        <w:rPr>
          <w:rFonts w:ascii="Arial" w:hAnsi="Arial" w:cs="Arial"/>
        </w:rPr>
        <w:t>Meissner 2018:</w:t>
      </w:r>
    </w:p>
    <w:p w14:paraId="1B1A3225" w14:textId="0E509176" w:rsidR="00AC20CF" w:rsidRDefault="00AC20CF" w:rsidP="00AC20CF">
      <w:pPr>
        <w:rPr>
          <w:rFonts w:ascii="Arial" w:hAnsi="Arial" w:cs="Arial"/>
        </w:rPr>
      </w:pPr>
      <w:r w:rsidRPr="00AC20CF">
        <w:rPr>
          <w:rFonts w:ascii="Arial" w:hAnsi="Arial" w:cs="Arial"/>
        </w:rPr>
        <w:t>Genetic determinants and epigenetic effects of pioneer-factor occupancy</w:t>
      </w:r>
    </w:p>
    <w:p w14:paraId="13320907" w14:textId="77777777" w:rsidR="00AC20CF" w:rsidRDefault="00AC20CF">
      <w:pPr>
        <w:rPr>
          <w:rFonts w:ascii="Arial" w:hAnsi="Arial" w:cs="Arial"/>
        </w:rPr>
      </w:pPr>
    </w:p>
    <w:p w14:paraId="22574DF1" w14:textId="5D8741AC" w:rsidR="00AC20CF" w:rsidRDefault="00AC20CF">
      <w:pPr>
        <w:rPr>
          <w:rFonts w:ascii="Arial" w:hAnsi="Arial" w:cs="Arial"/>
        </w:rPr>
      </w:pPr>
      <w:r>
        <w:rPr>
          <w:rFonts w:ascii="Arial" w:hAnsi="Arial" w:cs="Arial"/>
        </w:rPr>
        <w:t>Cohen 2022:</w:t>
      </w:r>
    </w:p>
    <w:p w14:paraId="4A19319A" w14:textId="351D41CA" w:rsidR="00AC20CF" w:rsidRDefault="00AC20CF" w:rsidP="00AC20CF">
      <w:pPr>
        <w:rPr>
          <w:rFonts w:ascii="Arial" w:hAnsi="Arial" w:cs="Arial"/>
        </w:rPr>
      </w:pPr>
      <w:r w:rsidRPr="00AC20CF">
        <w:rPr>
          <w:rFonts w:ascii="Arial" w:hAnsi="Arial" w:cs="Arial"/>
        </w:rPr>
        <w:t>A test of the pioneer factor hypothesis using ectopic liver gene activation</w:t>
      </w:r>
    </w:p>
    <w:p w14:paraId="3E71B34E" w14:textId="2AF897C5" w:rsidR="00AC20CF" w:rsidRDefault="00AC20CF" w:rsidP="00AC20CF">
      <w:pPr>
        <w:rPr>
          <w:rFonts w:ascii="Arial" w:hAnsi="Arial" w:cs="Arial"/>
        </w:rPr>
      </w:pPr>
    </w:p>
    <w:p w14:paraId="212E3287" w14:textId="6F245FC2" w:rsidR="00AC20CF" w:rsidRDefault="00AC20CF" w:rsidP="00AC20C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Zaret</w:t>
      </w:r>
      <w:proofErr w:type="spellEnd"/>
      <w:r>
        <w:rPr>
          <w:rFonts w:ascii="Arial" w:hAnsi="Arial" w:cs="Arial"/>
        </w:rPr>
        <w:t xml:space="preserve"> 2012:</w:t>
      </w:r>
    </w:p>
    <w:p w14:paraId="617A7DDA" w14:textId="548DE429" w:rsidR="00AC20CF" w:rsidRDefault="00AC20CF" w:rsidP="00AC20CF">
      <w:pPr>
        <w:rPr>
          <w:rFonts w:ascii="Arial" w:hAnsi="Arial" w:cs="Arial"/>
        </w:rPr>
      </w:pPr>
      <w:r w:rsidRPr="00AC20CF">
        <w:rPr>
          <w:rFonts w:ascii="Arial" w:hAnsi="Arial" w:cs="Arial"/>
        </w:rPr>
        <w:t>Facilitators and impediments of the pluripotency reprogramming factors' initial engagement with the genome</w:t>
      </w:r>
    </w:p>
    <w:p w14:paraId="6276D5E1" w14:textId="03F8028B" w:rsidR="00AC20CF" w:rsidRDefault="00AC20CF" w:rsidP="00AC20CF">
      <w:pPr>
        <w:rPr>
          <w:rFonts w:ascii="Arial" w:hAnsi="Arial" w:cs="Arial"/>
        </w:rPr>
      </w:pPr>
    </w:p>
    <w:p w14:paraId="5C862DE4" w14:textId="65156A4B" w:rsidR="00AC20CF" w:rsidRDefault="00AC20CF" w:rsidP="00AC20C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Zaret</w:t>
      </w:r>
      <w:proofErr w:type="spellEnd"/>
      <w:r>
        <w:rPr>
          <w:rFonts w:ascii="Arial" w:hAnsi="Arial" w:cs="Arial"/>
        </w:rPr>
        <w:t xml:space="preserve"> 2023:</w:t>
      </w:r>
    </w:p>
    <w:p w14:paraId="019BBCD4" w14:textId="085B3A98" w:rsidR="00AC20CF" w:rsidRDefault="00AC20CF" w:rsidP="00AC20CF">
      <w:pPr>
        <w:rPr>
          <w:rFonts w:ascii="Arial" w:hAnsi="Arial" w:cs="Arial"/>
        </w:rPr>
      </w:pPr>
      <w:r w:rsidRPr="00AC20CF">
        <w:rPr>
          <w:rFonts w:ascii="Arial" w:hAnsi="Arial" w:cs="Arial"/>
        </w:rPr>
        <w:t>Distinct chromatin scanning modes lead to targeting of compacted chromatin by pioneer factors FOXA1 and SOX2</w:t>
      </w:r>
    </w:p>
    <w:p w14:paraId="2EE3801C" w14:textId="68B6700F" w:rsidR="0054739C" w:rsidRDefault="0054739C" w:rsidP="00AC20CF">
      <w:pPr>
        <w:rPr>
          <w:rFonts w:ascii="Arial" w:hAnsi="Arial" w:cs="Arial"/>
        </w:rPr>
      </w:pPr>
    </w:p>
    <w:p w14:paraId="39F5F100" w14:textId="5775B005" w:rsidR="0054739C" w:rsidRDefault="0054739C" w:rsidP="00AC20CF">
      <w:pPr>
        <w:rPr>
          <w:rFonts w:ascii="Arial" w:hAnsi="Arial" w:cs="Arial"/>
        </w:rPr>
      </w:pPr>
      <w:r>
        <w:rPr>
          <w:rFonts w:ascii="Arial" w:hAnsi="Arial" w:cs="Arial"/>
        </w:rPr>
        <w:t>Myles Brown 2008:</w:t>
      </w:r>
    </w:p>
    <w:p w14:paraId="58EE9DCF" w14:textId="7DCD77CB" w:rsidR="0054739C" w:rsidRDefault="0054739C" w:rsidP="00AC20CF">
      <w:pPr>
        <w:rPr>
          <w:rFonts w:ascii="Arial" w:hAnsi="Arial" w:cs="Arial"/>
        </w:rPr>
      </w:pPr>
      <w:r w:rsidRPr="0054739C">
        <w:rPr>
          <w:rFonts w:ascii="Arial" w:hAnsi="Arial" w:cs="Arial"/>
        </w:rPr>
        <w:t>FoxA1 Translates Epigenetic Signatures into Enhancer-Driven Lineage-Specific Transcription</w:t>
      </w:r>
    </w:p>
    <w:p w14:paraId="4E7996C3" w14:textId="2999A5F6" w:rsidR="0054739C" w:rsidRDefault="0054739C" w:rsidP="00AC20CF">
      <w:pPr>
        <w:rPr>
          <w:rFonts w:ascii="Arial" w:hAnsi="Arial" w:cs="Arial"/>
        </w:rPr>
      </w:pPr>
    </w:p>
    <w:p w14:paraId="06809028" w14:textId="184DC17A" w:rsidR="0054739C" w:rsidRDefault="0054739C" w:rsidP="00AC20C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Elzo</w:t>
      </w:r>
      <w:proofErr w:type="spellEnd"/>
      <w:r>
        <w:rPr>
          <w:rFonts w:ascii="Arial" w:hAnsi="Arial" w:cs="Arial"/>
        </w:rPr>
        <w:t xml:space="preserve"> de Wit 2022:</w:t>
      </w:r>
    </w:p>
    <w:p w14:paraId="7A042E86" w14:textId="1E0A15AA" w:rsidR="0054739C" w:rsidRDefault="0054739C" w:rsidP="00AC20CF">
      <w:pPr>
        <w:rPr>
          <w:rFonts w:ascii="Arial" w:hAnsi="Arial" w:cs="Arial"/>
        </w:rPr>
      </w:pPr>
      <w:r w:rsidRPr="0054739C">
        <w:rPr>
          <w:rFonts w:ascii="Arial" w:hAnsi="Arial" w:cs="Arial"/>
        </w:rPr>
        <w:t>Pioneer activity distinguishes activating from non-activating pluripotency transcription factor binding sites</w:t>
      </w:r>
    </w:p>
    <w:p w14:paraId="03EDEBD6" w14:textId="597D1262" w:rsidR="0054739C" w:rsidRDefault="0054739C" w:rsidP="00AC20CF">
      <w:pPr>
        <w:rPr>
          <w:rFonts w:ascii="Arial" w:hAnsi="Arial" w:cs="Arial"/>
        </w:rPr>
      </w:pPr>
    </w:p>
    <w:p w14:paraId="2E3728CC" w14:textId="107311B9" w:rsidR="0054739C" w:rsidRDefault="0054739C" w:rsidP="00AC20C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Iwafuchi</w:t>
      </w:r>
      <w:proofErr w:type="spellEnd"/>
      <w:r>
        <w:rPr>
          <w:rFonts w:ascii="Arial" w:hAnsi="Arial" w:cs="Arial"/>
        </w:rPr>
        <w:t xml:space="preserve"> 2022:</w:t>
      </w:r>
    </w:p>
    <w:p w14:paraId="297B956A" w14:textId="7013328B" w:rsidR="0054739C" w:rsidRDefault="0054739C" w:rsidP="00AC20CF">
      <w:pPr>
        <w:rPr>
          <w:rFonts w:ascii="Arial" w:hAnsi="Arial" w:cs="Arial"/>
        </w:rPr>
      </w:pPr>
      <w:r w:rsidRPr="0054739C">
        <w:rPr>
          <w:rFonts w:ascii="Arial" w:hAnsi="Arial" w:cs="Arial"/>
        </w:rPr>
        <w:t>Pioneer transcription factors coordinate active and repressive gene expression states to regulate cell fate</w:t>
      </w:r>
    </w:p>
    <w:p w14:paraId="4390B65D" w14:textId="77777777" w:rsidR="00AC20CF" w:rsidRDefault="00AC20CF" w:rsidP="00AC20CF">
      <w:pPr>
        <w:rPr>
          <w:rFonts w:ascii="Arial" w:hAnsi="Arial" w:cs="Arial"/>
        </w:rPr>
      </w:pPr>
    </w:p>
    <w:p w14:paraId="17879DE7" w14:textId="6DE0A88B" w:rsidR="005D4B1D" w:rsidRPr="005D4B1D" w:rsidRDefault="005D4B1D" w:rsidP="005D4B1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Giraldez</w:t>
      </w:r>
      <w:proofErr w:type="spellEnd"/>
      <w:r>
        <w:rPr>
          <w:rFonts w:ascii="Arial" w:hAnsi="Arial" w:cs="Arial"/>
        </w:rPr>
        <w:t xml:space="preserve"> 2022:</w:t>
      </w:r>
    </w:p>
    <w:p w14:paraId="5E29CAF1" w14:textId="40789B0A" w:rsidR="005D4B1D" w:rsidRPr="00AC20CF" w:rsidRDefault="005D4B1D" w:rsidP="005D4B1D">
      <w:pPr>
        <w:rPr>
          <w:rFonts w:ascii="Arial" w:hAnsi="Arial" w:cs="Arial"/>
        </w:rPr>
      </w:pPr>
      <w:r w:rsidRPr="005D4B1D">
        <w:rPr>
          <w:rFonts w:ascii="Arial" w:hAnsi="Arial" w:cs="Arial"/>
        </w:rPr>
        <w:t>The landscape of pioneer factor activity reveals the mechanisms of chromatin reprogramming and genome activation</w:t>
      </w:r>
    </w:p>
    <w:sectPr w:rsidR="005D4B1D" w:rsidRPr="00AC20CF" w:rsidSect="000B5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0CF"/>
    <w:rsid w:val="000B5106"/>
    <w:rsid w:val="001574D1"/>
    <w:rsid w:val="00363A7F"/>
    <w:rsid w:val="0053196F"/>
    <w:rsid w:val="0054739C"/>
    <w:rsid w:val="005D4B1D"/>
    <w:rsid w:val="0060361F"/>
    <w:rsid w:val="006E6659"/>
    <w:rsid w:val="00AC20CF"/>
    <w:rsid w:val="00D7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5E728"/>
  <w14:defaultImageDpi w14:val="32767"/>
  <w15:chartTrackingRefBased/>
  <w15:docId w15:val="{CFA96151-D24A-914B-BC8B-9282149B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0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C20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J GIBSON</dc:creator>
  <cp:keywords/>
  <dc:description/>
  <cp:lastModifiedBy>TYLER J GIBSON</cp:lastModifiedBy>
  <cp:revision>3</cp:revision>
  <dcterms:created xsi:type="dcterms:W3CDTF">2023-02-22T16:06:00Z</dcterms:created>
  <dcterms:modified xsi:type="dcterms:W3CDTF">2023-02-22T16:57:00Z</dcterms:modified>
</cp:coreProperties>
</file>