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5A" w:rsidRPr="00724C13" w:rsidRDefault="00EC615A" w:rsidP="00EC615A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 w:rsidR="00724C13">
        <w:rPr>
          <w:b/>
        </w:rPr>
        <w:br/>
      </w:r>
      <w:r w:rsidR="00724C13">
        <w:t>This is a standard full adder</w:t>
      </w:r>
      <w:r w:rsidR="00F1073A">
        <w:t xml:space="preserve"> (FA)</w:t>
      </w:r>
      <w:r w:rsidR="00724C13">
        <w:t xml:space="preserve"> cell. This cell has 3 inputs A, B, and </w:t>
      </w:r>
      <w:proofErr w:type="spellStart"/>
      <w:r w:rsidR="00724C13">
        <w:t>Cin</w:t>
      </w:r>
      <w:proofErr w:type="spellEnd"/>
      <w:r w:rsidR="00724C13">
        <w:t xml:space="preserve">, along with two outputs Sum and </w:t>
      </w:r>
      <w:proofErr w:type="spellStart"/>
      <w:r w:rsidR="00724C13">
        <w:t>Cout</w:t>
      </w:r>
      <w:proofErr w:type="spellEnd"/>
      <w:r w:rsidR="00724C13">
        <w:t xml:space="preserve">. The function of this cell adds the two operands (A, and B) together along with the </w:t>
      </w:r>
      <w:proofErr w:type="spellStart"/>
      <w:r w:rsidR="00724C13">
        <w:t>Cin</w:t>
      </w:r>
      <w:proofErr w:type="spellEnd"/>
      <w:r w:rsidR="00724C13">
        <w:t xml:space="preserve"> which is the carry-in value from the previous stage of the adder. Once added together, the cell produces a Sum value, and a </w:t>
      </w:r>
      <w:proofErr w:type="spellStart"/>
      <w:r w:rsidR="00724C13">
        <w:t>Cout</w:t>
      </w:r>
      <w:proofErr w:type="spellEnd"/>
      <w:r w:rsidR="00724C13">
        <w:t xml:space="preserve"> (carry out) value if necessary.</w:t>
      </w:r>
    </w:p>
    <w:p w:rsidR="00724C13" w:rsidRDefault="00EC615A" w:rsidP="00EC615A">
      <w:pPr>
        <w:rPr>
          <w:b/>
        </w:rPr>
      </w:pPr>
      <w:r>
        <w:rPr>
          <w:b/>
        </w:rPr>
        <w:t>Truth Table:</w:t>
      </w:r>
      <w:r w:rsidR="00724C13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  <w:gridCol w:w="350"/>
        <w:gridCol w:w="340"/>
        <w:gridCol w:w="618"/>
        <w:gridCol w:w="716"/>
      </w:tblGrid>
      <w:tr w:rsidR="00724C13" w:rsidTr="00DB3810">
        <w:trPr>
          <w:trHeight w:val="233"/>
          <w:jc w:val="center"/>
        </w:trPr>
        <w:tc>
          <w:tcPr>
            <w:tcW w:w="350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33" w:type="dxa"/>
            <w:tcBorders>
              <w:bottom w:val="single" w:sz="4" w:space="0" w:color="auto"/>
              <w:right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724C13" w:rsidRDefault="00724C13" w:rsidP="00DB3810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Cout</m:t>
                </m:r>
              </m:oMath>
            </m:oMathPara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  <w:tcBorders>
              <w:top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 w:rsidRPr="000E07FC">
              <w:t>0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top w:val="single" w:sz="4" w:space="0" w:color="auto"/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724C13" w:rsidRPr="008C0592" w:rsidRDefault="00724C13" w:rsidP="00724C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724C13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724C13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40" w:type="dxa"/>
          </w:tcPr>
          <w:p w:rsidR="00724C13" w:rsidRPr="000E07FC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Pr="000E07FC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Pr="008C0592" w:rsidRDefault="00724C13" w:rsidP="00724C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  <w:tr w:rsidR="00724C13" w:rsidRPr="000E07FC" w:rsidTr="00DB3810">
        <w:trPr>
          <w:trHeight w:val="80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0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  <w:tr w:rsidR="00724C13" w:rsidRPr="000E07FC" w:rsidTr="00DB3810">
        <w:trPr>
          <w:trHeight w:val="233"/>
          <w:jc w:val="center"/>
        </w:trPr>
        <w:tc>
          <w:tcPr>
            <w:tcW w:w="35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40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3" w:type="dxa"/>
            <w:tcBorders>
              <w:righ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4" w:space="0" w:color="auto"/>
            </w:tcBorders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  <w:tc>
          <w:tcPr>
            <w:tcW w:w="331" w:type="dxa"/>
          </w:tcPr>
          <w:p w:rsidR="00724C13" w:rsidRDefault="00724C13" w:rsidP="00DB3810">
            <w:pPr>
              <w:jc w:val="center"/>
            </w:pPr>
            <w:r>
              <w:t>1</w:t>
            </w:r>
          </w:p>
        </w:tc>
      </w:tr>
    </w:tbl>
    <w:p w:rsidR="00EC615A" w:rsidRDefault="00EC615A" w:rsidP="00EC615A">
      <w:pPr>
        <w:rPr>
          <w:b/>
        </w:rPr>
      </w:pPr>
    </w:p>
    <w:p w:rsidR="00EC615A" w:rsidRDefault="00EC615A" w:rsidP="00EC615A">
      <w:pPr>
        <w:rPr>
          <w:b/>
        </w:rPr>
      </w:pPr>
      <w:r>
        <w:rPr>
          <w:b/>
        </w:rPr>
        <w:t>Behavioral Verilog:</w:t>
      </w:r>
    </w:p>
    <w:p w:rsidR="00EC615A" w:rsidRDefault="00EC615A" w:rsidP="00EC615A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Pr="00357D98" w:rsidRDefault="00DD5B91" w:rsidP="00DB3810">
            <w:pPr>
              <w:jc w:val="center"/>
            </w:pPr>
            <w:r>
              <w:t>FA</w:t>
            </w:r>
            <w:r w:rsidR="00EC615A">
              <w:t>X1</w:t>
            </w:r>
          </w:p>
        </w:tc>
        <w:tc>
          <w:tcPr>
            <w:tcW w:w="1542" w:type="dxa"/>
          </w:tcPr>
          <w:p w:rsidR="00EC615A" w:rsidRPr="00357D98" w:rsidRDefault="00EC615A" w:rsidP="00DB381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615A" w:rsidRPr="00357D98" w:rsidRDefault="00EC615A" w:rsidP="00DB3810">
            <w:pPr>
              <w:jc w:val="center"/>
            </w:pPr>
            <w:r>
              <w:t>4</w:t>
            </w:r>
            <w:r w:rsidR="00DD5B91">
              <w:t>0</w:t>
            </w:r>
            <w:r>
              <w:t>.8</w:t>
            </w:r>
          </w:p>
        </w:tc>
      </w:tr>
      <w:tr w:rsidR="00EC615A" w:rsidTr="00DB3810">
        <w:trPr>
          <w:trHeight w:val="236"/>
          <w:jc w:val="center"/>
        </w:trPr>
        <w:tc>
          <w:tcPr>
            <w:tcW w:w="1542" w:type="dxa"/>
          </w:tcPr>
          <w:p w:rsidR="00EC615A" w:rsidRPr="00357D98" w:rsidRDefault="00DD5B91" w:rsidP="00DB3810">
            <w:pPr>
              <w:jc w:val="center"/>
            </w:pPr>
            <w:r>
              <w:t>FA</w:t>
            </w:r>
            <w:r w:rsidR="00EC615A">
              <w:t>X2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t>4</w:t>
            </w:r>
            <w:r w:rsidR="00DD5B91">
              <w:t>0</w:t>
            </w:r>
            <w:r>
              <w:t>.8</w:t>
            </w:r>
          </w:p>
        </w:tc>
      </w:tr>
    </w:tbl>
    <w:p w:rsidR="00EC615A" w:rsidRDefault="00EC615A" w:rsidP="00EC615A">
      <w:pPr>
        <w:spacing w:after="0"/>
        <w:rPr>
          <w:b/>
        </w:rPr>
      </w:pPr>
    </w:p>
    <w:p w:rsidR="00EC615A" w:rsidRDefault="00EC615A" w:rsidP="00EC615A">
      <w:pPr>
        <w:rPr>
          <w:b/>
        </w:rPr>
      </w:pPr>
      <w:r>
        <w:rPr>
          <w:b/>
        </w:rPr>
        <w:t>Performance:</w:t>
      </w:r>
    </w:p>
    <w:p w:rsidR="00EC615A" w:rsidRDefault="00EC615A" w:rsidP="00EC615A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FAX1</w:t>
            </w:r>
          </w:p>
        </w:tc>
        <w:tc>
          <w:tcPr>
            <w:tcW w:w="3117" w:type="dxa"/>
          </w:tcPr>
          <w:p w:rsidR="00DD5B91" w:rsidRPr="008D0C67" w:rsidRDefault="001D3163" w:rsidP="00DD5B91">
            <w:pPr>
              <w:jc w:val="center"/>
            </w:pPr>
            <w:r>
              <w:t>0.545184</w:t>
            </w:r>
          </w:p>
        </w:tc>
        <w:tc>
          <w:tcPr>
            <w:tcW w:w="3117" w:type="dxa"/>
          </w:tcPr>
          <w:p w:rsidR="00DD5B91" w:rsidRPr="008D0C67" w:rsidRDefault="001D3163" w:rsidP="00DD5B91">
            <w:pPr>
              <w:jc w:val="center"/>
            </w:pPr>
            <w:r>
              <w:t>4.956384</w:t>
            </w:r>
          </w:p>
        </w:tc>
      </w:tr>
      <w:tr w:rsidR="00DD5B91" w:rsidTr="00D95B7C">
        <w:trPr>
          <w:trHeight w:val="71"/>
        </w:trPr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FAX2</w:t>
            </w:r>
          </w:p>
        </w:tc>
        <w:tc>
          <w:tcPr>
            <w:tcW w:w="3117" w:type="dxa"/>
          </w:tcPr>
          <w:p w:rsidR="00DD5B91" w:rsidRPr="008D0C67" w:rsidRDefault="00D517EC" w:rsidP="00D95B7C">
            <w:pPr>
              <w:jc w:val="center"/>
            </w:pPr>
            <w:r>
              <w:t>0.</w:t>
            </w:r>
            <w:r w:rsidR="00D95B7C">
              <w:t>547069</w:t>
            </w:r>
          </w:p>
        </w:tc>
        <w:tc>
          <w:tcPr>
            <w:tcW w:w="3117" w:type="dxa"/>
          </w:tcPr>
          <w:p w:rsidR="00DD5B91" w:rsidRPr="008D0C67" w:rsidRDefault="00D95B7C" w:rsidP="00DD5B91">
            <w:pPr>
              <w:jc w:val="center"/>
            </w:pPr>
            <w:r>
              <w:t>4.692737</w:t>
            </w:r>
          </w:p>
        </w:tc>
      </w:tr>
    </w:tbl>
    <w:p w:rsidR="008D0C67" w:rsidRDefault="008D0C67" w:rsidP="008D0C67">
      <w:pPr>
        <w:jc w:val="center"/>
        <w:rPr>
          <w:b/>
        </w:rPr>
      </w:pPr>
      <w:r>
        <w:rPr>
          <w:b/>
        </w:rPr>
        <w:t>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C67" w:rsidTr="004A7DF2">
        <w:tc>
          <w:tcPr>
            <w:tcW w:w="3116" w:type="dxa"/>
          </w:tcPr>
          <w:p w:rsidR="008D0C67" w:rsidRDefault="008D0C67" w:rsidP="004A7DF2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8D0C67" w:rsidRDefault="008D0C67" w:rsidP="004A7DF2">
            <w:pPr>
              <w:jc w:val="center"/>
              <w:rPr>
                <w:b/>
              </w:rPr>
            </w:pPr>
            <w:r>
              <w:rPr>
                <w:b/>
              </w:rPr>
              <w:t>Min.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7" w:type="dxa"/>
          </w:tcPr>
          <w:p w:rsidR="008D0C67" w:rsidRDefault="008D0C67" w:rsidP="004A7DF2">
            <w:pPr>
              <w:jc w:val="center"/>
              <w:rPr>
                <w:b/>
              </w:rPr>
            </w:pPr>
            <w:r>
              <w:rPr>
                <w:b/>
              </w:rPr>
              <w:t>Max. (</w:t>
            </w:r>
            <w:proofErr w:type="spellStart"/>
            <w:r>
              <w:rPr>
                <w:b/>
              </w:rPr>
              <w:t>nS</w:t>
            </w:r>
            <w:proofErr w:type="spellEnd"/>
            <w:r>
              <w:rPr>
                <w:b/>
              </w:rPr>
              <w:t>)</w:t>
            </w:r>
          </w:p>
        </w:tc>
      </w:tr>
      <w:tr w:rsidR="008D0C67" w:rsidTr="004A7DF2">
        <w:tc>
          <w:tcPr>
            <w:tcW w:w="3116" w:type="dxa"/>
          </w:tcPr>
          <w:p w:rsidR="008D0C67" w:rsidRPr="00357D98" w:rsidRDefault="008D0C67" w:rsidP="004A7DF2">
            <w:pPr>
              <w:jc w:val="center"/>
            </w:pPr>
            <w:r>
              <w:t>FAX1</w:t>
            </w:r>
          </w:p>
        </w:tc>
        <w:tc>
          <w:tcPr>
            <w:tcW w:w="3117" w:type="dxa"/>
          </w:tcPr>
          <w:p w:rsidR="008D0C67" w:rsidRPr="008D0C67" w:rsidRDefault="001D3163" w:rsidP="004A7DF2">
            <w:pPr>
              <w:jc w:val="center"/>
            </w:pPr>
            <w:r>
              <w:t>0.236312</w:t>
            </w:r>
          </w:p>
        </w:tc>
        <w:tc>
          <w:tcPr>
            <w:tcW w:w="3117" w:type="dxa"/>
          </w:tcPr>
          <w:p w:rsidR="008D0C67" w:rsidRPr="008D0C67" w:rsidRDefault="008D0C67" w:rsidP="004A7DF2">
            <w:pPr>
              <w:jc w:val="center"/>
            </w:pPr>
            <w:r>
              <w:t>3.636292</w:t>
            </w:r>
          </w:p>
        </w:tc>
      </w:tr>
      <w:tr w:rsidR="008D0C67" w:rsidTr="004A7DF2">
        <w:tc>
          <w:tcPr>
            <w:tcW w:w="3116" w:type="dxa"/>
          </w:tcPr>
          <w:p w:rsidR="008D0C67" w:rsidRPr="00357D98" w:rsidRDefault="008D0C67" w:rsidP="004A7DF2">
            <w:pPr>
              <w:jc w:val="center"/>
            </w:pPr>
            <w:r>
              <w:t>FAX2</w:t>
            </w:r>
          </w:p>
        </w:tc>
        <w:tc>
          <w:tcPr>
            <w:tcW w:w="3117" w:type="dxa"/>
          </w:tcPr>
          <w:p w:rsidR="008D0C67" w:rsidRPr="008D0C67" w:rsidRDefault="00D95B7C" w:rsidP="004A7DF2">
            <w:pPr>
              <w:jc w:val="center"/>
            </w:pPr>
            <w:r>
              <w:t>0.217119</w:t>
            </w:r>
          </w:p>
        </w:tc>
        <w:tc>
          <w:tcPr>
            <w:tcW w:w="3117" w:type="dxa"/>
          </w:tcPr>
          <w:p w:rsidR="008D0C67" w:rsidRPr="008D0C67" w:rsidRDefault="00D95B7C" w:rsidP="004A7DF2">
            <w:pPr>
              <w:jc w:val="center"/>
            </w:pPr>
            <w:r>
              <w:t>5.140482</w:t>
            </w:r>
          </w:p>
        </w:tc>
      </w:tr>
    </w:tbl>
    <w:p w:rsidR="00EC615A" w:rsidRDefault="00EC615A" w:rsidP="00EC615A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FAX1</w:t>
            </w:r>
          </w:p>
        </w:tc>
        <w:tc>
          <w:tcPr>
            <w:tcW w:w="3117" w:type="dxa"/>
          </w:tcPr>
          <w:p w:rsidR="00DD5B91" w:rsidRPr="008D0C67" w:rsidRDefault="001D3163" w:rsidP="00DD5B91">
            <w:pPr>
              <w:jc w:val="center"/>
            </w:pPr>
            <w:r>
              <w:t>0.661016</w:t>
            </w:r>
          </w:p>
        </w:tc>
        <w:tc>
          <w:tcPr>
            <w:tcW w:w="3117" w:type="dxa"/>
          </w:tcPr>
          <w:p w:rsidR="00DD5B91" w:rsidRPr="008D0C67" w:rsidRDefault="001D3163" w:rsidP="00DD5B91">
            <w:pPr>
              <w:jc w:val="center"/>
            </w:pPr>
            <w:r>
              <w:t>6.331661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FAX2</w:t>
            </w:r>
          </w:p>
        </w:tc>
        <w:tc>
          <w:tcPr>
            <w:tcW w:w="3117" w:type="dxa"/>
          </w:tcPr>
          <w:p w:rsidR="00DD5B91" w:rsidRPr="008D0C67" w:rsidRDefault="00D517EC" w:rsidP="00D95B7C">
            <w:pPr>
              <w:jc w:val="center"/>
            </w:pPr>
            <w:r>
              <w:t>0.</w:t>
            </w:r>
            <w:r w:rsidR="00411EED">
              <w:t>59</w:t>
            </w:r>
            <w:r w:rsidR="00D95B7C">
              <w:t>0398</w:t>
            </w:r>
          </w:p>
        </w:tc>
        <w:tc>
          <w:tcPr>
            <w:tcW w:w="3117" w:type="dxa"/>
          </w:tcPr>
          <w:p w:rsidR="00DD5B91" w:rsidRPr="008D0C67" w:rsidRDefault="00D95B7C" w:rsidP="00D95B7C">
            <w:pPr>
              <w:jc w:val="center"/>
            </w:pPr>
            <w:r>
              <w:t>5.12905</w:t>
            </w:r>
            <w:bookmarkStart w:id="0" w:name="_GoBack"/>
            <w:bookmarkEnd w:id="0"/>
          </w:p>
        </w:tc>
      </w:tr>
    </w:tbl>
    <w:p w:rsidR="008D0C67" w:rsidRDefault="008D0C67" w:rsidP="00EC615A">
      <w:pPr>
        <w:jc w:val="center"/>
        <w:rPr>
          <w:b/>
        </w:rPr>
      </w:pPr>
    </w:p>
    <w:p w:rsidR="008D0C67" w:rsidRDefault="008D0C67" w:rsidP="00EC615A">
      <w:pPr>
        <w:jc w:val="center"/>
        <w:rPr>
          <w:b/>
        </w:rPr>
      </w:pPr>
    </w:p>
    <w:p w:rsidR="008D0C67" w:rsidRDefault="008D0C67" w:rsidP="00EC615A">
      <w:pPr>
        <w:jc w:val="center"/>
        <w:rPr>
          <w:b/>
        </w:rPr>
      </w:pPr>
    </w:p>
    <w:p w:rsidR="00EC615A" w:rsidRDefault="00EC615A" w:rsidP="00EC615A">
      <w:pPr>
        <w:jc w:val="center"/>
        <w:rPr>
          <w:b/>
        </w:rPr>
      </w:pPr>
      <w:r>
        <w:rPr>
          <w:b/>
        </w:rPr>
        <w:lastRenderedPageBreak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615A" w:rsidTr="00DB3810">
        <w:tc>
          <w:tcPr>
            <w:tcW w:w="3116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  <w:tc>
          <w:tcPr>
            <w:tcW w:w="3117" w:type="dxa"/>
          </w:tcPr>
          <w:p w:rsidR="00EC615A" w:rsidRDefault="00EC615A" w:rsidP="00DB3810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  <w:r w:rsidR="008D0C67">
              <w:rPr>
                <w:b/>
              </w:rPr>
              <w:t xml:space="preserve"> (</w:t>
            </w:r>
            <w:proofErr w:type="spellStart"/>
            <w:r w:rsidR="008D0C67">
              <w:rPr>
                <w:b/>
              </w:rPr>
              <w:t>nS</w:t>
            </w:r>
            <w:proofErr w:type="spellEnd"/>
            <w:r w:rsidR="008D0C67">
              <w:rPr>
                <w:b/>
              </w:rPr>
              <w:t>)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FAX1</w:t>
            </w:r>
          </w:p>
        </w:tc>
        <w:tc>
          <w:tcPr>
            <w:tcW w:w="3117" w:type="dxa"/>
          </w:tcPr>
          <w:p w:rsidR="00DD5B91" w:rsidRPr="008D0C67" w:rsidRDefault="001D3163" w:rsidP="008D0C67">
            <w:pPr>
              <w:jc w:val="center"/>
            </w:pPr>
            <w:r>
              <w:t>0.293497</w:t>
            </w:r>
          </w:p>
        </w:tc>
        <w:tc>
          <w:tcPr>
            <w:tcW w:w="3117" w:type="dxa"/>
          </w:tcPr>
          <w:p w:rsidR="00DD5B91" w:rsidRPr="008D0C67" w:rsidRDefault="008D0C67" w:rsidP="00DD5B91">
            <w:pPr>
              <w:jc w:val="center"/>
            </w:pPr>
            <w:r>
              <w:t>4.717055</w:t>
            </w:r>
          </w:p>
        </w:tc>
      </w:tr>
      <w:tr w:rsidR="00DD5B91" w:rsidTr="00DB3810">
        <w:tc>
          <w:tcPr>
            <w:tcW w:w="3116" w:type="dxa"/>
          </w:tcPr>
          <w:p w:rsidR="00DD5B91" w:rsidRPr="00357D98" w:rsidRDefault="00DD5B91" w:rsidP="00DD5B91">
            <w:pPr>
              <w:jc w:val="center"/>
            </w:pPr>
            <w:r>
              <w:t>FAX2</w:t>
            </w:r>
          </w:p>
        </w:tc>
        <w:tc>
          <w:tcPr>
            <w:tcW w:w="3117" w:type="dxa"/>
          </w:tcPr>
          <w:p w:rsidR="00DD5B91" w:rsidRPr="008D0C67" w:rsidRDefault="00D517EC" w:rsidP="00D95B7C">
            <w:pPr>
              <w:jc w:val="center"/>
            </w:pPr>
            <w:r>
              <w:t>0.2</w:t>
            </w:r>
            <w:r w:rsidR="00D95B7C">
              <w:t>31074</w:t>
            </w:r>
          </w:p>
        </w:tc>
        <w:tc>
          <w:tcPr>
            <w:tcW w:w="3117" w:type="dxa"/>
          </w:tcPr>
          <w:p w:rsidR="00DD5B91" w:rsidRPr="008D0C67" w:rsidRDefault="00D517EC" w:rsidP="00D95B7C">
            <w:pPr>
              <w:jc w:val="center"/>
            </w:pPr>
            <w:r>
              <w:t>3.55</w:t>
            </w:r>
            <w:r w:rsidR="00D95B7C">
              <w:t>8365</w:t>
            </w:r>
          </w:p>
        </w:tc>
      </w:tr>
    </w:tbl>
    <w:p w:rsidR="00DD5B91" w:rsidRDefault="00DD5B91" w:rsidP="00EC615A">
      <w:pPr>
        <w:jc w:val="center"/>
        <w:rPr>
          <w:b/>
        </w:rPr>
      </w:pPr>
    </w:p>
    <w:p w:rsidR="00DD5B91" w:rsidRDefault="00DD5B91" w:rsidP="00EC615A">
      <w:pPr>
        <w:jc w:val="center"/>
        <w:rPr>
          <w:b/>
        </w:rPr>
      </w:pPr>
    </w:p>
    <w:p w:rsidR="00EC615A" w:rsidRDefault="00EC615A" w:rsidP="00EC615A">
      <w:pPr>
        <w:jc w:val="center"/>
        <w:rPr>
          <w:b/>
        </w:rPr>
      </w:pPr>
    </w:p>
    <w:p w:rsidR="00DD5B91" w:rsidRDefault="00EC615A" w:rsidP="00EC615A">
      <w:r>
        <w:rPr>
          <w:b/>
        </w:rPr>
        <w:t>Logic Symbol</w:t>
      </w:r>
      <w:proofErr w:type="gramStart"/>
      <w:r>
        <w:rPr>
          <w:b/>
        </w:rPr>
        <w:t>:</w:t>
      </w:r>
      <w:proofErr w:type="gramEnd"/>
      <w:r w:rsidR="00DD5B91">
        <w:rPr>
          <w:b/>
        </w:rPr>
        <w:br/>
      </w:r>
      <w:r w:rsidR="00DD5B91">
        <w:t>The following figure displays the symbol for the full adder. The symbol is the same for both available drive strengths.</w:t>
      </w:r>
    </w:p>
    <w:p w:rsidR="00DD5B91" w:rsidRDefault="00DD5B91" w:rsidP="00DD5B91">
      <w:pPr>
        <w:keepNext/>
        <w:jc w:val="center"/>
      </w:pPr>
      <w:r>
        <w:rPr>
          <w:b/>
        </w:rPr>
        <w:br/>
      </w:r>
      <w:r>
        <w:rPr>
          <w:b/>
          <w:noProof/>
        </w:rPr>
        <w:drawing>
          <wp:inline distT="0" distB="0" distL="0" distR="0" wp14:anchorId="7808936E" wp14:editId="7C0CE974">
            <wp:extent cx="5935980" cy="1760220"/>
            <wp:effectExtent l="0" t="0" r="7620" b="0"/>
            <wp:docPr id="1" name="Picture 1" descr="C:\Users\Travis\Documents\GitHub\ECE6710_06\Documents\Final Documentation\Cell Data Sheet\FA\FA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FA\FA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5A" w:rsidRDefault="00DD5B91" w:rsidP="00DD5B91">
      <w:pPr>
        <w:pStyle w:val="Caption"/>
        <w:jc w:val="center"/>
        <w:rPr>
          <w:b/>
        </w:rPr>
      </w:pPr>
      <w:r>
        <w:t xml:space="preserve">Figure </w:t>
      </w:r>
      <w:r w:rsidR="00BC19A4">
        <w:fldChar w:fldCharType="begin"/>
      </w:r>
      <w:r w:rsidR="00BC19A4">
        <w:instrText xml:space="preserve"> SEQ Figure \* ARABIC </w:instrText>
      </w:r>
      <w:r w:rsidR="00BC19A4">
        <w:fldChar w:fldCharType="separate"/>
      </w:r>
      <w:r>
        <w:rPr>
          <w:noProof/>
        </w:rPr>
        <w:t>1</w:t>
      </w:r>
      <w:r w:rsidR="00BC19A4">
        <w:rPr>
          <w:noProof/>
        </w:rPr>
        <w:fldChar w:fldCharType="end"/>
      </w:r>
      <w:r>
        <w:t>: Symbol View for the FA cell.</w:t>
      </w:r>
    </w:p>
    <w:p w:rsidR="00DD5B91" w:rsidRDefault="00DD5B91">
      <w:pPr>
        <w:rPr>
          <w:b/>
        </w:rPr>
      </w:pPr>
      <w:r>
        <w:rPr>
          <w:b/>
        </w:rPr>
        <w:br w:type="page"/>
      </w:r>
    </w:p>
    <w:p w:rsidR="00EC615A" w:rsidRDefault="00EC615A" w:rsidP="00EC615A">
      <w:pPr>
        <w:rPr>
          <w:b/>
        </w:rPr>
      </w:pPr>
      <w:r>
        <w:rPr>
          <w:b/>
        </w:rPr>
        <w:lastRenderedPageBreak/>
        <w:t>CMOS Schematic: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drawing>
          <wp:inline distT="0" distB="0" distL="0" distR="0" wp14:anchorId="3EDB1A4E" wp14:editId="768CEF82">
            <wp:extent cx="5943600" cy="4472940"/>
            <wp:effectExtent l="0" t="0" r="0" b="3810"/>
            <wp:docPr id="2" name="Picture 2" descr="C:\Users\Travis\Documents\GitHub\ECE6710_06\Documents\Final Documentation\Cell Data Sheet\FA\FAX1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FA\FAX1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Default="00DD5B91" w:rsidP="00DD5B91">
      <w:pPr>
        <w:pStyle w:val="Caption"/>
        <w:jc w:val="center"/>
        <w:rPr>
          <w:b/>
        </w:rPr>
      </w:pPr>
      <w:r>
        <w:t xml:space="preserve">Figure </w:t>
      </w:r>
      <w:r w:rsidR="00BC19A4">
        <w:fldChar w:fldCharType="begin"/>
      </w:r>
      <w:r w:rsidR="00BC19A4">
        <w:instrText xml:space="preserve"> SEQ Figure \* ARABIC </w:instrText>
      </w:r>
      <w:r w:rsidR="00BC19A4">
        <w:fldChar w:fldCharType="separate"/>
      </w:r>
      <w:r>
        <w:rPr>
          <w:noProof/>
        </w:rPr>
        <w:t>2</w:t>
      </w:r>
      <w:r w:rsidR="00BC19A4">
        <w:rPr>
          <w:noProof/>
        </w:rPr>
        <w:fldChar w:fldCharType="end"/>
      </w:r>
      <w:r>
        <w:t>: CMOS schematic view for the FAX1 cell.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>
            <wp:extent cx="5943600" cy="4610100"/>
            <wp:effectExtent l="0" t="0" r="0" b="0"/>
            <wp:docPr id="4" name="Picture 4" descr="C:\Users\Travis\Documents\GitHub\ECE6710_06\Documents\Final Documentation\Cell Data Sheet\FA\FAX2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FA\FAX2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Default="00DD5B91" w:rsidP="00DD5B91">
      <w:pPr>
        <w:pStyle w:val="Caption"/>
        <w:jc w:val="center"/>
      </w:pPr>
      <w:r>
        <w:t xml:space="preserve">Figure </w:t>
      </w:r>
      <w:r w:rsidR="00BC19A4">
        <w:fldChar w:fldCharType="begin"/>
      </w:r>
      <w:r w:rsidR="00BC19A4">
        <w:instrText xml:space="preserve"> SEQ Figure \* ARABIC </w:instrText>
      </w:r>
      <w:r w:rsidR="00BC19A4">
        <w:fldChar w:fldCharType="separate"/>
      </w:r>
      <w:r>
        <w:rPr>
          <w:noProof/>
        </w:rPr>
        <w:t>3</w:t>
      </w:r>
      <w:r w:rsidR="00BC19A4">
        <w:rPr>
          <w:noProof/>
        </w:rPr>
        <w:fldChar w:fldCharType="end"/>
      </w:r>
      <w:r w:rsidRPr="00CD3ACA">
        <w:t>: CMOS schematic view for the FAX</w:t>
      </w:r>
      <w:r>
        <w:t>2</w:t>
      </w:r>
      <w:r w:rsidRPr="00CD3ACA">
        <w:t xml:space="preserve"> cell.</w:t>
      </w:r>
    </w:p>
    <w:p w:rsidR="00DD5B91" w:rsidRDefault="00DD5B91" w:rsidP="00DD5B91">
      <w:pPr>
        <w:jc w:val="center"/>
        <w:rPr>
          <w:b/>
        </w:rPr>
      </w:pPr>
      <w:r>
        <w:rPr>
          <w:b/>
        </w:rPr>
        <w:br w:type="page"/>
      </w:r>
    </w:p>
    <w:p w:rsidR="00EC615A" w:rsidRDefault="00EC615A" w:rsidP="00EC615A">
      <w:pPr>
        <w:rPr>
          <w:b/>
        </w:rPr>
      </w:pPr>
      <w:r>
        <w:rPr>
          <w:b/>
        </w:rPr>
        <w:lastRenderedPageBreak/>
        <w:t>CMOS Layout: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drawing>
          <wp:inline distT="0" distB="0" distL="0" distR="0" wp14:anchorId="70773FCE" wp14:editId="29D7C470">
            <wp:extent cx="5935980" cy="4061460"/>
            <wp:effectExtent l="0" t="0" r="7620" b="0"/>
            <wp:docPr id="5" name="Picture 5" descr="C:\Users\Travis\Documents\GitHub\ECE6710_06\Documents\Final Documentation\Cell Data Sheet\FA\FAX1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FA\FAX1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5A" w:rsidRDefault="00DD5B91" w:rsidP="00DD5B91">
      <w:pPr>
        <w:pStyle w:val="Caption"/>
        <w:jc w:val="center"/>
        <w:rPr>
          <w:b/>
        </w:rPr>
      </w:pPr>
      <w:r>
        <w:t xml:space="preserve">Figure </w:t>
      </w:r>
      <w:r w:rsidR="00BC19A4">
        <w:fldChar w:fldCharType="begin"/>
      </w:r>
      <w:r w:rsidR="00BC19A4">
        <w:instrText xml:space="preserve"> SEQ Figure \* ARABIC </w:instrText>
      </w:r>
      <w:r w:rsidR="00BC19A4">
        <w:fldChar w:fldCharType="separate"/>
      </w:r>
      <w:r>
        <w:rPr>
          <w:noProof/>
        </w:rPr>
        <w:t>4</w:t>
      </w:r>
      <w:r w:rsidR="00BC19A4">
        <w:rPr>
          <w:noProof/>
        </w:rPr>
        <w:fldChar w:fldCharType="end"/>
      </w:r>
      <w:r>
        <w:t>: CMOS layout</w:t>
      </w:r>
      <w:r w:rsidRPr="001D7E3C">
        <w:t xml:space="preserve"> view for the FAX1 cell.</w:t>
      </w:r>
    </w:p>
    <w:p w:rsidR="00DD5B91" w:rsidRDefault="00DD5B91" w:rsidP="00DD5B91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372113DA" wp14:editId="0B0360F3">
            <wp:extent cx="5935980" cy="4053840"/>
            <wp:effectExtent l="0" t="0" r="7620" b="3810"/>
            <wp:docPr id="6" name="Picture 6" descr="C:\Users\Travis\Documents\GitHub\ECE6710_06\Documents\Final Documentation\Cell Data Sheet\FA\FAX2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FA\FAX2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91" w:rsidRPr="00F15E1D" w:rsidRDefault="00DD5B91" w:rsidP="00DD5B91">
      <w:pPr>
        <w:pStyle w:val="Caption"/>
        <w:jc w:val="center"/>
        <w:rPr>
          <w:b/>
        </w:rPr>
      </w:pPr>
      <w:r>
        <w:t xml:space="preserve">Figure </w:t>
      </w:r>
      <w:r w:rsidR="00BC19A4">
        <w:fldChar w:fldCharType="begin"/>
      </w:r>
      <w:r w:rsidR="00BC19A4">
        <w:instrText xml:space="preserve"> SEQ Figure \* ARABIC </w:instrText>
      </w:r>
      <w:r w:rsidR="00BC19A4">
        <w:fldChar w:fldCharType="separate"/>
      </w:r>
      <w:r>
        <w:rPr>
          <w:noProof/>
        </w:rPr>
        <w:t>5</w:t>
      </w:r>
      <w:r w:rsidR="00BC19A4">
        <w:rPr>
          <w:noProof/>
        </w:rPr>
        <w:fldChar w:fldCharType="end"/>
      </w:r>
      <w:r>
        <w:t>: CMOS layout view for the FAX2</w:t>
      </w:r>
      <w:r w:rsidRPr="00973AC2">
        <w:t xml:space="preserve"> cell.</w:t>
      </w:r>
    </w:p>
    <w:p w:rsidR="00B150A4" w:rsidRDefault="00B150A4"/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9A4" w:rsidRDefault="00BC19A4">
      <w:pPr>
        <w:spacing w:after="0" w:line="240" w:lineRule="auto"/>
      </w:pPr>
      <w:r>
        <w:separator/>
      </w:r>
    </w:p>
  </w:endnote>
  <w:endnote w:type="continuationSeparator" w:id="0">
    <w:p w:rsidR="00BC19A4" w:rsidRDefault="00BC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BC19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7C536A">
    <w:pPr>
      <w:pStyle w:val="Footer"/>
      <w:jc w:val="center"/>
    </w:pPr>
    <w:r>
      <w:br/>
      <w:t>AMI 0.6μ CMOS Process</w:t>
    </w:r>
  </w:p>
  <w:p w:rsidR="00F15E1D" w:rsidRDefault="00BC19A4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C536A">
          <w:fldChar w:fldCharType="begin"/>
        </w:r>
        <w:r w:rsidR="007C536A">
          <w:instrText xml:space="preserve"> PAGE   \* MERGEFORMAT </w:instrText>
        </w:r>
        <w:r w:rsidR="007C536A">
          <w:fldChar w:fldCharType="separate"/>
        </w:r>
        <w:r w:rsidR="00D95B7C">
          <w:rPr>
            <w:noProof/>
          </w:rPr>
          <w:t>6</w:t>
        </w:r>
        <w:r w:rsidR="007C536A">
          <w:rPr>
            <w:noProof/>
          </w:rPr>
          <w:fldChar w:fldCharType="end"/>
        </w:r>
      </w:sdtContent>
    </w:sdt>
  </w:p>
  <w:p w:rsidR="00F15E1D" w:rsidRDefault="00BC19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BC19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9A4" w:rsidRDefault="00BC19A4">
      <w:pPr>
        <w:spacing w:after="0" w:line="240" w:lineRule="auto"/>
      </w:pPr>
      <w:r>
        <w:separator/>
      </w:r>
    </w:p>
  </w:footnote>
  <w:footnote w:type="continuationSeparator" w:id="0">
    <w:p w:rsidR="00BC19A4" w:rsidRDefault="00BC1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BC19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BC19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BC1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5A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3163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11EED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4C13"/>
    <w:rsid w:val="007264D0"/>
    <w:rsid w:val="00750F08"/>
    <w:rsid w:val="00760D0D"/>
    <w:rsid w:val="007B2BB5"/>
    <w:rsid w:val="007B404B"/>
    <w:rsid w:val="007C3802"/>
    <w:rsid w:val="007C536A"/>
    <w:rsid w:val="008065FB"/>
    <w:rsid w:val="00814D89"/>
    <w:rsid w:val="008162E9"/>
    <w:rsid w:val="00836D6B"/>
    <w:rsid w:val="00846232"/>
    <w:rsid w:val="00873FC0"/>
    <w:rsid w:val="008D0C67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BC19A4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517EC"/>
    <w:rsid w:val="00D65F91"/>
    <w:rsid w:val="00D706CF"/>
    <w:rsid w:val="00D95B7C"/>
    <w:rsid w:val="00D977A8"/>
    <w:rsid w:val="00DB2026"/>
    <w:rsid w:val="00DD5B91"/>
    <w:rsid w:val="00DF6160"/>
    <w:rsid w:val="00E26F77"/>
    <w:rsid w:val="00E27B4E"/>
    <w:rsid w:val="00E47B65"/>
    <w:rsid w:val="00E75435"/>
    <w:rsid w:val="00EA0259"/>
    <w:rsid w:val="00EA49C5"/>
    <w:rsid w:val="00EC615A"/>
    <w:rsid w:val="00ED3593"/>
    <w:rsid w:val="00EE4B50"/>
    <w:rsid w:val="00F0027D"/>
    <w:rsid w:val="00F1073A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0488C-27F6-451C-AB40-E3FFB4BD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5A"/>
  </w:style>
  <w:style w:type="paragraph" w:styleId="Footer">
    <w:name w:val="footer"/>
    <w:basedOn w:val="Normal"/>
    <w:link w:val="FooterChar"/>
    <w:uiPriority w:val="99"/>
    <w:unhideWhenUsed/>
    <w:rsid w:val="00EC6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5A"/>
  </w:style>
  <w:style w:type="table" w:styleId="TableGrid">
    <w:name w:val="Table Grid"/>
    <w:basedOn w:val="TableNormal"/>
    <w:uiPriority w:val="39"/>
    <w:rsid w:val="00EC6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4C1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D5B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8</cp:revision>
  <dcterms:created xsi:type="dcterms:W3CDTF">2015-12-14T16:26:00Z</dcterms:created>
  <dcterms:modified xsi:type="dcterms:W3CDTF">2015-12-14T19:34:00Z</dcterms:modified>
</cp:coreProperties>
</file>