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357D98" w:rsidTr="005C6048">
        <w:trPr>
          <w:trHeight w:val="227"/>
          <w:jc w:val="center"/>
        </w:trPr>
        <w:tc>
          <w:tcPr>
            <w:tcW w:w="246" w:type="dxa"/>
            <w:tcBorders>
              <w:bottom w:val="single" w:sz="4" w:space="0" w:color="auto"/>
              <w:right w:val="single" w:sz="4" w:space="0" w:color="auto"/>
            </w:tcBorders>
          </w:tcPr>
          <w:p w:rsidR="00357D98" w:rsidRPr="00357D98" w:rsidRDefault="00357D98" w:rsidP="004E7F52">
            <w:pPr>
              <w:jc w:val="center"/>
            </w:pPr>
            <w:r w:rsidRPr="00357D98">
              <w:t>A</w:t>
            </w:r>
          </w:p>
        </w:tc>
        <w:tc>
          <w:tcPr>
            <w:tcW w:w="246" w:type="dxa"/>
            <w:tcBorders>
              <w:left w:val="single" w:sz="4" w:space="0" w:color="auto"/>
              <w:bottom w:val="single" w:sz="4" w:space="0" w:color="auto"/>
            </w:tcBorders>
          </w:tcPr>
          <w:p w:rsidR="00357D98" w:rsidRPr="00357D98" w:rsidRDefault="00357D98" w:rsidP="004E7F52">
            <w:pPr>
              <w:jc w:val="center"/>
            </w:pPr>
            <w:r w:rsidRPr="00357D98">
              <w:t>Y</w:t>
            </w:r>
          </w:p>
        </w:tc>
      </w:tr>
      <w:tr w:rsidR="00357D98" w:rsidTr="005C6048">
        <w:trPr>
          <w:trHeight w:val="234"/>
          <w:jc w:val="center"/>
        </w:trPr>
        <w:tc>
          <w:tcPr>
            <w:tcW w:w="246" w:type="dxa"/>
            <w:tcBorders>
              <w:top w:val="single" w:sz="4" w:space="0" w:color="auto"/>
              <w:right w:val="single" w:sz="4" w:space="0" w:color="auto"/>
            </w:tcBorders>
          </w:tcPr>
          <w:p w:rsidR="00357D98" w:rsidRPr="00357D98" w:rsidRDefault="00357D98" w:rsidP="004E7F52">
            <w:pPr>
              <w:jc w:val="center"/>
            </w:pPr>
            <w:r w:rsidRPr="00357D98">
              <w:t>0</w:t>
            </w:r>
          </w:p>
        </w:tc>
        <w:tc>
          <w:tcPr>
            <w:tcW w:w="246" w:type="dxa"/>
            <w:tcBorders>
              <w:top w:val="single" w:sz="4" w:space="0" w:color="auto"/>
              <w:left w:val="single" w:sz="4" w:space="0" w:color="auto"/>
            </w:tcBorders>
          </w:tcPr>
          <w:p w:rsidR="00357D98" w:rsidRPr="00357D98" w:rsidRDefault="00357D98" w:rsidP="004E7F52">
            <w:pPr>
              <w:jc w:val="center"/>
            </w:pPr>
            <w:r w:rsidRPr="00357D98">
              <w:t>1</w:t>
            </w:r>
          </w:p>
        </w:tc>
      </w:tr>
      <w:tr w:rsidR="00357D98" w:rsidTr="005C6048">
        <w:trPr>
          <w:trHeight w:val="234"/>
          <w:jc w:val="center"/>
        </w:trPr>
        <w:tc>
          <w:tcPr>
            <w:tcW w:w="246" w:type="dxa"/>
            <w:tcBorders>
              <w:right w:val="single" w:sz="4" w:space="0" w:color="auto"/>
            </w:tcBorders>
          </w:tcPr>
          <w:p w:rsidR="00357D98" w:rsidRPr="00357D98" w:rsidRDefault="00357D98" w:rsidP="004E7F52">
            <w:pPr>
              <w:jc w:val="center"/>
            </w:pPr>
            <w:r w:rsidRPr="00357D98">
              <w:t>1</w:t>
            </w:r>
          </w:p>
        </w:tc>
        <w:tc>
          <w:tcPr>
            <w:tcW w:w="246" w:type="dxa"/>
            <w:tcBorders>
              <w:left w:val="single" w:sz="4" w:space="0" w:color="auto"/>
            </w:tcBorders>
          </w:tcPr>
          <w:p w:rsidR="00357D98" w:rsidRPr="00357D98" w:rsidRDefault="00357D98" w:rsidP="004E7F52">
            <w:pPr>
              <w:jc w:val="center"/>
            </w:pPr>
            <w:r w:rsidRPr="00357D98">
              <w:t>0</w:t>
            </w:r>
          </w:p>
        </w:tc>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proofErr w:type="gramStart"/>
      <w:r>
        <w:t>module</w:t>
      </w:r>
      <w:proofErr w:type="gramEnd"/>
      <w:r>
        <w:t xml:space="preserve"> INVXN ( Y, A );</w:t>
      </w:r>
    </w:p>
    <w:p w:rsidR="00357D98" w:rsidRPr="00357D98" w:rsidRDefault="00357D98" w:rsidP="004E7F52">
      <w:pPr>
        <w:spacing w:after="0"/>
      </w:pPr>
      <w:r w:rsidRPr="00357D98">
        <w:t xml:space="preserve">  </w:t>
      </w:r>
      <w:proofErr w:type="gramStart"/>
      <w:r w:rsidRPr="00357D98">
        <w:t>output</w:t>
      </w:r>
      <w:proofErr w:type="gramEnd"/>
      <w:r w:rsidRPr="00357D98">
        <w:t xml:space="preserve"> Y;</w:t>
      </w:r>
    </w:p>
    <w:p w:rsidR="00357D98" w:rsidRPr="00357D98" w:rsidRDefault="00357D98" w:rsidP="004E7F52">
      <w:pPr>
        <w:spacing w:after="0"/>
      </w:pPr>
      <w:r>
        <w:t xml:space="preserve">   </w:t>
      </w:r>
      <w:proofErr w:type="gramStart"/>
      <w:r>
        <w:t>input  A</w:t>
      </w:r>
      <w:proofErr w:type="gramEnd"/>
      <w:r>
        <w:t>;</w:t>
      </w:r>
    </w:p>
    <w:p w:rsidR="00357D98" w:rsidRPr="00357D98" w:rsidRDefault="00357D98" w:rsidP="004E7F52">
      <w:pPr>
        <w:spacing w:after="0"/>
      </w:pPr>
      <w:r>
        <w:t xml:space="preserve">   </w:t>
      </w:r>
      <w:proofErr w:type="gramStart"/>
      <w:r>
        <w:t>not</w:t>
      </w:r>
      <w:proofErr w:type="gramEnd"/>
      <w:r>
        <w:t xml:space="preserve"> _i0(Y, A);</w:t>
      </w:r>
    </w:p>
    <w:p w:rsidR="00357D98" w:rsidRPr="00357D98" w:rsidRDefault="00357D98" w:rsidP="004E7F52">
      <w:pPr>
        <w:spacing w:after="0"/>
      </w:pPr>
      <w:r w:rsidRPr="00357D98">
        <w:t xml:space="preserve">   </w:t>
      </w:r>
      <w:proofErr w:type="gramStart"/>
      <w:r w:rsidRPr="00357D98">
        <w:t>specify</w:t>
      </w:r>
      <w:proofErr w:type="gramEnd"/>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w:t>
      </w:r>
      <w:proofErr w:type="spellStart"/>
      <w:proofErr w:type="gramStart"/>
      <w:r w:rsidRPr="00357D98">
        <w:t>endspe</w:t>
      </w:r>
      <w:r>
        <w:t>cify</w:t>
      </w:r>
      <w:proofErr w:type="spellEnd"/>
      <w:proofErr w:type="gramEnd"/>
    </w:p>
    <w:p w:rsidR="00357D98" w:rsidRDefault="00357D98" w:rsidP="004E7F52">
      <w:pPr>
        <w:spacing w:after="0"/>
      </w:pPr>
      <w:proofErr w:type="spellStart"/>
      <w:proofErr w:type="gramStart"/>
      <w:r w:rsidRPr="00357D98">
        <w:t>endmodule</w:t>
      </w:r>
      <w:proofErr w:type="spellEnd"/>
      <w:proofErr w:type="gramEnd"/>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w:t>
            </w:r>
            <w:proofErr w:type="spellStart"/>
            <w:r>
              <w:rPr>
                <w:b/>
              </w:rPr>
              <w:t>μM</w:t>
            </w:r>
            <w:proofErr w:type="spellEnd"/>
            <w:r>
              <w:rPr>
                <w:b/>
              </w:rPr>
              <w:t>)</w:t>
            </w:r>
          </w:p>
        </w:tc>
        <w:tc>
          <w:tcPr>
            <w:tcW w:w="1542" w:type="dxa"/>
          </w:tcPr>
          <w:p w:rsidR="00357D98" w:rsidRDefault="00357D98" w:rsidP="004E7F52">
            <w:pPr>
              <w:jc w:val="center"/>
              <w:rPr>
                <w:b/>
              </w:rPr>
            </w:pPr>
            <w:r>
              <w:rPr>
                <w:b/>
              </w:rPr>
              <w:t>Width (</w:t>
            </w:r>
            <w:proofErr w:type="spellStart"/>
            <w:r>
              <w:rPr>
                <w:b/>
              </w:rPr>
              <w:t>μM</w:t>
            </w:r>
            <w:proofErr w:type="spellEnd"/>
            <w:r>
              <w:rPr>
                <w:b/>
              </w:rPr>
              <w:t>)</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r w:rsidR="00FF1AF0">
        <w:rPr>
          <w:b/>
        </w:rPr>
        <w:br/>
      </w:r>
    </w:p>
    <w:p w:rsidR="00D6089E" w:rsidRDefault="00D6089E" w:rsidP="00D6089E">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 xml:space="preserve">) </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484510" w:rsidP="00484510">
            <w:pPr>
              <w:jc w:val="center"/>
            </w:pPr>
            <w:r w:rsidRPr="00484510">
              <w:t>0.261011</w:t>
            </w:r>
          </w:p>
        </w:tc>
        <w:tc>
          <w:tcPr>
            <w:tcW w:w="3117" w:type="dxa"/>
          </w:tcPr>
          <w:p w:rsidR="00484510" w:rsidRPr="00484510" w:rsidRDefault="00484510" w:rsidP="00484510">
            <w:pPr>
              <w:jc w:val="center"/>
            </w:pPr>
            <w:r w:rsidRPr="00484510">
              <w:t>4.441372</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484510" w:rsidP="00484510">
            <w:pPr>
              <w:jc w:val="center"/>
            </w:pPr>
            <w:r w:rsidRPr="00484510">
              <w:t>0.225636</w:t>
            </w:r>
          </w:p>
        </w:tc>
        <w:tc>
          <w:tcPr>
            <w:tcW w:w="3117" w:type="dxa"/>
          </w:tcPr>
          <w:p w:rsidR="00484510" w:rsidRPr="00484510" w:rsidRDefault="00484510" w:rsidP="00484510">
            <w:pPr>
              <w:jc w:val="center"/>
            </w:pPr>
            <w:r w:rsidRPr="00484510">
              <w:t>4.087162</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484510" w:rsidP="00484510">
            <w:pPr>
              <w:jc w:val="center"/>
            </w:pPr>
            <w:r w:rsidRPr="00484510">
              <w:t>0.20974</w:t>
            </w:r>
          </w:p>
        </w:tc>
        <w:tc>
          <w:tcPr>
            <w:tcW w:w="3117" w:type="dxa"/>
          </w:tcPr>
          <w:p w:rsidR="00484510" w:rsidRPr="00484510" w:rsidRDefault="00484510" w:rsidP="00484510">
            <w:pPr>
              <w:jc w:val="center"/>
            </w:pPr>
            <w:r w:rsidRPr="00484510">
              <w:t>3.927988</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484510" w:rsidP="00484510">
            <w:pPr>
              <w:jc w:val="center"/>
            </w:pPr>
            <w:r w:rsidRPr="00484510">
              <w:t>0.19849</w:t>
            </w:r>
          </w:p>
        </w:tc>
        <w:tc>
          <w:tcPr>
            <w:tcW w:w="3117" w:type="dxa"/>
          </w:tcPr>
          <w:p w:rsidR="00484510" w:rsidRPr="00484510" w:rsidRDefault="00484510" w:rsidP="00484510">
            <w:pPr>
              <w:jc w:val="center"/>
            </w:pPr>
            <w:r w:rsidRPr="00484510">
              <w:t>3.197132</w:t>
            </w:r>
          </w:p>
        </w:tc>
      </w:tr>
    </w:tbl>
    <w:p w:rsidR="00D6089E" w:rsidRDefault="00D6089E" w:rsidP="00D6089E">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484510" w:rsidP="00484510">
            <w:pPr>
              <w:jc w:val="center"/>
            </w:pPr>
            <w:r w:rsidRPr="00484510">
              <w:t>0.353699</w:t>
            </w:r>
          </w:p>
        </w:tc>
        <w:tc>
          <w:tcPr>
            <w:tcW w:w="3117" w:type="dxa"/>
          </w:tcPr>
          <w:p w:rsidR="00484510" w:rsidRPr="00484510" w:rsidRDefault="00484510" w:rsidP="00484510">
            <w:pPr>
              <w:jc w:val="center"/>
            </w:pPr>
            <w:r w:rsidRPr="00484510">
              <w:t>5.887184</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484510" w:rsidP="00484510">
            <w:pPr>
              <w:jc w:val="center"/>
            </w:pPr>
            <w:r w:rsidRPr="00484510">
              <w:t>0.257917</w:t>
            </w:r>
          </w:p>
        </w:tc>
        <w:tc>
          <w:tcPr>
            <w:tcW w:w="3117" w:type="dxa"/>
          </w:tcPr>
          <w:p w:rsidR="00484510" w:rsidRPr="00484510" w:rsidRDefault="00484510" w:rsidP="00484510">
            <w:pPr>
              <w:jc w:val="center"/>
            </w:pPr>
            <w:r w:rsidRPr="00484510">
              <w:t>4.566927</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484510" w:rsidP="00484510">
            <w:pPr>
              <w:jc w:val="center"/>
            </w:pPr>
            <w:r w:rsidRPr="00484510">
              <w:t>0.233438</w:t>
            </w:r>
          </w:p>
        </w:tc>
        <w:tc>
          <w:tcPr>
            <w:tcW w:w="3117" w:type="dxa"/>
          </w:tcPr>
          <w:p w:rsidR="00484510" w:rsidRPr="00484510" w:rsidRDefault="00484510" w:rsidP="00484510">
            <w:pPr>
              <w:jc w:val="center"/>
            </w:pPr>
            <w:r w:rsidRPr="00484510">
              <w:t>4.095382</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484510" w:rsidP="00484510">
            <w:pPr>
              <w:jc w:val="center"/>
            </w:pPr>
            <w:r w:rsidRPr="00484510">
              <w:t>0.210379</w:t>
            </w:r>
          </w:p>
        </w:tc>
        <w:tc>
          <w:tcPr>
            <w:tcW w:w="3117" w:type="dxa"/>
          </w:tcPr>
          <w:p w:rsidR="00484510" w:rsidRPr="00484510" w:rsidRDefault="00484510" w:rsidP="00484510">
            <w:pPr>
              <w:jc w:val="center"/>
            </w:pPr>
            <w:r w:rsidRPr="00484510">
              <w:t>4.073315</w:t>
            </w:r>
          </w:p>
        </w:tc>
      </w:tr>
    </w:tbl>
    <w:p w:rsidR="00D6089E" w:rsidRDefault="00D6089E" w:rsidP="00D6089E">
      <w:pPr>
        <w:jc w:val="center"/>
        <w:rPr>
          <w:b/>
        </w:rPr>
      </w:pPr>
      <w:r>
        <w:rPr>
          <w:b/>
        </w:rPr>
        <w:lastRenderedPageBreak/>
        <w:b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484510" w:rsidP="00484510">
            <w:pPr>
              <w:jc w:val="center"/>
            </w:pPr>
            <w:r w:rsidRPr="00484510">
              <w:t>0.267747</w:t>
            </w:r>
          </w:p>
        </w:tc>
        <w:tc>
          <w:tcPr>
            <w:tcW w:w="3117" w:type="dxa"/>
          </w:tcPr>
          <w:p w:rsidR="00484510" w:rsidRPr="00484510" w:rsidRDefault="00484510" w:rsidP="00484510">
            <w:pPr>
              <w:jc w:val="center"/>
            </w:pPr>
            <w:r w:rsidRPr="00484510">
              <w:t>4.725145</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484510" w:rsidP="00484510">
            <w:pPr>
              <w:jc w:val="center"/>
            </w:pPr>
            <w:r w:rsidRPr="00484510">
              <w:t>0.185996</w:t>
            </w:r>
          </w:p>
        </w:tc>
        <w:tc>
          <w:tcPr>
            <w:tcW w:w="3117" w:type="dxa"/>
          </w:tcPr>
          <w:p w:rsidR="00484510" w:rsidRPr="00484510" w:rsidRDefault="00484510" w:rsidP="00484510">
            <w:pPr>
              <w:jc w:val="center"/>
            </w:pPr>
            <w:r w:rsidRPr="00484510">
              <w:t>3.561277</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484510" w:rsidP="00484510">
            <w:pPr>
              <w:jc w:val="center"/>
            </w:pPr>
            <w:r w:rsidRPr="00484510">
              <w:t>0.156828</w:t>
            </w:r>
          </w:p>
        </w:tc>
        <w:tc>
          <w:tcPr>
            <w:tcW w:w="3117" w:type="dxa"/>
          </w:tcPr>
          <w:p w:rsidR="00484510" w:rsidRPr="00484510" w:rsidRDefault="00484510" w:rsidP="00484510">
            <w:pPr>
              <w:jc w:val="center"/>
            </w:pPr>
            <w:r w:rsidRPr="00484510">
              <w:t>3.151193</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484510" w:rsidP="00484510">
            <w:pPr>
              <w:jc w:val="center"/>
            </w:pPr>
            <w:r w:rsidRPr="00484510">
              <w:t>0.145615</w:t>
            </w:r>
          </w:p>
        </w:tc>
        <w:tc>
          <w:tcPr>
            <w:tcW w:w="3117" w:type="dxa"/>
          </w:tcPr>
          <w:p w:rsidR="00484510" w:rsidRPr="00484510" w:rsidRDefault="00484510" w:rsidP="00484510">
            <w:pPr>
              <w:jc w:val="center"/>
            </w:pPr>
            <w:r w:rsidRPr="00484510">
              <w:t>3.129725</w:t>
            </w:r>
          </w:p>
        </w:tc>
      </w:tr>
    </w:tbl>
    <w:p w:rsidR="00D6089E" w:rsidRDefault="00D6089E" w:rsidP="00D6089E">
      <w:pPr>
        <w:jc w:val="center"/>
        <w:rPr>
          <w:b/>
        </w:rPr>
      </w:pPr>
      <w:bookmarkStart w:id="0" w:name="_GoBack"/>
      <w:bookmarkEnd w:id="0"/>
      <w:r>
        <w:rPr>
          <w:b/>
        </w:rPr>
        <w:br/>
        <w:t xml:space="preserve"> Output Rise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484510" w:rsidP="00484510">
            <w:pPr>
              <w:jc w:val="center"/>
            </w:pPr>
            <w:r w:rsidRPr="00484510">
              <w:t>0.208141</w:t>
            </w:r>
          </w:p>
        </w:tc>
        <w:tc>
          <w:tcPr>
            <w:tcW w:w="3117" w:type="dxa"/>
          </w:tcPr>
          <w:p w:rsidR="00484510" w:rsidRPr="00484510" w:rsidRDefault="00484510" w:rsidP="00484510">
            <w:pPr>
              <w:jc w:val="center"/>
            </w:pPr>
            <w:r w:rsidRPr="00484510">
              <w:t>3.634253</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484510" w:rsidP="00484510">
            <w:pPr>
              <w:jc w:val="center"/>
            </w:pPr>
            <w:r w:rsidRPr="00484510">
              <w:t>0.173378</w:t>
            </w:r>
          </w:p>
        </w:tc>
        <w:tc>
          <w:tcPr>
            <w:tcW w:w="3117" w:type="dxa"/>
          </w:tcPr>
          <w:p w:rsidR="00484510" w:rsidRPr="00484510" w:rsidRDefault="00484510" w:rsidP="00484510">
            <w:pPr>
              <w:jc w:val="center"/>
            </w:pPr>
            <w:r w:rsidRPr="00484510">
              <w:t>3.283945</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484510" w:rsidP="00484510">
            <w:pPr>
              <w:jc w:val="center"/>
            </w:pPr>
            <w:r w:rsidRPr="00484510">
              <w:t>0.157781</w:t>
            </w:r>
          </w:p>
        </w:tc>
        <w:tc>
          <w:tcPr>
            <w:tcW w:w="3117" w:type="dxa"/>
          </w:tcPr>
          <w:p w:rsidR="00484510" w:rsidRPr="00484510" w:rsidRDefault="00484510" w:rsidP="00484510">
            <w:pPr>
              <w:jc w:val="center"/>
            </w:pPr>
            <w:r w:rsidRPr="00484510">
              <w:t>3.127143</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484510" w:rsidP="00484510">
            <w:pPr>
              <w:jc w:val="center"/>
            </w:pPr>
            <w:r w:rsidRPr="00484510">
              <w:t>0.14623</w:t>
            </w:r>
          </w:p>
        </w:tc>
        <w:tc>
          <w:tcPr>
            <w:tcW w:w="3117" w:type="dxa"/>
          </w:tcPr>
          <w:p w:rsidR="00484510" w:rsidRPr="00484510" w:rsidRDefault="00484510" w:rsidP="00484510">
            <w:pPr>
              <w:jc w:val="center"/>
            </w:pPr>
            <w:r w:rsidRPr="00484510">
              <w:t>3.115807</w:t>
            </w:r>
          </w:p>
        </w:tc>
      </w:tr>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r>
        <w:rPr>
          <w:b/>
          <w:noProof/>
        </w:rPr>
        <w:drawing>
          <wp:inline distT="0" distB="0" distL="0" distR="0">
            <wp:extent cx="2896698"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96698" cy="18084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1</w:t>
        </w:r>
      </w:fldSimple>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2</w:t>
        </w:r>
      </w:fldSimple>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proofErr w:type="gramStart"/>
      <w:r w:rsidR="004E7F52">
        <w:rPr>
          <w:b/>
        </w:rPr>
        <w:t>:</w:t>
      </w:r>
      <w:proofErr w:type="gramEnd"/>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3</w:t>
        </w:r>
      </w:fldSimple>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4</w:t>
        </w:r>
      </w:fldSimple>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5</w:t>
        </w:r>
      </w:fldSimple>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fldSimple w:instr=" SEQ Figure \* ARABIC ">
        <w:r>
          <w:rPr>
            <w:noProof/>
          </w:rPr>
          <w:t>6</w:t>
        </w:r>
      </w:fldSimple>
      <w:proofErr w:type="gramStart"/>
      <w:r>
        <w:t>:CMOS</w:t>
      </w:r>
      <w:proofErr w:type="gramEnd"/>
      <w:r>
        <w:t xml:space="preserve">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p w:rsidR="005C6048" w:rsidRDefault="005C6048">
      <w:pPr>
        <w:spacing w:after="0"/>
      </w:pPr>
    </w:p>
    <w:sectPr w:rsidR="005C604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92" w:rsidRDefault="00E16592" w:rsidP="00357D98">
      <w:pPr>
        <w:spacing w:after="0" w:line="240" w:lineRule="auto"/>
      </w:pPr>
      <w:r>
        <w:separator/>
      </w:r>
    </w:p>
  </w:endnote>
  <w:endnote w:type="continuationSeparator" w:id="0">
    <w:p w:rsidR="00E16592" w:rsidRDefault="00E16592"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r>
    <w:r w:rsidR="00991553">
      <w:t>AMI 0.6μ CMOS Process</w:t>
    </w:r>
  </w:p>
  <w:p w:rsidR="00F15E1D" w:rsidRDefault="00E16592">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484510">
          <w:rPr>
            <w:noProof/>
          </w:rPr>
          <w:t>7</w:t>
        </w:r>
        <w:r w:rsidR="004A2050">
          <w:rPr>
            <w:noProof/>
          </w:rPr>
          <w:fldChar w:fldCharType="end"/>
        </w:r>
      </w:sdtContent>
    </w:sdt>
  </w:p>
  <w:p w:rsidR="00F15E1D" w:rsidRDefault="00E165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92" w:rsidRDefault="00E16592" w:rsidP="00357D98">
      <w:pPr>
        <w:spacing w:after="0" w:line="240" w:lineRule="auto"/>
      </w:pPr>
      <w:r>
        <w:separator/>
      </w:r>
    </w:p>
  </w:footnote>
  <w:footnote w:type="continuationSeparator" w:id="0">
    <w:p w:rsidR="00E16592" w:rsidRDefault="00E16592"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E165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57D98"/>
    <w:rsid w:val="003749D7"/>
    <w:rsid w:val="00391063"/>
    <w:rsid w:val="00397F89"/>
    <w:rsid w:val="003B01A3"/>
    <w:rsid w:val="003C257C"/>
    <w:rsid w:val="003F0194"/>
    <w:rsid w:val="003F5DDF"/>
    <w:rsid w:val="00457D44"/>
    <w:rsid w:val="00464B09"/>
    <w:rsid w:val="00484510"/>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940C7"/>
    <w:rsid w:val="005B7266"/>
    <w:rsid w:val="005C5792"/>
    <w:rsid w:val="005C6048"/>
    <w:rsid w:val="006158CD"/>
    <w:rsid w:val="00633734"/>
    <w:rsid w:val="00644179"/>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0E9"/>
    <w:rsid w:val="009611C3"/>
    <w:rsid w:val="009627ED"/>
    <w:rsid w:val="00967F6B"/>
    <w:rsid w:val="00972476"/>
    <w:rsid w:val="00973D0C"/>
    <w:rsid w:val="00987071"/>
    <w:rsid w:val="00991553"/>
    <w:rsid w:val="009A1BAD"/>
    <w:rsid w:val="009B72C4"/>
    <w:rsid w:val="009D3CFF"/>
    <w:rsid w:val="00A5738C"/>
    <w:rsid w:val="00A57A83"/>
    <w:rsid w:val="00A63314"/>
    <w:rsid w:val="00A85DCA"/>
    <w:rsid w:val="00A973A5"/>
    <w:rsid w:val="00AC1458"/>
    <w:rsid w:val="00AE3A9B"/>
    <w:rsid w:val="00AE48C5"/>
    <w:rsid w:val="00B063C2"/>
    <w:rsid w:val="00B150A4"/>
    <w:rsid w:val="00B560E0"/>
    <w:rsid w:val="00B8685F"/>
    <w:rsid w:val="00BA4109"/>
    <w:rsid w:val="00BD22DF"/>
    <w:rsid w:val="00C20E1E"/>
    <w:rsid w:val="00C7269E"/>
    <w:rsid w:val="00C74EF7"/>
    <w:rsid w:val="00C7592B"/>
    <w:rsid w:val="00C83C68"/>
    <w:rsid w:val="00C85301"/>
    <w:rsid w:val="00C87C2C"/>
    <w:rsid w:val="00CB1FB6"/>
    <w:rsid w:val="00CC07F4"/>
    <w:rsid w:val="00CC209D"/>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16592"/>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13</cp:revision>
  <dcterms:created xsi:type="dcterms:W3CDTF">2015-12-05T15:59:00Z</dcterms:created>
  <dcterms:modified xsi:type="dcterms:W3CDTF">2015-12-12T17:59:00Z</dcterms:modified>
</cp:coreProperties>
</file>