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003A79"/>
          <w:sz w:val="40"/>
          <w:szCs w:val="40"/>
        </w:rPr>
        <w:t xml:space="preserve">CLIK Website Revamp — BRD Gap Analysis</w:t>
      </w:r>
    </w:p>
    <w:p>
      <w:pPr>
        <w:pBdr>
          <w:bottom w:val="single" w:color="FF7D00" w:sz="12" w:space="4"/>
        </w:pBdr>
        <w:spacing w:after="240"/>
      </w:pPr>
      <w:r>
        <w:rPr>
          <w:rFonts w:ascii="Arial" w:cs="Arial" w:eastAsia="Arial" w:hAnsi="Arial"/>
          <w:color w:val="5B6B81"/>
          <w:sz w:val="22"/>
          <w:szCs w:val="22"/>
        </w:rPr>
        <w:t xml:space="preserve">Items stated in the BRD but not stated (or stated differently) in the intent files and Figma design</w:t>
      </w:r>
    </w:p>
    <w:p>
      <w:pPr>
        <w:spacing w:after="120"/>
      </w:pPr>
      <w:r>
        <w:rPr>
          <w:rFonts w:ascii="Arial" w:cs="Arial" w:eastAsia="Arial" w:hAnsi="Arial"/>
          <w:sz w:val="21"/>
          <w:szCs w:val="21"/>
        </w:rPr>
        <w:t xml:space="preserve">Compared documents: CLIK_Website_Revamp_BRD.docx (v1.0, 30 July 2026) against the website/CMS intent files (00–04) and the Figma file "IT-Intern-CRIF". The intent files were not changed. For each item, the last column describes how the system would behave if the BRD requirement is adopted.</w:t>
      </w:r>
    </w:p>
    <w:p>
      <w:pPr>
        <w:pStyle w:val="Heading2"/>
        <w:spacing w:after="100" w:before="120"/>
      </w:pPr>
      <w:r>
        <w:rPr>
          <w:rFonts w:ascii="Arial" w:cs="Arial" w:eastAsia="Arial" w:hAnsi="Arial"/>
          <w:b/>
          <w:bCs/>
          <w:color w:val="003A79"/>
          <w:sz w:val="26"/>
          <w:szCs w:val="26"/>
        </w:rPr>
        <w:t xml:space="preserve">Summary</w:t>
      </w:r>
    </w:p>
    <w:p>
      <w:pPr>
        <w:pStyle w:val="ListParagraph"/>
        <w:numPr>
          <w:ilvl w:val="0"/>
          <w:numId w:val="2"/>
        </w:numPr>
        <w:spacing w:after="80"/>
      </w:pPr>
      <w:r>
        <w:rPr>
          <w:rFonts w:ascii="Arial" w:cs="Arial" w:eastAsia="Arial" w:hAnsi="Arial"/>
          <w:b/>
          <w:bCs/>
          <w:sz w:val="21"/>
          <w:szCs w:val="21"/>
        </w:rPr>
        <w:t xml:space="preserve">56 items </w:t>
      </w:r>
      <w:r>
        <w:rPr>
          <w:rFonts w:ascii="Arial" w:cs="Arial" w:eastAsia="Arial" w:hAnsi="Arial"/>
          <w:sz w:val="21"/>
          <w:szCs w:val="21"/>
        </w:rPr>
        <w:t xml:space="preserve">in total: 21 on the website, 15 in the CMS, 5 in analytics, 6 in responsive/bilingual/SEO, 9 non-functional and compliance.</w:t>
      </w:r>
    </w:p>
    <w:p>
      <w:pPr>
        <w:pStyle w:val="ListParagraph"/>
        <w:numPr>
          <w:ilvl w:val="0"/>
          <w:numId w:val="2"/>
        </w:numPr>
        <w:spacing w:after="80"/>
      </w:pPr>
      <w:r>
        <w:rPr>
          <w:rFonts w:ascii="Arial" w:cs="Arial" w:eastAsia="Arial" w:hAnsi="Arial"/>
          <w:b/>
          <w:bCs/>
          <w:sz w:val="21"/>
          <w:szCs w:val="21"/>
        </w:rPr>
        <w:t xml:space="preserve">Biggest changes: </w:t>
      </w:r>
      <w:r>
        <w:rPr>
          <w:rFonts w:ascii="Arial" w:cs="Arial" w:eastAsia="Arial" w:hAnsi="Arial"/>
          <w:sz w:val="21"/>
          <w:szCs w:val="21"/>
        </w:rPr>
        <w:t xml:space="preserve">the CIKA chatbot (items 1, 2, 22), Jobstreet integration (19, 20, 36), analytics (37–41), and roles and approval (23–26). These add external integrations and change who can edit what.</w:t>
      </w:r>
    </w:p>
    <w:p>
      <w:pPr>
        <w:pStyle w:val="ListParagraph"/>
        <w:numPr>
          <w:ilvl w:val="0"/>
          <w:numId w:val="2"/>
        </w:numPr>
        <w:spacing w:after="80"/>
      </w:pPr>
      <w:r>
        <w:rPr>
          <w:rFonts w:ascii="Arial" w:cs="Arial" w:eastAsia="Arial" w:hAnsi="Arial"/>
          <w:b/>
          <w:bCs/>
          <w:sz w:val="21"/>
          <w:szCs w:val="21"/>
        </w:rPr>
        <w:t xml:space="preserve">Conflicts with confirmed decisions: </w:t>
      </w:r>
      <w:r>
        <w:rPr>
          <w:rFonts w:ascii="Arial" w:cs="Arial" w:eastAsia="Arial" w:hAnsi="Arial"/>
          <w:sz w:val="21"/>
          <w:szCs w:val="21"/>
        </w:rPr>
        <w:t xml:space="preserve">CAPTCHA (21), roles (23), static Homepage/About Us (25), optional approval (26), products menu (4, 6), Latest News count (3), careers via Jobstreet (19, 20, 36), and no horizontal scroll (43).</w:t>
      </w:r>
    </w:p>
    <w:p>
      <w:pPr>
        <w:pStyle w:val="Heading1"/>
        <w:spacing w:after="160" w:before="240"/>
      </w:pPr>
      <w:r>
        <w:rPr>
          <w:rFonts w:ascii="Arial" w:cs="Arial" w:eastAsia="Arial" w:hAnsi="Arial"/>
          <w:b/>
          <w:bCs/>
          <w:color w:val="003A79"/>
          <w:sz w:val="30"/>
          <w:szCs w:val="30"/>
        </w:rPr>
        <w:t xml:space="preserve">1. Website: visitor side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8938"/>
      </w:tblGrid>
      <w:tr>
        <w:trPr>
          <w:tblHeader/>
        </w:trPr>
        <w:tc>
          <w:tcPr>
            <w:tcW w:type="dxa" w:w="7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item</w:t>
            </w:r>
          </w:p>
        </w:tc>
        <w:tc>
          <w:tcPr>
            <w:tcW w:type="dxa" w:w="22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reference</w:t>
            </w:r>
          </w:p>
        </w:tc>
        <w:tc>
          <w:tcPr>
            <w:tcW w:type="dxa" w:w="8938"/>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How the system behaves differently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CIKA chatbot</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FR-006, 007, 008</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 floating chat button appears on every page and stays visible while scrolling. Visitors can ask questions and get AI answers based on CLIK's products, services and FAQ, within 2 seconds.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Chatbot escalation</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FR-009</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When CIKA can't answer, it offers a link to the Contact Us form (or a human agent) instead of a dead end.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Latest News shows 4</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FR-004</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The homepage news section shows up to 4 of the newest articles instead of 3, so the layout changes from 3 cards to 4.</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Products menu with 2 categories</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FR-017</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"Layanan dan Produk" dropdown shows Individual Credit Report and Business Solutions instead of Business Solution / Credit Scoring. The page hierarchy and URLs change.</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5</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Individual Credit Report step-by-step</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FR-018</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The "Cara mendapat laporan kredit" page becomes a numbered process: requirements, how to apply, how to receive the result. It is no longer just a list of documents.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6</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4 Business Solutions</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FR-019</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Business Solution shows only Business Intelligence, Decisioning, Credit Scoring and Analytics. Consulting is removed or moved elsewhere.</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7</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Per-product CTA options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FR-020</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Each product can show "Contact Sales", "Request Demo" and/or "Download Brochure". Visitors can download a PDF brochure.</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8</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Needs-based solution guide</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FR-021</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Business Solution gets a guide (e.g. "What do you need?" leading to a recommended solution), so visitors don't have to compare the 4 services themselves.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9</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Solution-specific contact</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FR-022</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Clicking a CTA on a solution opens a contact form pre-set to that solution, and the submission goes to that solution's PIC, not only sales@cbclik.com.</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10</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Members list with grouping, filter and search</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FR-016</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About Us shows a full member directory split into financial and non-financial institutions. Visitors can filter and search, and only members who gave permission appear.</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11</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Management team</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BRD Data Requirements</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About Us gets a new section showing management names, titles and photos.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12</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YouTube company video</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FR-013</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video plays as a YouTube embed and includes a link to CLIK's YouTube channel.</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13</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News filter</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FR-026</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Newsroom gets category and year filters; the article list and pagination update based on the selection.</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14</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FAQ</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FR-031</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Contact Us shows an FAQ grouped by category, where each question expands and collapses.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15</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Subject field</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FR-032</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The contact form gains a "Subject" field. The BRD field list (name, email, company, subject, message) is simpler than Figma's.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16</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Auto-reply email</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FR-036</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After submitting, the visitor receives a confirmation email within 5 minutes.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17</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Complaint Resolution form</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FR-034</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Visitors can submit a complaint through a form, not just read the procedure. Complaints become a separate submission type with their own handling, in line with OJK rules.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18</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People at CLIK</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FR-037</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Career page gets a section with employee stories or profiles.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19</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Jobs from Jobstreet</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FR-038</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The job list is pulled from Jobstreet and shows only active listings there.</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20</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Apply via Jobstreet</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FR-039</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"Lamar" (Apply) goes to the Jobstreet application page instead of opening an email to talent@cbclik.com.</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21</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CAPTCHA</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NFR Security</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Contact and complaint forms show a CAPTCHA check before submitting, in addition to the rate limits.</w:t>
            </w:r>
          </w:p>
        </w:tc>
      </w:tr>
    </w:tbl>
    <w:p>
      <w:pPr>
        <w:pStyle w:val="Heading1"/>
        <w:pageBreakBefore/>
        <w:spacing w:after="160" w:before="240"/>
      </w:pPr>
      <w:r>
        <w:rPr>
          <w:rFonts w:ascii="Arial" w:cs="Arial" w:eastAsia="Arial" w:hAnsi="Arial"/>
          <w:b/>
          <w:bCs/>
          <w:color w:val="003A79"/>
          <w:sz w:val="30"/>
          <w:szCs w:val="30"/>
        </w:rPr>
        <w:t xml:space="preserve">2. CMS: internal side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8938"/>
      </w:tblGrid>
      <w:tr>
        <w:trPr>
          <w:tblHeader/>
        </w:trPr>
        <w:tc>
          <w:tcPr>
            <w:tcW w:type="dxa" w:w="7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item</w:t>
            </w:r>
          </w:p>
        </w:tc>
        <w:tc>
          <w:tcPr>
            <w:tcW w:type="dxa" w:w="22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reference</w:t>
            </w:r>
          </w:p>
        </w:tc>
        <w:tc>
          <w:tcPr>
            <w:tcW w:type="dxa" w:w="8938"/>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How the system behaves differently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22</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Chatbot logs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FR-010</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Every CIKA conversation is saved. Admin can open and review the logs, with personal data protected.</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23</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Different role list</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FR-042</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Roles become Admin, Marketing &amp; PR, Product, HR and Developer. Sales Admin and Approver don't exist in the BRD, so who views form submissions and who approves content must be reassigned.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24</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Team scope per BRD</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FR-043</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Marketing &amp; PR manages Newsroom and FAQ, Product manages Products &amp; Services, and HR manages Career. Homepage, testimonials and logos are no longer a Marketing Admin area.</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25</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Homepage and About Us are static</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FR-057, Data Requirements</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Editors can't change the homepage and About Us text, management team or milestones. Changes are made by the Developer/Admin, so these pages leave the approval flow.</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26</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Optional approval</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FR-045</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Admin can switch the approval workflow on or off. When it is off, editors publish directly.</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27</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Scheduled publishing</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FR-030</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An article can be set to go live automatically at a chosen date and time. This adds a "Scheduled" status alongside Draft and Published.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28</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Preview</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FR-030</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Editors can see exactly how an article will look on the live site before publishing.</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29</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Article category/tag</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FR-029</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article form gets a Category/Tag field, which the news filter uses.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30</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Rollback</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FR-044</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Admin can restore a previous version of any content with one action, not just view its history.</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31</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Document uploads</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FR-020, FR-043</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Teams can upload files such as brochures, which are linked to products for visitors to download.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32</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FAQ management</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FR-031</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 new FAQ module (category, question, answer, in both languages), managed by Marketing &amp; PR.</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33</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Member directory management</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FR-016</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partner logo model grows into a member model with type (financial / non-financial), permission status and searchable name. Per the BRD, the data comes from the Membership division.</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34</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Solution PIC routing</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FR-022, FR-033</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Each solution has a PIC email set in the CMS. Form submissions are routed to that PIC within 5 minutes.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35</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Complaint submissions</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FR-034</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A separate inbox for complaints with its own recipient and tracking. Who handles it is not defined in the BRD.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36</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Jobstreet sync</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FR-040</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Publishing, editing or removing a job in the CMS stays consistent with Jobstreet, with no double input. The job module becomes an integration rather than standalone content. Whether Jobstreet supports this needs to be checked first.</w:t>
            </w:r>
          </w:p>
        </w:tc>
      </w:tr>
    </w:tbl>
    <w:p>
      <w:pPr>
        <w:pStyle w:val="Heading1"/>
        <w:pageBreakBefore/>
        <w:spacing w:after="160" w:before="240"/>
      </w:pPr>
      <w:r>
        <w:rPr>
          <w:rFonts w:ascii="Arial" w:cs="Arial" w:eastAsia="Arial" w:hAnsi="Arial"/>
          <w:b/>
          <w:bCs/>
          <w:color w:val="003A79"/>
          <w:sz w:val="30"/>
          <w:szCs w:val="30"/>
        </w:rPr>
        <w:t xml:space="preserve">3. Analytics and reporting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8938"/>
      </w:tblGrid>
      <w:tr>
        <w:trPr>
          <w:tblHeader/>
        </w:trPr>
        <w:tc>
          <w:tcPr>
            <w:tcW w:type="dxa" w:w="7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item</w:t>
            </w:r>
          </w:p>
        </w:tc>
        <w:tc>
          <w:tcPr>
            <w:tcW w:type="dxa" w:w="22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reference</w:t>
            </w:r>
          </w:p>
        </w:tc>
        <w:tc>
          <w:tcPr>
            <w:tcW w:type="dxa" w:w="8938"/>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How the system behaves differently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37</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GA4 with events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FR-046</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Every page sends traffic data to Google Analytics 4. CTA clicks and form submits are tracked as events, which requires a cookie/consent approach.</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38</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Google Search Console</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FR-047</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site is registered in Search Console. SEO data per article (impressions, clicks, position, keywords) is visible on a dashboard.</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39</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GEO monitoring</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FR-048</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A third-party tool (e.g. Profound, Otterly.ai) tracks how often CLIK appears in AI answer engines, best effort.</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40</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Product analytics dashboard</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FR-049</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Product team sees page views, time on page and CTA clicks per product, and can compare products without developer help.</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41</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Dashboard access control</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FR-050</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Only Admin, Marketing &amp; PR, Product and Product Management can open analytics. Other roles are blocked.</w:t>
            </w:r>
          </w:p>
        </w:tc>
      </w:tr>
    </w:tbl>
    <w:p>
      <w:pPr>
        <w:pStyle w:val="Heading1"/>
        <w:pageBreakBefore/>
        <w:spacing w:after="160" w:before="240"/>
      </w:pPr>
      <w:r>
        <w:rPr>
          <w:rFonts w:ascii="Arial" w:cs="Arial" w:eastAsia="Arial" w:hAnsi="Arial"/>
          <w:b/>
          <w:bCs/>
          <w:color w:val="003A79"/>
          <w:sz w:val="30"/>
          <w:szCs w:val="30"/>
        </w:rPr>
        <w:t xml:space="preserve">4. Responsive, bilingual and SEO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8938"/>
      </w:tblGrid>
      <w:tr>
        <w:trPr>
          <w:tblHeader/>
        </w:trPr>
        <w:tc>
          <w:tcPr>
            <w:tcW w:type="dxa" w:w="7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item</w:t>
            </w:r>
          </w:p>
        </w:tc>
        <w:tc>
          <w:tcPr>
            <w:tcW w:type="dxa" w:w="22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reference</w:t>
            </w:r>
          </w:p>
        </w:tc>
        <w:tc>
          <w:tcPr>
            <w:tcW w:type="dxa" w:w="8938"/>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How the system behaves differently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42</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Fixed breakpoints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FR-051</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Layouts switch at defined widths: desktop ≥1024px, tablet 768–1023px, mobile ≤767px. This replaces the AI coder's own judgement.</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43</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No horizontal scroll</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FR-051</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Wide tables and cards must reflow instead of scrolling sideways. This conflicts with the intent's scrollable tables.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44</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Hamburger menu at ≤1023px</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FR-052</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Tablets also get the hamburger menu, not only phones.</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45</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44×44px touch targets</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FR-053</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Buttons, form controls and the chatbot button are at least 44×44px on mobile.</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46</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Responsive images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FR-054</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Images are served in sizes matched to the device to keep pages fast.</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47</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hreflang tags and bilingual sitemap</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FR-058, NFR SEO</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Each page declares its ID and EN versions to search engines, and sitemap.xml lists both languages.</w:t>
            </w:r>
          </w:p>
        </w:tc>
      </w:tr>
    </w:tbl>
    <w:p>
      <w:pPr>
        <w:pStyle w:val="Heading1"/>
        <w:pageBreakBefore/>
        <w:spacing w:after="160" w:before="240"/>
      </w:pPr>
      <w:r>
        <w:rPr>
          <w:rFonts w:ascii="Arial" w:cs="Arial" w:eastAsia="Arial" w:hAnsi="Arial"/>
          <w:b/>
          <w:bCs/>
          <w:color w:val="003A79"/>
          <w:sz w:val="30"/>
          <w:szCs w:val="30"/>
        </w:rPr>
        <w:t xml:space="preserve">5. Non-functional and compliance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8938"/>
      </w:tblGrid>
      <w:tr>
        <w:trPr>
          <w:tblHeader/>
        </w:trPr>
        <w:tc>
          <w:tcPr>
            <w:tcW w:type="dxa" w:w="7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item</w:t>
            </w:r>
          </w:p>
        </w:tc>
        <w:tc>
          <w:tcPr>
            <w:tcW w:type="dxa" w:w="2200"/>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BRD reference</w:t>
            </w:r>
          </w:p>
        </w:tc>
        <w:tc>
          <w:tcPr>
            <w:tcW w:type="dxa" w:w="8938"/>
            <w:tcBorders>
              <w:top w:val="single" w:color="DBE4F0" w:sz="4"/>
              <w:left w:val="single" w:color="DBE4F0" w:sz="4"/>
              <w:bottom w:val="single" w:color="DBE4F0" w:sz="4"/>
              <w:right w:val="single" w:color="DBE4F0" w:sz="4"/>
            </w:tcBorders>
            <w:shd w:fill="003A79" w:color="auto" w:val="clear"/>
            <w:tcMar>
              <w:top w:type="dxa" w:w="80"/>
              <w:left w:type="dxa" w:w="110"/>
              <w:bottom w:type="dxa" w:w="80"/>
              <w:right w:type="dxa" w:w="110"/>
            </w:tcMar>
          </w:tcPr>
          <w:p>
            <w:r>
              <w:rPr>
                <w:rFonts w:ascii="Arial" w:cs="Arial" w:eastAsia="Arial" w:hAnsi="Arial"/>
                <w:b/>
                <w:bCs/>
                <w:color w:val="FFFFFF"/>
                <w:sz w:val="19"/>
                <w:szCs w:val="19"/>
              </w:rPr>
              <w:t xml:space="preserve">How the system behaves differently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48</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Load time under 3 seconds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NFR Performance</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Pages must meet a measurable speed target, which drives image optimisation, caching and possibly a CDN.</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49</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99.5% uptime</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NFR Availability</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Hosting needs monitoring and redundancy that can meet the target.</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50</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Backups and disaster recovery</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NFR Availability</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Content and database are backed up regularly, with a documented restore plan.</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51</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HTTPS everywhere</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NFR Security</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All pages are served over SSL, and HTTP redirects to HTTPS.</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52</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Traffic spikes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NFR Scalability</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The site must stay fast during big news or campaigns, which affects the hosting and caching setup.</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53</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Browser support</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NFR Compatibility</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The site is tested on the latest Chrome, Safari, Edge and Firefox.</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54</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Adding pages/products without a rebuild</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NFR Scalability</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New products and pages can be added from the CMS without a code deployment.</w:t>
            </w:r>
          </w:p>
        </w:tc>
      </w:tr>
      <w:tr>
        <w:trPr>
          <w:cantSplit/>
        </w:trPr>
        <w:tc>
          <w:tcPr>
            <w:tcW w:type="dxa" w:w="7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55</w:t>
            </w:r>
          </w:p>
        </w:tc>
        <w:tc>
          <w:tcPr>
            <w:tcW w:type="dxa" w:w="30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bCs/>
                <w:sz w:val="19"/>
                <w:szCs w:val="19"/>
              </w:rPr>
              <w:t xml:space="preserve">UU PDP compliance</w:t>
            </w:r>
          </w:p>
        </w:tc>
        <w:tc>
          <w:tcPr>
            <w:tcW w:type="dxa" w:w="2200"/>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Compliance</w:t>
            </w:r>
          </w:p>
        </w:tc>
        <w:tc>
          <w:tcPr>
            <w:tcW w:type="dxa" w:w="8938"/>
            <w:tcBorders>
              <w:top w:val="single" w:color="DBE4F0" w:sz="4"/>
              <w:left w:val="single" w:color="DBE4F0" w:sz="4"/>
              <w:bottom w:val="single" w:color="DBE4F0" w:sz="4"/>
              <w:right w:val="single" w:color="DBE4F0" w:sz="4"/>
            </w:tcBorders>
            <w:shd w:fill="F1FAFF" w:color="auto" w:val="clear"/>
            <w:tcMar>
              <w:top w:type="dxa" w:w="80"/>
              <w:left w:type="dxa" w:w="110"/>
              <w:bottom w:type="dxa" w:w="80"/>
              <w:right w:type="dxa" w:w="110"/>
            </w:tcMar>
          </w:tcPr>
          <w:p>
            <w:r>
              <w:rPr>
                <w:rFonts w:ascii="Arial" w:cs="Arial" w:eastAsia="Arial" w:hAnsi="Arial"/>
                <w:b w:val="false"/>
                <w:bCs w:val="false"/>
                <w:sz w:val="19"/>
                <w:szCs w:val="19"/>
              </w:rPr>
              <w:t xml:space="preserve">Form, complaint and chatbot data follow Indonesia's personal data protection law. This may affect consent text, access and retention; the intent currently keeps submissions permanently.</w:t>
            </w:r>
          </w:p>
        </w:tc>
      </w:tr>
      <w:tr>
        <w:trPr>
          <w:cantSplit/>
        </w:trPr>
        <w:tc>
          <w:tcPr>
            <w:tcW w:type="dxa" w:w="7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56</w:t>
            </w:r>
          </w:p>
        </w:tc>
        <w:tc>
          <w:tcPr>
            <w:tcW w:type="dxa" w:w="30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bCs/>
                <w:sz w:val="19"/>
                <w:szCs w:val="19"/>
              </w:rPr>
              <w:t xml:space="preserve">Accurate product claims</w:t>
            </w:r>
          </w:p>
        </w:tc>
        <w:tc>
          <w:tcPr>
            <w:tcW w:type="dxa" w:w="2200"/>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Compliance</w:t>
            </w:r>
          </w:p>
        </w:tc>
        <w:tc>
          <w:tcPr>
            <w:tcW w:type="dxa" w:w="8938"/>
            <w:tcBorders>
              <w:top w:val="single" w:color="DBE4F0" w:sz="4"/>
              <w:left w:val="single" w:color="DBE4F0" w:sz="4"/>
              <w:bottom w:val="single" w:color="DBE4F0" w:sz="4"/>
              <w:right w:val="single" w:color="DBE4F0" w:sz="4"/>
            </w:tcBorders>
            <w:tcMar>
              <w:top w:type="dxa" w:w="80"/>
              <w:left w:type="dxa" w:w="110"/>
              <w:bottom w:type="dxa" w:w="80"/>
              <w:right w:type="dxa" w:w="110"/>
            </w:tcMar>
          </w:tcPr>
          <w:p>
            <w:r>
              <w:rPr>
                <w:rFonts w:ascii="Arial" w:cs="Arial" w:eastAsia="Arial" w:hAnsi="Arial"/>
                <w:b w:val="false"/>
                <w:bCs w:val="false"/>
                <w:sz w:val="19"/>
                <w:szCs w:val="19"/>
              </w:rPr>
              <w:t xml:space="preserve">Product content must be reviewed so it isn't misleading under OJK rules, which adds a content review step before launch.</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97077"/>
        <w:sz w:val="16"/>
        <w:szCs w:val="16"/>
      </w:rPr>
      <w:t xml:space="preserve">CLIK Website Revamp — BRD Gap Analysis   |   Page </w:t>
    </w:r>
    <w:r>
      <w:rPr>
        <w:rFonts w:ascii="Arial" w:cs="Arial" w:eastAsia="Arial" w:hAnsi="Arial"/>
        <w:color w:val="6970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2026-09-17T07:38:29.747Z</dcterms:created>
  <dcterms:modified xsi:type="dcterms:W3CDTF">2026-09-17T07:38:29.747Z</dcterms:modified>
</cp:coreProperties>
</file>

<file path=docProps/custom.xml><?xml version="1.0" encoding="utf-8"?>
<Properties xmlns="http://schemas.openxmlformats.org/officeDocument/2006/custom-properties" xmlns:vt="http://schemas.openxmlformats.org/officeDocument/2006/docPropsVTypes"/>
</file>