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E40AF" w:val="clear"/>
            <w:tcMar>
              <w:top w:type="dxa" w:w="300"/>
              <w:left w:type="dxa" w:w="400"/>
              <w:bottom w:type="dxa" w:w="300"/>
              <w:right w:type="dxa" w:w="400"/>
            </w:tcMar>
          </w:tcPr>
          <w:p>
            <w:pPr>
              <w:spacing w:after="80"/>
              <w:jc w:val="center"/>
            </w:pPr>
            <w:r>
              <w:rPr>
                <w:rFonts w:ascii="Arial" w:cs="Arial" w:eastAsia="Arial" w:hAnsi="Arial"/>
                <w:b/>
                <w:bCs/>
                <w:color w:val="FFFFFF"/>
                <w:sz w:val="44"/>
                <w:szCs w:val="44"/>
              </w:rPr>
              <w:t xml:space="preserve">SKIPSCHOOL</w:t>
            </w:r>
            <w:r>
              <w:rPr>
                <w:rFonts w:ascii="Arial" w:cs="Arial" w:eastAsia="Arial" w:hAnsi="Arial"/>
                <w:b w:val="false"/>
                <w:bCs w:val="false"/>
                <w:color w:val="93C5FD"/>
                <w:sz w:val="44"/>
                <w:szCs w:val="44"/>
              </w:rPr>
              <w:t xml:space="preserve">.ai</w:t>
            </w:r>
          </w:p>
          <w:p>
            <w:pPr>
              <w:spacing w:after="40"/>
              <w:jc w:val="center"/>
            </w:pPr>
            <w:r>
              <w:rPr>
                <w:rFonts w:ascii="Arial" w:cs="Arial" w:eastAsia="Arial" w:hAnsi="Arial"/>
                <w:color w:val="BFDBFE"/>
                <w:sz w:val="26"/>
                <w:szCs w:val="26"/>
              </w:rPr>
              <w:t xml:space="preserve">The Modern Homeschool Media Brand</w:t>
            </w:r>
          </w:p>
          <w:p>
            <w:pPr>
              <w:jc w:val="center"/>
            </w:pPr>
            <w:r>
              <w:rPr>
                <w:rFonts w:ascii="Arial" w:cs="Arial" w:eastAsia="Arial" w:hAnsi="Arial"/>
                <w:i/>
                <w:iCs/>
                <w:color w:val="93C5FD"/>
                <w:sz w:val="20"/>
                <w:szCs w:val="20"/>
              </w:rPr>
              <w:t xml:space="preserve">National Content. Local Resources. AI-Powered Education.</w:t>
            </w:r>
          </w:p>
        </w:tc>
      </w:tr>
    </w:tbl>
    <w:p>
      <w:pPr>
        <w:spacing w:before="200" w:after="0"/>
      </w:pPr>
    </w:p>
    <w:p>
      <w:pPr>
        <w:pStyle w:val="Heading1"/>
      </w:pPr>
      <w:r>
        <w:t xml:space="preserve">The Opportunity</w:t>
      </w:r>
    </w:p>
    <w:p>
      <w:pPr>
        <w:spacing w:after="120"/>
      </w:pPr>
      <w:r>
        <w:rPr>
          <w:b/>
          <w:bCs/>
          <w:sz w:val="22"/>
          <w:szCs w:val="22"/>
        </w:rPr>
        <w:t xml:space="preserve">There is no Morning Brew for homeschool parents.</w:t>
      </w:r>
      <w:r>
        <w:rPr>
          <w:sz w:val="22"/>
          <w:szCs w:val="22"/>
        </w:rPr>
        <w:t xml:space="preserve"> No modern, well-designed, AI-forward media brand serving the fastest-growing segment in education. There are Facebook groups, dated WordPress blogs, and curriculum company newsletters. But nobody has built the trusted local-plus-national media platform that homeschool families desperately need.</w:t>
      </w:r>
    </w:p>
    <w:p>
      <w:pPr>
        <w:spacing w:after="120"/>
      </w:pPr>
      <w:r>
        <w:rPr>
          <w:sz w:val="22"/>
          <w:szCs w:val="22"/>
        </w:rPr>
        <w:t xml:space="preserve">Meanwhile, three massive forces are converging right now:</w:t>
      </w:r>
    </w:p>
    <w:p>
      <w:pPr>
        <w:pStyle w:val="ListParagraph"/>
        <w:numPr>
          <w:ilvl w:val="0"/>
          <w:numId w:val="2"/>
        </w:numPr>
        <w:spacing w:after="80"/>
      </w:pPr>
      <w:r>
        <w:rPr>
          <w:b/>
          <w:bCs/>
          <w:sz w:val="22"/>
          <w:szCs w:val="22"/>
        </w:rPr>
        <w:t xml:space="preserve">AI is transforming education. </w:t>
      </w:r>
      <w:r>
        <w:rPr>
          <w:sz w:val="22"/>
          <w:szCs w:val="22"/>
        </w:rPr>
        <w:t xml:space="preserve">Tools like Claude, Khan Academy AI, and Alpha School are making it possible for any parent to deliver a world-class education at home. Homeschool parents will be the first adopters.</w:t>
      </w:r>
    </w:p>
    <w:p>
      <w:pPr>
        <w:pStyle w:val="ListParagraph"/>
        <w:numPr>
          <w:ilvl w:val="0"/>
          <w:numId w:val="2"/>
        </w:numPr>
        <w:spacing w:after="80"/>
      </w:pPr>
      <w:r>
        <w:rPr>
          <w:b/>
          <w:bCs/>
          <w:sz w:val="22"/>
          <w:szCs w:val="22"/>
        </w:rPr>
        <w:t xml:space="preserve">Texas just launched ESAs. </w:t>
      </w:r>
      <w:r>
        <w:rPr>
          <w:sz w:val="22"/>
          <w:szCs w:val="22"/>
        </w:rPr>
        <w:t xml:space="preserve">Education Savings Accounts give families roughly $10,000 per student per year for homeschool and private school. Homeschool enrollment is about to explode in Texas, and parents need guidance on how to use that money.</w:t>
      </w:r>
    </w:p>
    <w:p>
      <w:pPr>
        <w:pStyle w:val="ListParagraph"/>
        <w:numPr>
          <w:ilvl w:val="0"/>
          <w:numId w:val="2"/>
        </w:numPr>
        <w:spacing w:after="160"/>
      </w:pPr>
      <w:r>
        <w:rPr>
          <w:b/>
          <w:bCs/>
          <w:sz w:val="22"/>
          <w:szCs w:val="22"/>
        </w:rPr>
        <w:t xml:space="preserve">Local resources are completely fragmented. </w:t>
      </w:r>
      <w:r>
        <w:rPr>
          <w:sz w:val="22"/>
          <w:szCs w:val="22"/>
        </w:rPr>
        <w:t xml:space="preserve">Co-ops, sports leagues, tutors, enrichment programs, field trips, testing centers, curriculum stores. Parents currently piece this together from 15+ Facebook groups. Nobody has organized it into one trusted source.</w:t>
      </w:r>
    </w:p>
    <w:p>
      <w:pPr>
        <w:spacing w:after="200"/>
      </w:pPr>
      <w:r>
        <w:rPr>
          <w:b/>
          <w:bCs/>
          <w:color w:val="1E40AF"/>
          <w:sz w:val="22"/>
          <w:szCs w:val="22"/>
        </w:rPr>
        <w:t xml:space="preserve">SkipSchool fills this gap: a national media brand with local resource directories, powered by AI education content that helps parents teach smarter.</w:t>
      </w:r>
    </w:p>
    <w:p>
      <w:pPr>
        <w:pStyle w:val="Heading1"/>
      </w:pPr>
      <w:r>
        <w:t xml:space="preserve">How It Works: National + Local</w:t>
      </w:r>
    </w:p>
    <w:p>
      <w:pPr>
        <w:spacing w:after="160"/>
      </w:pPr>
      <w:r>
        <w:rPr>
          <w:sz w:val="22"/>
          <w:szCs w:val="22"/>
        </w:rPr>
        <w:t xml:space="preserve">SkipSchool operates on two layers that feed each other: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1D5DB" w:sz="1"/>
              <w:left w:val="single" w:color="D1D5DB" w:sz="1"/>
              <w:bottom w:val="single" w:color="D1D5DB" w:sz="1"/>
              <w:right w:val="single" w:color="D1D5DB" w:sz="1"/>
            </w:tcBorders>
            <w:shd w:fill="1E40A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NATIONAL LAYER</w:t>
            </w:r>
          </w:p>
        </w:tc>
        <w:tc>
          <w:tcPr>
            <w:tcW w:type="dxa" w:w="5040"/>
            <w:tcBorders>
              <w:top w:val="single" w:color="D1D5DB" w:sz="1"/>
              <w:left w:val="single" w:color="D1D5DB" w:sz="1"/>
              <w:bottom w:val="single" w:color="D1D5DB" w:sz="1"/>
              <w:right w:val="single" w:color="D1D5DB" w:sz="1"/>
            </w:tcBorders>
            <w:shd w:fill="05966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LOCAL LAYER</w:t>
            </w:r>
          </w:p>
        </w:tc>
      </w:tr>
      <w:tr>
        <w:tc>
          <w:tcPr>
            <w:tcW w:type="dxa" w:w="5040"/>
            <w:tcBorders>
              <w:top w:val="single" w:color="D1D5DB" w:sz="1"/>
              <w:left w:val="single" w:color="D1D5DB" w:sz="1"/>
              <w:bottom w:val="single" w:color="D1D5DB" w:sz="1"/>
              <w:right w:val="single" w:color="D1D5DB" w:sz="1"/>
            </w:tcBorders>
            <w:shd w:fill="EFF6FF" w:val="clear"/>
            <w:tcMar>
              <w:top w:type="dxa" w:w="120"/>
              <w:left w:type="dxa" w:w="160"/>
              <w:bottom w:type="dxa" w:w="120"/>
              <w:right w:type="dxa" w:w="160"/>
            </w:tcMar>
          </w:tcPr>
          <w:p>
            <w:pPr>
              <w:spacing w:after="80"/>
            </w:pPr>
            <w:r>
              <w:rPr>
                <w:b/>
                <w:bCs/>
                <w:sz w:val="20"/>
                <w:szCs w:val="20"/>
              </w:rPr>
              <w:t xml:space="preserve">One website: SkipSchool.ai</w:t>
            </w:r>
          </w:p>
          <w:p>
            <w:pPr>
              <w:spacing w:after="80"/>
            </w:pPr>
            <w:r>
              <w:rPr>
                <w:sz w:val="20"/>
                <w:szCs w:val="20"/>
              </w:rPr>
              <w:t xml:space="preserve">AI tutoring guides and tool reviews</w:t>
            </w:r>
          </w:p>
          <w:p>
            <w:pPr>
              <w:spacing w:after="80"/>
            </w:pPr>
            <w:r>
              <w:rPr>
                <w:sz w:val="20"/>
                <w:szCs w:val="20"/>
              </w:rPr>
              <w:t xml:space="preserve">Curriculum comparisons and reviews</w:t>
            </w:r>
          </w:p>
          <w:p>
            <w:pPr>
              <w:spacing w:after="80"/>
            </w:pPr>
            <w:r>
              <w:rPr>
                <w:sz w:val="20"/>
                <w:szCs w:val="20"/>
              </w:rPr>
              <w:t xml:space="preserve">ESA/voucher program explainers</w:t>
            </w:r>
          </w:p>
          <w:p>
            <w:pPr>
              <w:spacing w:after="80"/>
            </w:pPr>
            <w:r>
              <w:rPr>
                <w:sz w:val="20"/>
                <w:szCs w:val="20"/>
              </w:rPr>
              <w:t xml:space="preserve">Socialization strategies</w:t>
            </w:r>
          </w:p>
          <w:p>
            <w:pPr>
              <w:spacing w:after="80"/>
            </w:pPr>
            <w:r>
              <w:rPr>
                <w:sz w:val="20"/>
                <w:szCs w:val="20"/>
              </w:rPr>
              <w:t xml:space="preserve">College prep for homeschoolers</w:t>
            </w:r>
          </w:p>
          <w:p>
            <w:pPr>
              <w:spacing w:after="80"/>
            </w:pPr>
            <w:r>
              <w:rPr>
                <w:sz w:val="20"/>
                <w:szCs w:val="20"/>
              </w:rPr>
              <w:t xml:space="preserve">Testing requirements by state</w:t>
            </w:r>
          </w:p>
          <w:p>
            <w:pPr>
              <w:spacing w:after="40"/>
            </w:pPr>
            <w:r>
              <w:rPr>
                <w:b/>
                <w:bCs/>
                <w:i/>
                <w:iCs/>
                <w:color w:val="1E40AF"/>
                <w:sz w:val="20"/>
                <w:szCs w:val="20"/>
              </w:rPr>
              <w:t xml:space="preserve">Written once, serves every market</w:t>
            </w:r>
          </w:p>
        </w:tc>
        <w:tc>
          <w:tcPr>
            <w:tcW w:type="dxa" w:w="5040"/>
            <w:tcBorders>
              <w:top w:val="single" w:color="D1D5DB" w:sz="1"/>
              <w:left w:val="single" w:color="D1D5DB" w:sz="1"/>
              <w:bottom w:val="single" w:color="D1D5DB" w:sz="1"/>
              <w:right w:val="single" w:color="D1D5DB" w:sz="1"/>
            </w:tcBorders>
            <w:shd w:fill="ECFDF5" w:val="clear"/>
            <w:tcMar>
              <w:top w:type="dxa" w:w="120"/>
              <w:left w:type="dxa" w:w="160"/>
              <w:bottom w:type="dxa" w:w="120"/>
              <w:right w:type="dxa" w:w="160"/>
            </w:tcMar>
          </w:tcPr>
          <w:p>
            <w:pPr>
              <w:spacing w:after="80"/>
            </w:pPr>
            <w:r>
              <w:rPr>
                <w:b/>
                <w:bCs/>
                <w:sz w:val="20"/>
                <w:szCs w:val="20"/>
              </w:rPr>
              <w:t xml:space="preserve">Market sections: /williamson-county, /vegas, etc.</w:t>
            </w:r>
          </w:p>
          <w:p>
            <w:pPr>
              <w:spacing w:after="80"/>
            </w:pPr>
            <w:r>
              <w:rPr>
                <w:sz w:val="20"/>
                <w:szCs w:val="20"/>
              </w:rPr>
              <w:t xml:space="preserve">Local co-op and resource directory</w:t>
            </w:r>
          </w:p>
          <w:p>
            <w:pPr>
              <w:spacing w:after="80"/>
            </w:pPr>
            <w:r>
              <w:rPr>
                <w:sz w:val="20"/>
                <w:szCs w:val="20"/>
              </w:rPr>
              <w:t xml:space="preserve">Sports leagues and enrichment programs</w:t>
            </w:r>
          </w:p>
          <w:p>
            <w:pPr>
              <w:spacing w:after="80"/>
            </w:pPr>
            <w:r>
              <w:rPr>
                <w:sz w:val="20"/>
                <w:szCs w:val="20"/>
              </w:rPr>
              <w:t xml:space="preserve">Local events and field trips</w:t>
            </w:r>
          </w:p>
          <w:p>
            <w:pPr>
              <w:spacing w:after="80"/>
            </w:pPr>
            <w:r>
              <w:rPr>
                <w:sz w:val="20"/>
                <w:szCs w:val="20"/>
              </w:rPr>
              <w:t xml:space="preserve">Tutor and testing center directory</w:t>
            </w:r>
          </w:p>
          <w:p>
            <w:pPr>
              <w:spacing w:after="80"/>
            </w:pPr>
            <w:r>
              <w:rPr>
                <w:sz w:val="20"/>
                <w:szCs w:val="20"/>
              </w:rPr>
              <w:t xml:space="preserve">Local newsletter (weekly)</w:t>
            </w:r>
          </w:p>
          <w:p>
            <w:pPr>
              <w:spacing w:after="80"/>
            </w:pPr>
            <w:r>
              <w:rPr>
                <w:sz w:val="20"/>
                <w:szCs w:val="20"/>
              </w:rPr>
              <w:t xml:space="preserve">Local business partnerships ($49/mo)</w:t>
            </w:r>
          </w:p>
          <w:p>
            <w:pPr>
              <w:spacing w:after="40"/>
            </w:pPr>
            <w:r>
              <w:rPr>
                <w:b/>
                <w:bCs/>
                <w:i/>
                <w:iCs/>
                <w:color w:val="059669"/>
                <w:sz w:val="20"/>
                <w:szCs w:val="20"/>
              </w:rPr>
              <w:t xml:space="preserve">Where the money is made</w:t>
            </w:r>
          </w:p>
        </w:tc>
      </w:tr>
    </w:tbl>
    <w:p>
      <w:pPr>
        <w:spacing w:before="160" w:after="120"/>
      </w:pPr>
      <w:r>
        <w:rPr>
          <w:b/>
          <w:bCs/>
          <w:sz w:val="22"/>
          <w:szCs w:val="22"/>
        </w:rPr>
        <w:t xml:space="preserve">The newsletter blends both layers. </w:t>
      </w:r>
      <w:r>
        <w:rPr>
          <w:sz w:val="22"/>
          <w:szCs w:val="22"/>
        </w:rPr>
        <w:t xml:space="preserve">Each local edition (SkipSchool WilCo, SkipSchool Austin, etc.) mixes national AI and education content with local event listings, co-op news, and resource spotlights. National content is written once and distributed to every local edition. Local content is created by the local operator. A parent in WilCo and a parent in Sarasota both read the same AI tutoring guide but see different local directories.</w:t>
      </w:r>
    </w:p>
    <w:p>
      <w:pPr>
        <w:pStyle w:val="Heading1"/>
      </w:pPr>
      <w:r>
        <w:t xml:space="preserve">Starting in WilCo: What It Looks Like</w:t>
      </w:r>
    </w:p>
    <w:p>
      <w:pPr>
        <w:spacing w:after="120"/>
      </w:pPr>
      <w:r>
        <w:rPr>
          <w:sz w:val="22"/>
          <w:szCs w:val="22"/>
        </w:rPr>
        <w:t xml:space="preserve">We launch SkipSchool WilCo as the first local edition. The weekly newsletter covers:</w:t>
      </w:r>
    </w:p>
    <w:p>
      <w:pPr>
        <w:pStyle w:val="ListParagraph"/>
        <w:numPr>
          <w:ilvl w:val="0"/>
          <w:numId w:val="3"/>
        </w:numPr>
        <w:spacing w:after="60"/>
      </w:pPr>
      <w:r>
        <w:rPr>
          <w:b/>
          <w:bCs/>
          <w:sz w:val="22"/>
          <w:szCs w:val="22"/>
        </w:rPr>
        <w:t xml:space="preserve">AI education content </w:t>
      </w:r>
      <w:r>
        <w:rPr>
          <w:sz w:val="22"/>
          <w:szCs w:val="22"/>
        </w:rPr>
        <w:t xml:space="preserve">(how to use AI tutors with your kids, tool reviews, what Ashley is doing with Noelle and Charlie)</w:t>
      </w:r>
    </w:p>
    <w:p>
      <w:pPr>
        <w:pStyle w:val="ListParagraph"/>
        <w:numPr>
          <w:ilvl w:val="0"/>
          <w:numId w:val="3"/>
        </w:numPr>
        <w:spacing w:after="60"/>
      </w:pPr>
      <w:r>
        <w:rPr>
          <w:b/>
          <w:bCs/>
          <w:sz w:val="22"/>
          <w:szCs w:val="22"/>
        </w:rPr>
        <w:t xml:space="preserve">Local resources </w:t>
      </w:r>
      <w:r>
        <w:rPr>
          <w:sz w:val="22"/>
          <w:szCs w:val="22"/>
        </w:rPr>
        <w:t xml:space="preserve">(co-ops accepting new families, sports league signups, enrichment classes, field trip ideas)</w:t>
      </w:r>
    </w:p>
    <w:p>
      <w:pPr>
        <w:pStyle w:val="ListParagraph"/>
        <w:numPr>
          <w:ilvl w:val="0"/>
          <w:numId w:val="3"/>
        </w:numPr>
        <w:spacing w:after="60"/>
      </w:pPr>
      <w:r>
        <w:rPr>
          <w:b/>
          <w:bCs/>
          <w:sz w:val="22"/>
          <w:szCs w:val="22"/>
        </w:rPr>
        <w:t xml:space="preserve">ESA money guide </w:t>
      </w:r>
      <w:r>
        <w:rPr>
          <w:sz w:val="22"/>
          <w:szCs w:val="22"/>
        </w:rPr>
        <w:t xml:space="preserve">(how to apply for $10K, what it covers, how to use it for Alpha School or curriculum)</w:t>
      </w:r>
    </w:p>
    <w:p>
      <w:pPr>
        <w:pStyle w:val="ListParagraph"/>
        <w:numPr>
          <w:ilvl w:val="0"/>
          <w:numId w:val="3"/>
        </w:numPr>
        <w:spacing w:after="60"/>
      </w:pPr>
      <w:r>
        <w:rPr>
          <w:b/>
          <w:bCs/>
          <w:sz w:val="22"/>
          <w:szCs w:val="22"/>
        </w:rPr>
        <w:t xml:space="preserve">Community events </w:t>
      </w:r>
      <w:r>
        <w:rPr>
          <w:sz w:val="22"/>
          <w:szCs w:val="22"/>
        </w:rPr>
        <w:t xml:space="preserve">(park days, meetups, co-op open houses, local workshops)</w:t>
      </w:r>
    </w:p>
    <w:p>
      <w:pPr>
        <w:pStyle w:val="ListParagraph"/>
        <w:numPr>
          <w:ilvl w:val="0"/>
          <w:numId w:val="3"/>
        </w:numPr>
        <w:spacing w:after="160"/>
      </w:pPr>
      <w:r>
        <w:rPr>
          <w:b/>
          <w:bCs/>
          <w:sz w:val="22"/>
          <w:szCs w:val="22"/>
        </w:rPr>
        <w:t xml:space="preserve">Alpha School spotlight </w:t>
      </w:r>
      <w:r>
        <w:rPr>
          <w:sz w:val="22"/>
          <w:szCs w:val="22"/>
        </w:rPr>
        <w:t xml:space="preserve">(Georgetown location, AI-first model, what it costs, real parent perspectives)</w:t>
      </w:r>
    </w:p>
    <w:p>
      <w:pPr>
        <w:pStyle w:val="Heading2"/>
      </w:pPr>
      <w:r>
        <w:t xml:space="preserve">Ashley as the Voice</w:t>
      </w:r>
    </w:p>
    <w:p>
      <w:pPr>
        <w:spacing w:after="120"/>
      </w:pPr>
      <w:r>
        <w:rPr>
          <w:sz w:val="22"/>
          <w:szCs w:val="22"/>
        </w:rPr>
        <w:t xml:space="preserve">This is the same model that works with the Scoop newsletters. Ashley writes the content and provides the authentic parent perspective. TJ handles business, Meta ads, tech, and monetization. The division of labor is identical to what already works.</w:t>
      </w:r>
    </w:p>
    <w:p>
      <w:pPr>
        <w:spacing w:after="120"/>
      </w:pPr>
      <w:r>
        <w:rPr>
          <w:b/>
          <w:bCs/>
          <w:sz w:val="22"/>
          <w:szCs w:val="22"/>
        </w:rPr>
        <w:t xml:space="preserve">The key insight: </w:t>
      </w:r>
      <w:r>
        <w:rPr>
          <w:sz w:val="22"/>
          <w:szCs w:val="22"/>
        </w:rPr>
        <w:t xml:space="preserve">Ashley doesn't need to be a veteran homeschool mom to be credible. She's a WilCo mom who is actively exploring AI tools with her kids and sharing what she's learning. That's exactly what the audience wants: a real parent figuring it out alongside them, not an expert lecturing from above. The newsletter voice is curious, practical, and honest.</w:t>
      </w:r>
    </w:p>
    <w:p>
      <w:pPr>
        <w:spacing w:after="160"/>
      </w:pPr>
      <w:r>
        <w:rPr>
          <w:sz w:val="22"/>
          <w:szCs w:val="22"/>
        </w:rPr>
        <w:t xml:space="preserve">Content doesn't need to be hard. Week 1: "5 AI tools every homeschool parent should try." Week 2: "How to use the Texas ESA." Week 3: "3 co-ops in WilCo accepting new families." Week 4: "What Alpha School in Georgetown actually looks like." That's a month of content from things you already know and can easily research.</w:t>
      </w:r>
    </w:p>
    <w:p>
      <w:pPr>
        <w:pStyle w:val="Heading1"/>
      </w:pPr>
      <w:r>
        <w:t xml:space="preserve">The Economics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METRIC</w:t>
            </w:r>
          </w:p>
        </w:tc>
        <w:tc>
          <w:tcPr>
            <w:tcW w:type="dxa" w:w="50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TARGET</w:t>
            </w:r>
          </w:p>
        </w:tc>
      </w:tr>
      <w:tr>
        <w:tc>
          <w:tcPr>
            <w:tcW w:type="dxa" w:w="50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Meta ad test budget</w:t>
            </w:r>
          </w:p>
        </w:tc>
        <w:tc>
          <w:tcPr>
            <w:tcW w:type="dxa" w:w="50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b/>
                <w:bCs/>
                <w:sz w:val="20"/>
                <w:szCs w:val="20"/>
              </w:rPr>
              <w:t xml:space="preserve">$100 local WilCo + $100 national</w:t>
            </w:r>
          </w:p>
        </w:tc>
      </w:tr>
      <w:tr>
        <w:tc>
          <w:tcPr>
            <w:tcW w:type="dxa" w:w="50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Target CPA (subscribers)</w:t>
            </w:r>
          </w:p>
        </w:tc>
        <w:tc>
          <w:tcPr>
            <w:tcW w:type="dxa" w:w="50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b/>
                <w:bCs/>
                <w:sz w:val="20"/>
                <w:szCs w:val="20"/>
              </w:rPr>
              <w:t xml:space="preserve">Under $0.75 (WilCo Seniors hit $0.17)</w:t>
            </w:r>
          </w:p>
        </w:tc>
      </w:tr>
      <w:tr>
        <w:tc>
          <w:tcPr>
            <w:tcW w:type="dxa" w:w="50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Year 1 local subscribers</w:t>
            </w:r>
          </w:p>
        </w:tc>
        <w:tc>
          <w:tcPr>
            <w:tcW w:type="dxa" w:w="50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b w:val="false"/>
                <w:bCs w:val="false"/>
                <w:sz w:val="20"/>
                <w:szCs w:val="20"/>
              </w:rPr>
              <w:t xml:space="preserve">3,000-5,000</w:t>
            </w:r>
          </w:p>
        </w:tc>
      </w:tr>
      <w:tr>
        <w:tc>
          <w:tcPr>
            <w:tcW w:type="dxa" w:w="50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Year 1 national subscribers</w:t>
            </w:r>
          </w:p>
        </w:tc>
        <w:tc>
          <w:tcPr>
            <w:tcW w:type="dxa" w:w="50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b w:val="false"/>
                <w:bCs w:val="false"/>
                <w:sz w:val="20"/>
                <w:szCs w:val="20"/>
              </w:rPr>
              <w:t xml:space="preserve">10,000-25,000 (if CPA works)</w:t>
            </w:r>
          </w:p>
        </w:tc>
      </w:tr>
      <w:tr>
        <w:tc>
          <w:tcPr>
            <w:tcW w:type="dxa" w:w="50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Local directory revenue</w:t>
            </w:r>
          </w:p>
        </w:tc>
        <w:tc>
          <w:tcPr>
            <w:tcW w:type="dxa" w:w="50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b/>
                <w:bCs/>
                <w:sz w:val="20"/>
                <w:szCs w:val="20"/>
              </w:rPr>
              <w:t xml:space="preserve">$49/mo per business partner</w:t>
            </w:r>
          </w:p>
        </w:tc>
      </w:tr>
      <w:tr>
        <w:tc>
          <w:tcPr>
            <w:tcW w:type="dxa" w:w="50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Target local partners</w:t>
            </w:r>
          </w:p>
        </w:tc>
        <w:tc>
          <w:tcPr>
            <w:tcW w:type="dxa" w:w="50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b w:val="false"/>
                <w:bCs w:val="false"/>
                <w:sz w:val="20"/>
                <w:szCs w:val="20"/>
              </w:rPr>
              <w:t xml:space="preserve">15-30 (tutors, co-ops, enrichment)</w:t>
            </w:r>
          </w:p>
        </w:tc>
      </w:tr>
      <w:tr>
        <w:tc>
          <w:tcPr>
            <w:tcW w:type="dxa" w:w="50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Local MRR at 20 partners</w:t>
            </w:r>
          </w:p>
        </w:tc>
        <w:tc>
          <w:tcPr>
            <w:tcW w:type="dxa" w:w="50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b/>
                <w:bCs/>
                <w:sz w:val="20"/>
                <w:szCs w:val="20"/>
              </w:rPr>
              <w:t xml:space="preserve">$980/month</w:t>
            </w:r>
          </w:p>
        </w:tc>
      </w:tr>
      <w:tr>
        <w:tc>
          <w:tcPr>
            <w:tcW w:type="dxa" w:w="50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National monetization</w:t>
            </w:r>
          </w:p>
        </w:tc>
        <w:tc>
          <w:tcPr>
            <w:tcW w:type="dxa" w:w="50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b w:val="false"/>
                <w:bCs w:val="false"/>
                <w:sz w:val="20"/>
                <w:szCs w:val="20"/>
              </w:rPr>
              <w:t xml:space="preserve">Curriculum sponsors, AI tool partnerships</w:t>
            </w:r>
          </w:p>
        </w:tc>
      </w:tr>
      <w:tr>
        <w:tc>
          <w:tcPr>
            <w:tcW w:type="dxa" w:w="50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Directory build cost</w:t>
            </w:r>
          </w:p>
        </w:tc>
        <w:tc>
          <w:tcPr>
            <w:tcW w:type="dxa" w:w="50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b w:val="false"/>
                <w:bCs w:val="false"/>
                <w:sz w:val="20"/>
                <w:szCs w:val="20"/>
              </w:rPr>
              <w:t xml:space="preserve">Near zero (Claude Code, same template as seniors)</w:t>
            </w:r>
          </w:p>
        </w:tc>
      </w:tr>
      <w:tr>
        <w:tc>
          <w:tcPr>
            <w:tcW w:type="dxa" w:w="50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Newsletter cost</w:t>
            </w:r>
          </w:p>
        </w:tc>
        <w:tc>
          <w:tcPr>
            <w:tcW w:type="dxa" w:w="504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b w:val="false"/>
                <w:bCs w:val="false"/>
                <w:sz w:val="20"/>
                <w:szCs w:val="20"/>
              </w:rPr>
              <w:t xml:space="preserve">Near zero (Beehiiv, Ashley's time)</w:t>
            </w:r>
          </w:p>
        </w:tc>
      </w:tr>
    </w:tbl>
    <w:p>
      <w:pPr>
        <w:spacing w:before="160" w:after="160"/>
      </w:pPr>
      <w:r>
        <w:rPr>
          <w:b/>
          <w:bCs/>
          <w:sz w:val="22"/>
          <w:szCs w:val="22"/>
        </w:rPr>
        <w:t xml:space="preserve">The test: </w:t>
      </w:r>
      <w:r>
        <w:rPr>
          <w:sz w:val="22"/>
          <w:szCs w:val="22"/>
        </w:rPr>
        <w:t xml:space="preserve">We run $200 in Meta ads this week. $100 targeting WilCo parents interested in homeschooling. $100 targeting parents nationally interested in homeschooling + AI. If either test shows a CPA under $0.75, we have a viable brand. The data comes back in 48-72 hours. We build nothing until we see the number.</w:t>
      </w:r>
    </w:p>
    <w:p>
      <w:pPr>
        <w:pStyle w:val="Heading1"/>
      </w:pPr>
      <w:r>
        <w:t xml:space="preserve">Why This Could Be Bigger Than Seniors</w:t>
      </w:r>
    </w:p>
    <w:p>
      <w:pPr>
        <w:spacing w:after="120"/>
      </w:pPr>
      <w:r>
        <w:rPr>
          <w:sz w:val="22"/>
          <w:szCs w:val="22"/>
        </w:rPr>
        <w:t xml:space="preserve">WilCo Seniors is a strong local play, but it's limited to areas with significant 55+ populations. SkipSchool has three advantages that make the ceiling much higher:</w:t>
      </w:r>
    </w:p>
    <w:p>
      <w:pPr>
        <w:pStyle w:val="ListParagraph"/>
        <w:numPr>
          <w:ilvl w:val="0"/>
          <w:numId w:val="2"/>
        </w:numPr>
        <w:spacing w:after="80"/>
      </w:pPr>
      <w:r>
        <w:rPr>
          <w:b/>
          <w:bCs/>
          <w:sz w:val="22"/>
          <w:szCs w:val="22"/>
        </w:rPr>
        <w:t xml:space="preserve">Works in any decent-sized market. </w:t>
      </w:r>
      <w:r>
        <w:rPr>
          <w:sz w:val="22"/>
          <w:szCs w:val="22"/>
        </w:rPr>
        <w:t xml:space="preserve">Homeschool families exist everywhere. You don't need a Sun City or a retirement destination. Any county with 30,000+ households has enough homeschool families to support a local edition.</w:t>
      </w:r>
    </w:p>
    <w:p>
      <w:pPr>
        <w:pStyle w:val="ListParagraph"/>
        <w:numPr>
          <w:ilvl w:val="0"/>
          <w:numId w:val="2"/>
        </w:numPr>
        <w:spacing w:after="80"/>
      </w:pPr>
      <w:r>
        <w:rPr>
          <w:b/>
          <w:bCs/>
          <w:sz w:val="22"/>
          <w:szCs w:val="22"/>
        </w:rPr>
        <w:t xml:space="preserve">National content layer creates massive leverage. </w:t>
      </w:r>
      <w:r>
        <w:rPr>
          <w:sz w:val="22"/>
          <w:szCs w:val="22"/>
        </w:rPr>
        <w:t xml:space="preserve">One AI tutoring guide serves 50 local editions. One curriculum review reaches every market. National content is written once and scales infinitely. Local operators only need to create local content (events, co-ops, resources). This makes the franchise model dramatically easier.</w:t>
      </w:r>
    </w:p>
    <w:p>
      <w:pPr>
        <w:pStyle w:val="ListParagraph"/>
        <w:numPr>
          <w:ilvl w:val="0"/>
          <w:numId w:val="2"/>
        </w:numPr>
        <w:spacing w:after="160"/>
      </w:pPr>
      <w:r>
        <w:rPr>
          <w:b/>
          <w:bCs/>
          <w:sz w:val="22"/>
          <w:szCs w:val="22"/>
        </w:rPr>
        <w:t xml:space="preserve">The AI angle is time-sensitive. </w:t>
      </w:r>
      <w:r>
        <w:rPr>
          <w:sz w:val="22"/>
          <w:szCs w:val="22"/>
        </w:rPr>
        <w:t xml:space="preserve">Right now, nobody has built the go-to AI education resource for homeschool parents. This window won't stay open forever. Whoever establishes the trusted brand in this space first will be very hard to displace.</w:t>
      </w:r>
    </w:p>
    <w:p>
      <w:pPr>
        <w:pStyle w:val="Heading1"/>
      </w:pPr>
      <w:r>
        <w:t xml:space="preserve">The Big Picture</w:t>
      </w:r>
    </w:p>
    <w:p>
      <w:pPr>
        <w:spacing w:after="120"/>
      </w:pPr>
      <w:r>
        <w:rPr>
          <w:sz w:val="22"/>
          <w:szCs w:val="22"/>
        </w:rPr>
        <w:t xml:space="preserve">SkipSchool follows the exact same playbook as WilCo Guide, just applied to homeschool education instead of general local media:</w:t>
      </w:r>
    </w:p>
    <w:p>
      <w:pPr>
        <w:pStyle w:val="ListParagraph"/>
        <w:numPr>
          <w:ilvl w:val="0"/>
          <w:numId w:val="2"/>
        </w:numPr>
        <w:spacing w:after="60"/>
      </w:pPr>
      <w:r>
        <w:rPr>
          <w:sz w:val="22"/>
          <w:szCs w:val="22"/>
        </w:rPr>
        <w:t xml:space="preserve">Build audience through newsletter </w:t>
      </w:r>
      <w:r>
        <w:rPr>
          <w:color w:val="6B7280"/>
          <w:sz w:val="22"/>
          <w:szCs w:val="22"/>
        </w:rPr>
        <w:t xml:space="preserve">(Meta ads, cheap subscriber acquisition)</w:t>
      </w:r>
    </w:p>
    <w:p>
      <w:pPr>
        <w:pStyle w:val="ListParagraph"/>
        <w:numPr>
          <w:ilvl w:val="0"/>
          <w:numId w:val="2"/>
        </w:numPr>
        <w:spacing w:after="60"/>
      </w:pPr>
      <w:r>
        <w:rPr>
          <w:sz w:val="22"/>
          <w:szCs w:val="22"/>
        </w:rPr>
        <w:t xml:space="preserve">Build resource directory </w:t>
      </w:r>
      <w:r>
        <w:rPr>
          <w:color w:val="6B7280"/>
          <w:sz w:val="22"/>
          <w:szCs w:val="22"/>
        </w:rPr>
        <w:t xml:space="preserve">(co-ops, tutors, enrichment, same SEO template as seniors)</w:t>
      </w:r>
    </w:p>
    <w:p>
      <w:pPr>
        <w:pStyle w:val="ListParagraph"/>
        <w:numPr>
          <w:ilvl w:val="0"/>
          <w:numId w:val="2"/>
        </w:numPr>
        <w:spacing w:after="60"/>
      </w:pPr>
      <w:r>
        <w:rPr>
          <w:sz w:val="22"/>
          <w:szCs w:val="22"/>
        </w:rPr>
        <w:t xml:space="preserve">Monetize through business partnerships </w:t>
      </w:r>
      <w:r>
        <w:rPr>
          <w:color w:val="6B7280"/>
          <w:sz w:val="22"/>
          <w:szCs w:val="22"/>
        </w:rPr>
        <w:t xml:space="preserve">($49/mo directory listings for tutors, curriculum stores, enrichment programs)</w:t>
      </w:r>
    </w:p>
    <w:p>
      <w:pPr>
        <w:pStyle w:val="ListParagraph"/>
        <w:numPr>
          <w:ilvl w:val="0"/>
          <w:numId w:val="2"/>
        </w:numPr>
        <w:spacing w:after="60"/>
      </w:pPr>
      <w:r>
        <w:rPr>
          <w:sz w:val="22"/>
          <w:szCs w:val="22"/>
        </w:rPr>
        <w:t xml:space="preserve">Document the playbook </w:t>
      </w:r>
      <w:r>
        <w:rPr>
          <w:color w:val="6B7280"/>
          <w:sz w:val="22"/>
          <w:szCs w:val="22"/>
        </w:rPr>
        <w:t xml:space="preserve">(what works, what doesn't, systems and templates)</w:t>
      </w:r>
    </w:p>
    <w:p>
      <w:pPr>
        <w:pStyle w:val="ListParagraph"/>
        <w:numPr>
          <w:ilvl w:val="0"/>
          <w:numId w:val="2"/>
        </w:numPr>
        <w:spacing w:after="160"/>
      </w:pPr>
      <w:r>
        <w:rPr>
          <w:sz w:val="22"/>
          <w:szCs w:val="22"/>
        </w:rPr>
        <w:t xml:space="preserve">Franchise to other markets via Lightbreak </w:t>
      </w:r>
      <w:r>
        <w:rPr>
          <w:color w:val="6B7280"/>
          <w:sz w:val="22"/>
          <w:szCs w:val="22"/>
        </w:rPr>
        <w:t xml:space="preserve">(local operators get done-for-you tech, national content library, and the playbook)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563EB" w:sz="3"/>
              <w:left w:val="single" w:color="2563EB" w:sz="3"/>
              <w:bottom w:val="single" w:color="2563EB" w:sz="3"/>
              <w:right w:val="single" w:color="2563EB" w:sz="3"/>
            </w:tcBorders>
            <w:shd w:fill="EFF6FF" w:val="clear"/>
            <w:tcMar>
              <w:top w:type="dxa" w:w="200"/>
              <w:left w:type="dxa" w:w="300"/>
              <w:bottom w:type="dxa" w:w="200"/>
              <w:right w:type="dxa" w:w="300"/>
            </w:tcMar>
          </w:tcPr>
          <w:p>
            <w:pPr>
              <w:spacing w:after="100"/>
              <w:jc w:val="center"/>
            </w:pPr>
            <w:r>
              <w:rPr>
                <w:b/>
                <w:bCs/>
                <w:color w:val="1E40AF"/>
                <w:sz w:val="24"/>
                <w:szCs w:val="24"/>
              </w:rPr>
              <w:t xml:space="preserve">NEXT STEP</w:t>
            </w:r>
          </w:p>
          <w:p>
            <w:pPr>
              <w:jc w:val="center"/>
            </w:pPr>
            <w:r>
              <w:rPr>
                <w:sz w:val="22"/>
                <w:szCs w:val="22"/>
              </w:rPr>
              <w:t xml:space="preserve">Run $200 in Meta ad tests this week. $100 local, $100 national. If the CPA comes back under $0.75, we build the first edition. Ashley writes. TJ builds. Same model, new vertical, massive upside.</w:t>
            </w:r>
          </w:p>
        </w:tc>
      </w:tr>
    </w:tbl>
    <w:p>
      <w:pPr>
        <w:spacing w:before="200"/>
      </w:pPr>
    </w:p>
    <w:p>
      <w:pPr>
        <w:jc w:val="center"/>
      </w:pPr>
      <w:r>
        <w:rPr>
          <w:b/>
          <w:bCs/>
          <w:color w:val="1E40AF"/>
          <w:sz w:val="20"/>
          <w:szCs w:val="20"/>
        </w:rPr>
        <w:t xml:space="preserve">SkipSchool.ai</w:t>
      </w:r>
      <w:r>
        <w:rPr>
          <w:color w:val="6B7280"/>
          <w:sz w:val="18"/>
          <w:szCs w:val="18"/>
        </w:rPr>
        <w:t xml:space="preserve">  |  TJ &amp; Ashley Larkin  |  February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40A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2026-02-15T17:03:51.284Z</dcterms:created>
  <dcterms:modified xsi:type="dcterms:W3CDTF">2026-02-15T17:03:51.287Z</dcterms:modified>
</cp:coreProperties>
</file>

<file path=docProps/custom.xml><?xml version="1.0" encoding="utf-8"?>
<Properties xmlns="http://schemas.openxmlformats.org/officeDocument/2006/custom-properties" xmlns:vt="http://schemas.openxmlformats.org/officeDocument/2006/docPropsVTypes"/>
</file>