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3.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20E608" w14:textId="77777777" w:rsidR="006F74C7" w:rsidRPr="00416BCE" w:rsidRDefault="006F74C7" w:rsidP="006F74C7">
      <w:pPr>
        <w:jc w:val="center"/>
        <w:rPr>
          <w:rFonts w:cs="Times New Roman"/>
          <w:b/>
          <w:sz w:val="28"/>
        </w:rPr>
      </w:pPr>
      <w:r w:rsidRPr="00416BCE">
        <w:rPr>
          <w:rFonts w:cs="Times New Roman"/>
          <w:b/>
          <w:sz w:val="28"/>
        </w:rPr>
        <w:t xml:space="preserve">Analyzing Energy </w:t>
      </w:r>
      <w:r w:rsidR="00E64B1D" w:rsidRPr="00416BCE">
        <w:rPr>
          <w:rFonts w:cs="Times New Roman"/>
          <w:b/>
          <w:sz w:val="28"/>
        </w:rPr>
        <w:t>System</w:t>
      </w:r>
      <w:r w:rsidR="00F214FD">
        <w:rPr>
          <w:rFonts w:cs="Times New Roman"/>
          <w:b/>
          <w:sz w:val="28"/>
        </w:rPr>
        <w:t>s</w:t>
      </w:r>
      <w:r w:rsidRPr="00416BCE">
        <w:rPr>
          <w:rFonts w:cs="Times New Roman"/>
          <w:b/>
          <w:sz w:val="28"/>
        </w:rPr>
        <w:t xml:space="preserve"> via a Novel System-level </w:t>
      </w:r>
      <w:r w:rsidR="00C93778" w:rsidRPr="00416BCE">
        <w:rPr>
          <w:rFonts w:cs="Times New Roman"/>
          <w:b/>
          <w:sz w:val="28"/>
        </w:rPr>
        <w:t xml:space="preserve">&amp; Pathway-level </w:t>
      </w:r>
      <w:r w:rsidRPr="00416BCE">
        <w:rPr>
          <w:rFonts w:cs="Times New Roman"/>
          <w:b/>
          <w:sz w:val="28"/>
        </w:rPr>
        <w:t xml:space="preserve">LCA  </w:t>
      </w:r>
    </w:p>
    <w:p w14:paraId="35257F66" w14:textId="77777777" w:rsidR="00913CA9" w:rsidRPr="00416BCE" w:rsidRDefault="001122AA" w:rsidP="00604A56">
      <w:pPr>
        <w:jc w:val="center"/>
        <w:rPr>
          <w:rFonts w:cs="Times New Roman"/>
          <w:b/>
          <w:sz w:val="28"/>
        </w:rPr>
      </w:pPr>
      <w:r w:rsidRPr="00416BCE">
        <w:rPr>
          <w:rFonts w:cs="Times New Roman"/>
          <w:b/>
          <w:sz w:val="28"/>
        </w:rPr>
        <w:t>Modeling Framework</w:t>
      </w:r>
    </w:p>
    <w:p w14:paraId="7A953242" w14:textId="77777777" w:rsidR="00604A56" w:rsidRDefault="00604A56" w:rsidP="00604A56">
      <w:pPr>
        <w:jc w:val="center"/>
        <w:rPr>
          <w:rFonts w:cs="Times New Roman"/>
          <w:b/>
        </w:rPr>
      </w:pPr>
    </w:p>
    <w:p w14:paraId="48B615BF" w14:textId="77777777" w:rsidR="00604A56" w:rsidRDefault="00604A56" w:rsidP="00604A56">
      <w:pPr>
        <w:jc w:val="center"/>
        <w:rPr>
          <w:rFonts w:cs="Times New Roman"/>
          <w:b/>
        </w:rPr>
      </w:pPr>
      <w:r>
        <w:rPr>
          <w:rFonts w:cs="Times New Roman"/>
          <w:b/>
        </w:rPr>
        <w:t>Emre Gen</w:t>
      </w:r>
      <w:r w:rsidR="00B07676">
        <w:rPr>
          <w:rFonts w:cs="Times New Roman"/>
          <w:b/>
        </w:rPr>
        <w:t>ç</w:t>
      </w:r>
      <w:r>
        <w:rPr>
          <w:rFonts w:cs="Times New Roman"/>
          <w:b/>
        </w:rPr>
        <w:t>er</w:t>
      </w:r>
      <w:r w:rsidR="00416BCE" w:rsidRPr="00416BCE">
        <w:rPr>
          <w:rFonts w:cs="Times New Roman"/>
          <w:b/>
          <w:vertAlign w:val="superscript"/>
        </w:rPr>
        <w:t>1</w:t>
      </w:r>
      <w:r>
        <w:rPr>
          <w:rFonts w:cs="Times New Roman"/>
          <w:b/>
        </w:rPr>
        <w:t>, Sarah Torkamani</w:t>
      </w:r>
      <w:r w:rsidR="00416BCE" w:rsidRPr="00416BCE">
        <w:rPr>
          <w:rFonts w:cs="Times New Roman"/>
          <w:b/>
          <w:vertAlign w:val="superscript"/>
        </w:rPr>
        <w:t>2</w:t>
      </w:r>
      <w:r>
        <w:rPr>
          <w:rFonts w:cs="Times New Roman"/>
          <w:b/>
        </w:rPr>
        <w:t xml:space="preserve">, </w:t>
      </w:r>
      <w:r w:rsidR="00215907">
        <w:rPr>
          <w:rFonts w:cs="Times New Roman"/>
          <w:b/>
        </w:rPr>
        <w:t>Ian Miller</w:t>
      </w:r>
      <w:r w:rsidR="00215907" w:rsidRPr="00215907">
        <w:rPr>
          <w:rFonts w:cs="Times New Roman"/>
          <w:b/>
          <w:vertAlign w:val="superscript"/>
        </w:rPr>
        <w:t>1</w:t>
      </w:r>
      <w:r w:rsidR="00215907">
        <w:rPr>
          <w:rFonts w:cs="Times New Roman"/>
          <w:b/>
        </w:rPr>
        <w:t xml:space="preserve">, </w:t>
      </w:r>
      <w:r>
        <w:rPr>
          <w:rFonts w:cs="Times New Roman"/>
          <w:b/>
        </w:rPr>
        <w:t>Francis O’Sullivan</w:t>
      </w:r>
      <w:r w:rsidR="00416BCE" w:rsidRPr="00416BCE">
        <w:rPr>
          <w:rFonts w:cs="Times New Roman"/>
          <w:b/>
          <w:vertAlign w:val="superscript"/>
        </w:rPr>
        <w:t>1</w:t>
      </w:r>
    </w:p>
    <w:p w14:paraId="0C6D1F53" w14:textId="77777777" w:rsidR="00604A56" w:rsidRDefault="00604A56" w:rsidP="00604A56">
      <w:pPr>
        <w:jc w:val="center"/>
        <w:rPr>
          <w:rFonts w:cs="Times New Roman"/>
          <w:b/>
        </w:rPr>
      </w:pPr>
    </w:p>
    <w:p w14:paraId="51576BF2" w14:textId="77777777" w:rsidR="00416BCE" w:rsidRDefault="00416BCE" w:rsidP="00416BCE">
      <w:pPr>
        <w:jc w:val="left"/>
        <w:rPr>
          <w:rFonts w:cs="Times New Roman"/>
          <w:b/>
        </w:rPr>
      </w:pPr>
      <w:r w:rsidRPr="00416BCE">
        <w:rPr>
          <w:rFonts w:cs="Times New Roman"/>
          <w:b/>
          <w:vertAlign w:val="superscript"/>
        </w:rPr>
        <w:t>1</w:t>
      </w:r>
      <w:r>
        <w:rPr>
          <w:rFonts w:cs="Times New Roman"/>
          <w:b/>
        </w:rPr>
        <w:t xml:space="preserve"> </w:t>
      </w:r>
      <w:r>
        <w:rPr>
          <w:rFonts w:ascii="NexusSans" w:hAnsi="NexusSans" w:cs="Arial"/>
          <w:color w:val="323232"/>
          <w:lang w:val="en"/>
        </w:rPr>
        <w:t>MIT Energy Initiative, Massachusetts Institute of Technology, 77 Massachusetts Avenue, Cambridge, MA, 02139 United States</w:t>
      </w:r>
    </w:p>
    <w:p w14:paraId="21D516FB" w14:textId="77777777" w:rsidR="00416BCE" w:rsidRDefault="00416BCE" w:rsidP="00416BCE">
      <w:pPr>
        <w:jc w:val="left"/>
        <w:rPr>
          <w:rFonts w:cs="Times New Roman"/>
          <w:b/>
        </w:rPr>
      </w:pPr>
      <w:r w:rsidRPr="00416BCE">
        <w:rPr>
          <w:rFonts w:cs="Times New Roman"/>
          <w:b/>
          <w:vertAlign w:val="superscript"/>
        </w:rPr>
        <w:t>2</w:t>
      </w:r>
      <w:r>
        <w:rPr>
          <w:rFonts w:cs="Times New Roman"/>
          <w:b/>
        </w:rPr>
        <w:t xml:space="preserve"> </w:t>
      </w:r>
      <w:r>
        <w:rPr>
          <w:rFonts w:ascii="NexusSans" w:hAnsi="NexusSans" w:cs="Arial"/>
          <w:color w:val="323232"/>
          <w:lang w:val="en"/>
        </w:rPr>
        <w:t>ExxonMobil Research and Engineering Company, Corporate Strategic Research, 1545 Route 22E, Annandale NJ, 08801 United States</w:t>
      </w:r>
    </w:p>
    <w:p w14:paraId="06DF5C86" w14:textId="77777777" w:rsidR="00604A56" w:rsidRPr="00604A56" w:rsidRDefault="00604A56" w:rsidP="00604A56">
      <w:pPr>
        <w:jc w:val="center"/>
        <w:rPr>
          <w:rFonts w:cs="Times New Roman"/>
          <w:b/>
        </w:rPr>
      </w:pPr>
    </w:p>
    <w:p w14:paraId="41ED4324" w14:textId="77777777" w:rsidR="007710AD" w:rsidRDefault="007710AD" w:rsidP="00037956">
      <w:pPr>
        <w:pStyle w:val="Heading1"/>
        <w:numPr>
          <w:ilvl w:val="0"/>
          <w:numId w:val="0"/>
        </w:numPr>
        <w:ind w:left="1152"/>
        <w:rPr>
          <w:lang w:val="tr-TR"/>
        </w:rPr>
      </w:pPr>
      <w:r>
        <w:rPr>
          <w:lang w:val="tr-TR"/>
        </w:rPr>
        <w:lastRenderedPageBreak/>
        <w:t>Abstract</w:t>
      </w:r>
    </w:p>
    <w:p w14:paraId="46359A56" w14:textId="77777777" w:rsidR="007710AD" w:rsidRDefault="007710AD" w:rsidP="00037956">
      <w:pPr>
        <w:pStyle w:val="Heading1"/>
        <w:numPr>
          <w:ilvl w:val="0"/>
          <w:numId w:val="0"/>
        </w:numPr>
        <w:ind w:left="1152"/>
        <w:rPr>
          <w:lang w:val="tr-TR"/>
        </w:rPr>
      </w:pPr>
    </w:p>
    <w:p w14:paraId="116EC26A" w14:textId="59B6D3F7" w:rsidR="00037956" w:rsidRDefault="00037956" w:rsidP="00037956">
      <w:pPr>
        <w:pStyle w:val="Heading1"/>
        <w:numPr>
          <w:ilvl w:val="0"/>
          <w:numId w:val="0"/>
        </w:numPr>
        <w:ind w:left="1152"/>
        <w:rPr>
          <w:highlight w:val="yellow"/>
          <w:lang w:val="tr-TR"/>
        </w:rPr>
      </w:pPr>
      <w:r w:rsidRPr="00037956">
        <w:rPr>
          <w:lang w:val="tr-TR"/>
        </w:rPr>
        <w:t xml:space="preserve">Globally, we face a </w:t>
      </w:r>
      <w:r>
        <w:rPr>
          <w:lang w:val="tr-TR"/>
        </w:rPr>
        <w:t>dual</w:t>
      </w:r>
      <w:r w:rsidRPr="00037956">
        <w:rPr>
          <w:lang w:val="tr-TR"/>
        </w:rPr>
        <w:t xml:space="preserve"> challenge: satisfy growing </w:t>
      </w:r>
      <w:r>
        <w:rPr>
          <w:lang w:val="tr-TR"/>
        </w:rPr>
        <w:t xml:space="preserve">energy </w:t>
      </w:r>
      <w:r w:rsidRPr="00037956">
        <w:rPr>
          <w:lang w:val="tr-TR"/>
        </w:rPr>
        <w:t xml:space="preserve">demand while reducing greenhouse gas (GHG) emissions. A single analysis tool does not yet exist to allow for direct comparisons of </w:t>
      </w:r>
      <w:r>
        <w:rPr>
          <w:lang w:val="tr-TR"/>
        </w:rPr>
        <w:t xml:space="preserve">life cycle </w:t>
      </w:r>
      <w:r w:rsidR="007710AD">
        <w:rPr>
          <w:lang w:val="tr-TR"/>
        </w:rPr>
        <w:t>GHG</w:t>
      </w:r>
      <w:r w:rsidRPr="00037956">
        <w:rPr>
          <w:lang w:val="tr-TR"/>
        </w:rPr>
        <w:t xml:space="preserve"> emissions based on energy decisions</w:t>
      </w:r>
      <w:r>
        <w:rPr>
          <w:lang w:val="tr-TR"/>
        </w:rPr>
        <w:t xml:space="preserve"> at </w:t>
      </w:r>
      <w:r w:rsidR="00DA391D">
        <w:rPr>
          <w:lang w:val="tr-TR"/>
        </w:rPr>
        <w:t xml:space="preserve">the </w:t>
      </w:r>
      <w:r>
        <w:rPr>
          <w:lang w:val="tr-TR"/>
        </w:rPr>
        <w:t>system-level</w:t>
      </w:r>
      <w:r w:rsidRPr="00037956">
        <w:rPr>
          <w:lang w:val="tr-TR"/>
        </w:rPr>
        <w:t>.  Therefore, we have developed a novel transparent energy-system assessment tool called Sustainab</w:t>
      </w:r>
      <w:r w:rsidR="00217515">
        <w:rPr>
          <w:lang w:val="tr-TR"/>
        </w:rPr>
        <w:t>le Energy System Analysis Model</w:t>
      </w:r>
      <w:r w:rsidRPr="00037956">
        <w:rPr>
          <w:lang w:val="tr-TR"/>
        </w:rPr>
        <w:t>ing Environment (SESAME). It enables assessment of GHG emissions from approximately 8</w:t>
      </w:r>
      <w:r>
        <w:rPr>
          <w:lang w:val="tr-TR"/>
        </w:rPr>
        <w:t>0</w:t>
      </w:r>
      <w:r w:rsidRPr="00037956">
        <w:rPr>
          <w:lang w:val="tr-TR"/>
        </w:rPr>
        <w:t xml:space="preserve">% of the economy.  The tool is capable of analyzing </w:t>
      </w:r>
      <w:r>
        <w:rPr>
          <w:lang w:val="tr-TR"/>
        </w:rPr>
        <w:t>v</w:t>
      </w:r>
      <w:r w:rsidRPr="00037956">
        <w:rPr>
          <w:lang w:val="tr-TR"/>
        </w:rPr>
        <w:t>arious sectors such as power, road-transportation, industrial</w:t>
      </w:r>
      <w:r w:rsidR="004C321C">
        <w:rPr>
          <w:lang w:val="tr-TR"/>
        </w:rPr>
        <w:t>,</w:t>
      </w:r>
      <w:r w:rsidRPr="00037956">
        <w:rPr>
          <w:lang w:val="tr-TR"/>
        </w:rPr>
        <w:t xml:space="preserve"> and residential at both </w:t>
      </w:r>
      <w:r w:rsidR="00DA391D">
        <w:rPr>
          <w:lang w:val="tr-TR"/>
        </w:rPr>
        <w:t xml:space="preserve">the </w:t>
      </w:r>
      <w:r w:rsidRPr="00037956">
        <w:rPr>
          <w:lang w:val="tr-TR"/>
        </w:rPr>
        <w:t xml:space="preserve">pathway-level and system-level. </w:t>
      </w:r>
      <w:r>
        <w:rPr>
          <w:lang w:val="tr-TR"/>
        </w:rPr>
        <w:t>In this paper</w:t>
      </w:r>
      <w:r w:rsidR="004C321C">
        <w:rPr>
          <w:lang w:val="tr-TR"/>
        </w:rPr>
        <w:t>, we provide examples of</w:t>
      </w:r>
      <w:r>
        <w:rPr>
          <w:lang w:val="tr-TR"/>
        </w:rPr>
        <w:t xml:space="preserve"> </w:t>
      </w:r>
      <w:r w:rsidRPr="00037956">
        <w:rPr>
          <w:lang w:val="tr-TR"/>
        </w:rPr>
        <w:t xml:space="preserve">SESAME’s ability to calculate the effects of energy decisions on </w:t>
      </w:r>
      <w:r w:rsidR="007710AD">
        <w:rPr>
          <w:lang w:val="tr-TR"/>
        </w:rPr>
        <w:t xml:space="preserve">life cycle </w:t>
      </w:r>
      <w:r w:rsidRPr="00037956">
        <w:rPr>
          <w:lang w:val="tr-TR"/>
        </w:rPr>
        <w:t>GHG emissions</w:t>
      </w:r>
      <w:r>
        <w:rPr>
          <w:lang w:val="tr-TR"/>
        </w:rPr>
        <w:t xml:space="preserve"> </w:t>
      </w:r>
      <w:r w:rsidR="007710AD">
        <w:rPr>
          <w:lang w:val="tr-TR"/>
        </w:rPr>
        <w:t>of the</w:t>
      </w:r>
      <w:r>
        <w:rPr>
          <w:lang w:val="tr-TR"/>
        </w:rPr>
        <w:t xml:space="preserve"> transportation and power sectors. These examples are</w:t>
      </w:r>
      <w:r w:rsidRPr="00037956">
        <w:rPr>
          <w:lang w:val="tr-TR"/>
        </w:rPr>
        <w:t xml:space="preserve"> only a small fraction of the tool’s capabilities.</w:t>
      </w:r>
      <w:r w:rsidR="00907F0C">
        <w:rPr>
          <w:lang w:val="tr-TR"/>
        </w:rPr>
        <w:t xml:space="preserve"> To</w:t>
      </w:r>
      <w:r w:rsidR="00DA391D">
        <w:rPr>
          <w:lang w:val="tr-TR"/>
        </w:rPr>
        <w:t xml:space="preserve"> the</w:t>
      </w:r>
      <w:r w:rsidR="00907F0C">
        <w:rPr>
          <w:lang w:val="tr-TR"/>
        </w:rPr>
        <w:t xml:space="preserve"> </w:t>
      </w:r>
      <w:r w:rsidR="006B293F">
        <w:rPr>
          <w:lang w:val="tr-TR"/>
        </w:rPr>
        <w:t xml:space="preserve">best of </w:t>
      </w:r>
      <w:r w:rsidR="00907F0C">
        <w:rPr>
          <w:lang w:val="tr-TR"/>
        </w:rPr>
        <w:t xml:space="preserve">our knowledge, no other tool has been </w:t>
      </w:r>
      <w:r w:rsidR="006B293F">
        <w:rPr>
          <w:lang w:val="tr-TR"/>
        </w:rPr>
        <w:t xml:space="preserve">previously </w:t>
      </w:r>
      <w:r w:rsidR="00907F0C">
        <w:rPr>
          <w:lang w:val="tr-TR"/>
        </w:rPr>
        <w:t xml:space="preserve">developed to </w:t>
      </w:r>
      <w:r w:rsidR="006B293F">
        <w:rPr>
          <w:lang w:val="tr-TR"/>
        </w:rPr>
        <w:t xml:space="preserve">assess life cycle emissions </w:t>
      </w:r>
      <w:r w:rsidR="00DA391D">
        <w:rPr>
          <w:lang w:val="tr-TR"/>
        </w:rPr>
        <w:t>across the energy</w:t>
      </w:r>
      <w:r w:rsidR="006B293F">
        <w:rPr>
          <w:lang w:val="tr-TR"/>
        </w:rPr>
        <w:t xml:space="preserve"> </w:t>
      </w:r>
      <w:r w:rsidR="00907F0C">
        <w:rPr>
          <w:lang w:val="tr-TR"/>
        </w:rPr>
        <w:t xml:space="preserve">system. </w:t>
      </w:r>
    </w:p>
    <w:p w14:paraId="612528EF" w14:textId="77777777" w:rsidR="00037956" w:rsidRDefault="00037956" w:rsidP="00037956">
      <w:pPr>
        <w:pStyle w:val="Heading1"/>
        <w:numPr>
          <w:ilvl w:val="0"/>
          <w:numId w:val="0"/>
        </w:numPr>
        <w:ind w:left="1152"/>
        <w:rPr>
          <w:highlight w:val="yellow"/>
          <w:lang w:val="tr-TR"/>
        </w:rPr>
      </w:pPr>
    </w:p>
    <w:p w14:paraId="69A03D27" w14:textId="77777777" w:rsidR="00037956" w:rsidRDefault="00037956" w:rsidP="00037956">
      <w:pPr>
        <w:pStyle w:val="Heading1"/>
        <w:numPr>
          <w:ilvl w:val="0"/>
          <w:numId w:val="0"/>
        </w:numPr>
        <w:ind w:left="1152"/>
        <w:rPr>
          <w:highlight w:val="yellow"/>
          <w:lang w:val="tr-TR"/>
        </w:rPr>
      </w:pPr>
    </w:p>
    <w:p w14:paraId="4356E353" w14:textId="77777777" w:rsidR="00EA3351" w:rsidRDefault="00EA3351">
      <w:pPr>
        <w:jc w:val="left"/>
        <w:rPr>
          <w:rFonts w:eastAsiaTheme="majorEastAsia" w:cstheme="majorBidi"/>
          <w:b/>
          <w:sz w:val="24"/>
          <w:szCs w:val="32"/>
          <w:highlight w:val="yellow"/>
          <w:lang w:val="tr-TR"/>
        </w:rPr>
      </w:pPr>
      <w:r>
        <w:rPr>
          <w:highlight w:val="yellow"/>
          <w:lang w:val="tr-TR"/>
        </w:rPr>
        <w:br w:type="page"/>
      </w:r>
    </w:p>
    <w:p w14:paraId="775BBF0A" w14:textId="77777777" w:rsidR="009E1D85" w:rsidRPr="004C321C" w:rsidRDefault="00913CA9" w:rsidP="00087744">
      <w:pPr>
        <w:pStyle w:val="Heading1"/>
        <w:rPr>
          <w:lang w:val="tr-TR"/>
        </w:rPr>
      </w:pPr>
      <w:r w:rsidRPr="004C321C">
        <w:rPr>
          <w:lang w:val="tr-TR"/>
        </w:rPr>
        <w:lastRenderedPageBreak/>
        <w:t>Introduction</w:t>
      </w:r>
    </w:p>
    <w:p w14:paraId="15BCE550" w14:textId="0FC7B781" w:rsidR="00D60C79" w:rsidRDefault="00110CE9" w:rsidP="00110CE9">
      <w:pPr>
        <w:rPr>
          <w:lang w:val="en-GB"/>
        </w:rPr>
      </w:pPr>
      <w:r>
        <w:rPr>
          <w:lang w:val="en-GB"/>
        </w:rPr>
        <w:t xml:space="preserve">The global energy sector </w:t>
      </w:r>
      <w:r w:rsidRPr="00B15C43">
        <w:rPr>
          <w:lang w:val="en-GB"/>
        </w:rPr>
        <w:t xml:space="preserve">faces the </w:t>
      </w:r>
      <w:r w:rsidR="00E904DC">
        <w:rPr>
          <w:lang w:val="en-GB"/>
        </w:rPr>
        <w:t>dual</w:t>
      </w:r>
      <w:r w:rsidRPr="00B15C43">
        <w:rPr>
          <w:lang w:val="en-GB"/>
        </w:rPr>
        <w:t xml:space="preserve"> challenge of meeting the increasing </w:t>
      </w:r>
      <w:r w:rsidR="0015318B">
        <w:rPr>
          <w:lang w:val="en-GB"/>
        </w:rPr>
        <w:t xml:space="preserve">energy </w:t>
      </w:r>
      <w:r w:rsidRPr="00B15C43">
        <w:rPr>
          <w:lang w:val="en-GB"/>
        </w:rPr>
        <w:t xml:space="preserve">demand while </w:t>
      </w:r>
      <w:r w:rsidR="007710AD" w:rsidRPr="00037956">
        <w:rPr>
          <w:lang w:val="tr-TR"/>
        </w:rPr>
        <w:t xml:space="preserve">simultaneously </w:t>
      </w:r>
      <w:r w:rsidRPr="00B15C43">
        <w:rPr>
          <w:lang w:val="en-GB"/>
        </w:rPr>
        <w:t>reducing greenhouse gas</w:t>
      </w:r>
      <w:r w:rsidR="00093666">
        <w:rPr>
          <w:lang w:val="en-GB"/>
        </w:rPr>
        <w:t xml:space="preserve"> (GHG)</w:t>
      </w:r>
      <w:r w:rsidRPr="00B15C43">
        <w:rPr>
          <w:lang w:val="en-GB"/>
        </w:rPr>
        <w:t xml:space="preserve"> emissions.</w:t>
      </w:r>
      <w:r>
        <w:rPr>
          <w:lang w:val="en-GB"/>
        </w:rPr>
        <w:t xml:space="preserve"> Today’s </w:t>
      </w:r>
      <w:r w:rsidRPr="001A385D">
        <w:rPr>
          <w:lang w:val="en-GB"/>
        </w:rPr>
        <w:t xml:space="preserve">energy sector is responsible for approximately 80% of </w:t>
      </w:r>
      <w:r w:rsidR="000F377A">
        <w:rPr>
          <w:lang w:val="en-GB"/>
        </w:rPr>
        <w:t xml:space="preserve">the world’s total GHG emissions. </w:t>
      </w:r>
      <w:r w:rsidR="00E904DC">
        <w:rPr>
          <w:lang w:val="en-GB"/>
        </w:rPr>
        <w:t>The power, industrial, and transportation sectors constitute 33%, 22%, and 16% of the emissions from the energy sector, respectively</w:t>
      </w:r>
      <w:r>
        <w:rPr>
          <w:lang w:val="en-GB"/>
        </w:rPr>
        <w:t xml:space="preserve"> </w:t>
      </w:r>
      <w:r>
        <w:rPr>
          <w:lang w:val="en-GB"/>
        </w:rPr>
        <w:fldChar w:fldCharType="begin" w:fldLock="1"/>
      </w:r>
      <w:r w:rsidR="00E26BEA">
        <w:rPr>
          <w:lang w:val="en-GB"/>
        </w:rPr>
        <w:instrText>ADDIN CSL_CITATION {"citationItems":[{"id":"ITEM-1","itemData":{"author":[{"dropping-particle":"","family":"EIA","given":"","non-dropping-particle":"","parse-names":false,"suffix":""}],"id":"ITEM-1","issued":{"date-parts":[["2018"]]},"title":"Annual Energy Outlook 2018","type":"report"},"uris":["http://www.mendeley.com/documents/?uuid=225c0c9a-3472-4718-baf3-cd391c035e78","http://www.mendeley.com/documents/?uuid=ff4595d3-038f-4fd0-a17c-aca266a88577"]}],"mendeley":{"formattedCitation":"[1]","plainTextFormattedCitation":"[1]","previouslyFormattedCitation":"[1]"},"properties":{"noteIndex":0},"schema":"https://github.com/citation-style-language/schema/raw/master/csl-citation.json"}</w:instrText>
      </w:r>
      <w:r>
        <w:rPr>
          <w:lang w:val="en-GB"/>
        </w:rPr>
        <w:fldChar w:fldCharType="separate"/>
      </w:r>
      <w:r w:rsidR="00362B64" w:rsidRPr="00362B64">
        <w:rPr>
          <w:noProof/>
          <w:lang w:val="en-GB"/>
        </w:rPr>
        <w:t>[1]</w:t>
      </w:r>
      <w:r>
        <w:rPr>
          <w:lang w:val="en-GB"/>
        </w:rPr>
        <w:fldChar w:fldCharType="end"/>
      </w:r>
      <w:r>
        <w:rPr>
          <w:lang w:val="en-GB"/>
        </w:rPr>
        <w:t>.</w:t>
      </w:r>
      <w:r w:rsidRPr="001A385D">
        <w:rPr>
          <w:lang w:val="en-GB"/>
        </w:rPr>
        <w:t xml:space="preserve"> </w:t>
      </w:r>
      <w:r w:rsidR="00E904DC">
        <w:rPr>
          <w:lang w:val="en-GB"/>
        </w:rPr>
        <w:t xml:space="preserve">The energy sector is </w:t>
      </w:r>
      <w:r w:rsidR="00D60C79">
        <w:rPr>
          <w:lang w:val="en-GB"/>
        </w:rPr>
        <w:t>transforming via</w:t>
      </w:r>
      <w:r w:rsidRPr="00B15C43">
        <w:rPr>
          <w:lang w:val="en-GB"/>
        </w:rPr>
        <w:t xml:space="preserve"> </w:t>
      </w:r>
      <w:r w:rsidR="003933A0">
        <w:rPr>
          <w:lang w:val="en-GB"/>
        </w:rPr>
        <w:t xml:space="preserve">the </w:t>
      </w:r>
      <w:r w:rsidRPr="00B15C43">
        <w:rPr>
          <w:lang w:val="en-GB"/>
        </w:rPr>
        <w:t xml:space="preserve">convergence of power, transportation, and industrial sectors and inter-sectoral integration. </w:t>
      </w:r>
      <w:r w:rsidR="00D60C79">
        <w:rPr>
          <w:lang w:val="en-GB"/>
        </w:rPr>
        <w:t>T</w:t>
      </w:r>
      <w:r w:rsidR="003933A0">
        <w:rPr>
          <w:lang w:val="en-GB"/>
        </w:rPr>
        <w:t>o assess the level of decarboniz</w:t>
      </w:r>
      <w:r w:rsidR="00D60C79">
        <w:rPr>
          <w:lang w:val="en-GB"/>
        </w:rPr>
        <w:t>ation achieved through this change, one needs to study the carbon footprint of the energy system as a whole. This require</w:t>
      </w:r>
      <w:r w:rsidR="001579B6">
        <w:rPr>
          <w:lang w:val="en-GB"/>
        </w:rPr>
        <w:t>s</w:t>
      </w:r>
      <w:r w:rsidR="00D60C79">
        <w:rPr>
          <w:lang w:val="en-GB"/>
        </w:rPr>
        <w:t xml:space="preserve"> a system-level analysis which incorporates pathway-level interactions and their resulting </w:t>
      </w:r>
      <w:r w:rsidR="0015318B">
        <w:rPr>
          <w:lang w:val="en-GB"/>
        </w:rPr>
        <w:t>GHG</w:t>
      </w:r>
      <w:r w:rsidR="00D60C79">
        <w:rPr>
          <w:lang w:val="en-GB"/>
        </w:rPr>
        <w:t xml:space="preserve"> emissions. </w:t>
      </w:r>
      <w:r w:rsidR="00B85481">
        <w:rPr>
          <w:lang w:val="en-GB"/>
        </w:rPr>
        <w:fldChar w:fldCharType="begin" w:fldLock="1"/>
      </w:r>
      <w:r w:rsidR="00E26BEA">
        <w:rPr>
          <w:lang w:val="en-GB"/>
        </w:rPr>
        <w:instrText>ADDIN CSL_CITATION {"citationItems":[{"id":"ITEM-1","itemData":{"DOI":"10.1016/j.joule.2018.04.018","ISSN":"25424351","abstract":"[Figure presented]Arun Majumdar is the Jay Precourt Professor in the Department of Mechanical Engineering and Co-director of the Precourt Institute for Energy at Stanford University. He served as the Founding Director (2009–2012) of the Advanced Research Projects Agency – Energy (ARPA-E) and the Acting Undersecretary for Energy (2011–2012) under Secretary Steven Chu in the US Department of Energy. He also served as Vice Chair of the Advisory Board (2014–2017) to Secretary Ernest Moniz. Arun Majumdar has published widely on the science and engineering of conversion, storage, and transport of energy, especially in nanostructured materials and devices. He is a member of the US National Academy of Engineering and the American Academy of Arts and Science. [Figure presented]John Deutch is an emeritus Institute Professor at the Massachusetts Institute of Technology where he has been a member of the faculty since 1970. He has served as Chairman of the Department of Chemistry, Dean of Science, and Provost. In the Carter Administration, he served as Director of Energy Research (1977–1979), Acting Assistant Secretary for Energy Technology (1979), and Undersecretary (1979–1980) in the US Department of Energy. He has been a member of the President's Nuclear Safety Oversight Committee (1980–1981), the White House Science Council (1985–1989), the President's Committee of Advisors on Science and Technology (1997–2001), and the Secretary of the Energy Advisory Board (2008–2016). John Deutch has published widely on technical and policy aspects of energy and the environment and has been a member of the board of directors or of the technical advisory committees of several energy companies. To substantially reduce atmospheric CO2concentrations, we need research to develop a suite of cost-effective gigatonne-scale solutions that harness the natural biological carbon cycle to store more carbon in the soil; separate concentrated CO2from dilute solutions at much lower costs; synthetically convert CO2into chemicals and fuels using low-cost renewable energy; and store net carbon in geological formation via advanced enhanced oil recovery. A challenge at this scale also warrants a holistic systems approach and models to understand the impact of such measures.","author":[{"dropping-particle":"","family":"Majumdar","given":"Arun","non-dropping-particle":"","parse-names":false,"suffix":""},{"dropping-particle":"","family":"Deutch","given":"John","non-dropping-particle":"","parse-names":false,"suffix":""}],"container-title":"Joule","id":"ITEM-1","issue":"5","issued":{"date-parts":[["2018"]]},"page":"805-809","publisher":"Elsevier Inc.","title":"Research Opportunities for CO2Utilization and Negative Emissions at the Gigatonne Scale","type":"article-journal","volume":"2"},"uris":["http://www.mendeley.com/documents/?uuid=34e1e939-344a-456a-a52c-8b718032cd07","http://www.mendeley.com/documents/?uuid=d0188c66-daf7-4e9d-8d96-8c3f071ba260"]}],"mendeley":{"formattedCitation":"[2]","plainTextFormattedCitation":"[2]","previouslyFormattedCitation":"[2]"},"properties":{"noteIndex":0},"schema":"https://github.com/citation-style-language/schema/raw/master/csl-citation.json"}</w:instrText>
      </w:r>
      <w:r w:rsidR="00B85481">
        <w:rPr>
          <w:lang w:val="en-GB"/>
        </w:rPr>
        <w:fldChar w:fldCharType="separate"/>
      </w:r>
      <w:r w:rsidR="00B85481" w:rsidRPr="00362B64">
        <w:rPr>
          <w:noProof/>
          <w:lang w:val="en-GB"/>
        </w:rPr>
        <w:t>[2]</w:t>
      </w:r>
      <w:r w:rsidR="00B85481">
        <w:rPr>
          <w:lang w:val="en-GB"/>
        </w:rPr>
        <w:fldChar w:fldCharType="end"/>
      </w:r>
    </w:p>
    <w:p w14:paraId="0AB5D926" w14:textId="3CFE434B" w:rsidR="00110CE9" w:rsidRPr="00B15C43" w:rsidRDefault="00E904DC" w:rsidP="00110CE9">
      <w:pPr>
        <w:rPr>
          <w:lang w:val="en-GB"/>
        </w:rPr>
      </w:pPr>
      <w:r w:rsidRPr="00BB3CFC">
        <w:rPr>
          <w:lang w:val="en-GB"/>
        </w:rPr>
        <w:t>Life Cycle Assessment (</w:t>
      </w:r>
      <w:r w:rsidR="00D674CD" w:rsidRPr="00BB3CFC">
        <w:rPr>
          <w:lang w:val="en-GB"/>
        </w:rPr>
        <w:t>LCA</w:t>
      </w:r>
      <w:r w:rsidRPr="00BB3CFC">
        <w:rPr>
          <w:lang w:val="en-GB"/>
        </w:rPr>
        <w:t>)</w:t>
      </w:r>
      <w:r w:rsidR="00D674CD" w:rsidRPr="00BB3CFC">
        <w:rPr>
          <w:lang w:val="en-GB"/>
        </w:rPr>
        <w:t xml:space="preserve"> </w:t>
      </w:r>
      <w:r w:rsidR="00D60C79" w:rsidRPr="00BB3CFC">
        <w:rPr>
          <w:lang w:val="en-GB"/>
        </w:rPr>
        <w:t>is a</w:t>
      </w:r>
      <w:r w:rsidR="00D60C79">
        <w:t xml:space="preserve"> technique</w:t>
      </w:r>
      <w:r>
        <w:t xml:space="preserve"> to </w:t>
      </w:r>
      <w:r w:rsidR="00D674CD" w:rsidRPr="00E904DC">
        <w:t xml:space="preserve">addresses the environmental aspects and potential environmental impacts </w:t>
      </w:r>
      <w:r>
        <w:t>of a product</w:t>
      </w:r>
      <w:r w:rsidR="00D674CD" w:rsidRPr="00E904DC">
        <w:t xml:space="preserve"> throughout </w:t>
      </w:r>
      <w:r>
        <w:t>its</w:t>
      </w:r>
      <w:r w:rsidR="00D674CD" w:rsidRPr="00E904DC">
        <w:t xml:space="preserve"> life cycle from raw material acquisition through production, use, end-of-life treatment, recycling</w:t>
      </w:r>
      <w:r w:rsidR="001579B6">
        <w:t>,</w:t>
      </w:r>
      <w:r w:rsidR="00D674CD" w:rsidRPr="00E904DC">
        <w:t xml:space="preserve"> and final d</w:t>
      </w:r>
      <w:r>
        <w:t>isposal (i.e.</w:t>
      </w:r>
      <w:r w:rsidR="003933A0">
        <w:t>,</w:t>
      </w:r>
      <w:r>
        <w:t xml:space="preserve"> cradle-to-grave)</w:t>
      </w:r>
      <w:r w:rsidR="00705FA0">
        <w:t xml:space="preserve"> </w:t>
      </w:r>
      <w:r w:rsidR="00E26BEA">
        <w:fldChar w:fldCharType="begin" w:fldLock="1"/>
      </w:r>
      <w:r w:rsidR="008D4202">
        <w:instrText>ADDIN CSL_CITATION {"citationItems":[{"id":"ITEM-1","itemData":{"DOI":"10.1136/bmj.332.7550.1107","ISBN":"ISO 14040:2006(E)","abstract":"ISO 14040:2006 describes the principles and framework for life cycle assessment (LCA) including: definition of the goal and scope of the LCA, the life cycle inventory analysis (LCI) phase, the life cycle impact assessment (LCIA) phase, the life cycle interpretation phase, reporting and critical review of the LCA, limitations of the LCA, the relationship between the LCA phases, and conditions for use of value choices and optional elements. ISO 14040:2006 covers life cycle assessment (LCA) studies and life cycle inventory (LCI) studies. It does not describe the LCA technique in detail, nor does it specify methodologies for the individual phases of the LCA. The intended application of LCA or LCI results is considered during definition of the goal and scope, but the application itself is outside the scope of this International Standard.","author":[{"dropping-particle":"","family":"ISO 14040","given":"","non-dropping-particle":"","parse-names":false,"suffix":""}],"container-title":"ISO 14040","id":"ITEM-1","issued":{"date-parts":[["2006"]]},"page":"1-28","title":"The International Standards Organisation. Environmental management — Life cycle assessment — Principles and framework","type":"article","volume":"2006"},"uris":["http://www.mendeley.com/documents/?uuid=990393ac-cd6a-4a51-baf9-4fb42a501f03"]},{"id":"ITEM-2","itemData":{"ISBN":"978-3-906042-38-1","abstract":"Life Cycle Assessment (LCA) is a structured, comprehensive method of quantifying materialand\\nenergy-flows and their associated emissions in the life cycles of products (i.e., goods and\\nservices). The ISO 14040 and 14044 standards provide a framework for an LCA. However,\\nthis framework leaves the individual practitioner with a range of choices that can affect the\\nvalidity and reliability of the results of such a study. The current IEA guidelines were\\ndeveloped to provide guidance on assuring consistency, balance, and quality to enhance the\\ncredibility and reliability of the results from photovoltaic (PV) LCAs. The guidelines represent\\na consensus among the authors, PV LCA experts in North America, Europe, and Asia, for\\nassumptions made on PV performance, process input and emissions allocation, methods of\\nanalysis, and reporting of the results.\\nGuidance is given on photovoltaic-specific parameters used as inputs in LCA and on choices\\nand assumptions in life cycle inventory (LCI) data analysis and on implementation of\\nmodeling approaches. A consistent approach towards system modeling, the functional unit,\\nthe system boundaries and the allocation aspects enhances the credibility of PV LCA studies\\nand enables balanced LCA-based comparisons of different energy life-cycles.\\nThe document discusses metrics like greenhouse gas emissions (GHG), the cumulated energy demand (CED), the acidification potential (AP), ozone depletion potential (ODP), human toxicity, ecotoxicity and ionizing radiation. Guidance is given for the definition of the energy payback time (EPBT), the nonrenewable energy payback time (NREPBT), the energy return on investment (EROI) and the impact mitigation potentials (IMP). The guidelines on the reporting and communication of the results serve the need for producing clear and comprehensive reports. Transparency in reporting is of the utmost importance as parameters vary with geographical zones, and a system’s boundary conditions and modeling approach can affect the findings significantly. At a minimum, the following parameters should be reported: 1) On-plane irradiation level and location; 2) module-rated efficiency; 3) system’s performance ratio; 4) time-frame of data; 5) type of system (e.g., roof-top, ground mount fixed tilt or tracker); 6) expected lifetime and degradation ratio for PV and BOS; 7) system’s boundaries (whether capital goods, installation, maintenance, disposal, the transportation- and recycling-stages\\nare inc…","author":[{"dropping-particle":"","family":"Frischknecht","given":"R.","non-dropping-particle":"","parse-names":false,"suffix":""},{"dropping-particle":"","family":"Heath","given":"G","non-dropping-particle":"","parse-names":false,"suffix":""},{"dropping-particle":"","family":"Raugei","given":"M","non-dropping-particle":"","parse-names":false,"suffix":""},{"dropping-particle":"","family":"Sinha","given":"P","non-dropping-particle":"","parse-names":false,"suffix":""},{"dropping-particle":"","family":"Wild-Scholten","given":"M","non-dropping-particle":"de","parse-names":false,"suffix":""},{"dropping-particle":"","family":"Fthenakis","given":"V","non-dropping-particle":"","parse-names":false,"suffix":""},{"dropping-particle":"","family":"Kim","given":"HC","non-dropping-particle":"","parse-names":false,"suffix":""},{"dropping-particle":"","family":"Alsema","given":"E","non-dropping-particle":"","parse-names":false,"suffix":""},{"dropping-particle":"","family":"Held","given":"N","non-dropping-particle":"","parse-names":false,"suffix":""}],"container-title":"IEA PVPS Task 12: International Energy Agency Photovoltaic Power Systems Program","id":"ITEM-2","issued":{"date-parts":[["2016"]]},"title":"Methodology Guidelines on Life Cycle Assessment of Photovoltaic Electricity, 3rd ed","type":"article"},"uris":["http://www.mendeley.com/documents/?uuid=3e7963ef-fe27-48f6-a60a-f7a10614937c"]}],"mendeley":{"formattedCitation":"[3,4]","plainTextFormattedCitation":"[3,4]","previouslyFormattedCitation":"[3,4]"},"properties":{"noteIndex":0},"schema":"https://github.com/citation-style-language/schema/raw/master/csl-citation.json"}</w:instrText>
      </w:r>
      <w:r w:rsidR="00E26BEA">
        <w:fldChar w:fldCharType="separate"/>
      </w:r>
      <w:r w:rsidR="00705FA0" w:rsidRPr="00705FA0">
        <w:rPr>
          <w:noProof/>
        </w:rPr>
        <w:t>[3,4]</w:t>
      </w:r>
      <w:r w:rsidR="00E26BEA">
        <w:fldChar w:fldCharType="end"/>
      </w:r>
      <w:r w:rsidR="00705FA0">
        <w:t xml:space="preserve">. </w:t>
      </w:r>
      <w:r w:rsidR="007E79F1">
        <w:rPr>
          <w:lang w:val="en-GB"/>
        </w:rPr>
        <w:t xml:space="preserve">Traditionally, LCA </w:t>
      </w:r>
      <w:r w:rsidR="00AE255B">
        <w:rPr>
          <w:lang w:val="en-GB"/>
        </w:rPr>
        <w:t>has been used to assess</w:t>
      </w:r>
      <w:r w:rsidR="00AA21B8">
        <w:rPr>
          <w:lang w:val="en-GB"/>
        </w:rPr>
        <w:t xml:space="preserve"> </w:t>
      </w:r>
      <w:r w:rsidR="00327388">
        <w:rPr>
          <w:lang w:val="en-GB"/>
        </w:rPr>
        <w:t>a specific</w:t>
      </w:r>
      <w:r w:rsidR="00B8083D">
        <w:rPr>
          <w:lang w:val="en-GB"/>
        </w:rPr>
        <w:t xml:space="preserve"> </w:t>
      </w:r>
      <w:r w:rsidR="00D60C79">
        <w:rPr>
          <w:lang w:val="en-GB"/>
        </w:rPr>
        <w:t>product</w:t>
      </w:r>
      <w:r w:rsidR="00AE255B">
        <w:rPr>
          <w:lang w:val="en-GB"/>
        </w:rPr>
        <w:t xml:space="preserve"> throughout its life cycle pathway</w:t>
      </w:r>
      <w:r w:rsidR="00D60C79">
        <w:rPr>
          <w:lang w:val="en-GB"/>
        </w:rPr>
        <w:t xml:space="preserve">, which </w:t>
      </w:r>
      <w:r w:rsidR="0015318B">
        <w:rPr>
          <w:lang w:val="en-GB"/>
        </w:rPr>
        <w:t>can be called</w:t>
      </w:r>
      <w:r w:rsidR="00D60C79">
        <w:rPr>
          <w:lang w:val="en-GB"/>
        </w:rPr>
        <w:t xml:space="preserve"> a pathway-level </w:t>
      </w:r>
      <w:r w:rsidR="00AE255B">
        <w:rPr>
          <w:lang w:val="en-GB"/>
        </w:rPr>
        <w:t>analysis</w:t>
      </w:r>
      <w:r w:rsidR="00D60C79">
        <w:rPr>
          <w:lang w:val="en-GB"/>
        </w:rPr>
        <w:t>.</w:t>
      </w:r>
      <w:r w:rsidR="00B85481">
        <w:rPr>
          <w:lang w:val="en-GB"/>
        </w:rPr>
        <w:t xml:space="preserve"> Software and tools such as </w:t>
      </w:r>
      <w:proofErr w:type="spellStart"/>
      <w:r w:rsidR="00B85481">
        <w:rPr>
          <w:lang w:val="en-GB"/>
        </w:rPr>
        <w:t>openLCA</w:t>
      </w:r>
      <w:proofErr w:type="spellEnd"/>
      <w:r w:rsidR="000D67A8">
        <w:rPr>
          <w:lang w:val="en-GB"/>
        </w:rPr>
        <w:t xml:space="preserve"> </w:t>
      </w:r>
      <w:r w:rsidR="000D67A8">
        <w:rPr>
          <w:lang w:val="en-GB"/>
        </w:rPr>
        <w:fldChar w:fldCharType="begin" w:fldLock="1"/>
      </w:r>
      <w:r w:rsidR="008D4202">
        <w:rPr>
          <w:lang w:val="en-GB"/>
        </w:rPr>
        <w:instrText>ADDIN CSL_CITATION {"citationItems":[{"id":"ITEM-1","itemData":{"DOI":"10.1065/lca2007.06.337","ISSN":"0948-3349","author":[{"dropping-particle":"","family":"Ciroth","given":"Andreas","non-dropping-particle":"","parse-names":false,"suffix":""}],"container-title":"The International Journal of Life Cycle Assessment","id":"ITEM-1","issue":"4","issued":{"date-parts":[["2007","6"]]},"page":"209-210","publisher":"Ecomed","title":"ICT for environment in life cycle applications openLCA — A new open source software for life cycle assessment","type":"article-journal","volume":"12"},"uris":["http://www.mendeley.com/documents/?uuid=e3f54a40-0ccf-3675-b37a-303b34ba5fc0"]},{"id":"ITEM-2","itemData":{"DOI":"10.1016/J.JCLEPRO.2014.08.004","ISSN":"0959-6526","abstract":"SimaPro and GaBi are the leading software tools used for life cycle assessments. Assessing product systems applying the exact same unit process foundation would be expected to yield comparable result sets with either tool. The software performances are compared based on a random sample of 100 unit processes. The research question investigated here is; can there be a difference between SimaPro and GaBi influencing the results and the decisions based on them? In many cases the results are identical between SimaPro and GaBi or nearly so, but in other cases the results reveal differences. Some of these differences are so large that they could influence the conclusions. For some of the 100 unit processes, six elementary flows were inventoried differently in SimaPro and GaBi, with an extreme maximum comparative ratio of 109. The implementation of the impact assessment methodologies shows notable differences. For the same life cycle inventory the maximum result ratio for the characterized results is 0.0076 for Terrestrial Ecotoxicity Potential. The observed differences appear to originate primarily from errors in the software databases for both inventory and impact assessment. SimaPro and GaBi are used by many Life Cycle Assessment (LCA) practitioners worldwide as a decision-support tool; if the results of the present analysis are representative of the differences obtained when using either one or the other, then the implications of this paper are worrying. It is clearly in the interest of both software developers and LCA practitioners that the observed differences be addressed, for example through ring tests comparing the tools.","author":[{"dropping-particle":"","family":"Herrmann","given":"Ivan T.","non-dropping-particle":"","parse-names":false,"suffix":""},{"dropping-particle":"","family":"Moltesen","given":"Andreas","non-dropping-particle":"","parse-names":false,"suffix":""}],"container-title":"Journal of Cleaner Production","id":"ITEM-2","issued":{"date-parts":[["2015","1","1"]]},"page":"163-169","publisher":"Elsevier","title":"Does it matter which Life Cycle Assessment (LCA) tool you choose? – a comparative assessment of SimaPro and GaBi","type":"article-journal","volume":"86"},"uris":["http://www.mendeley.com/documents/?uuid=661d35cc-86ef-394e-bcfe-341d6e81461c"]}],"mendeley":{"formattedCitation":"[5,6]","plainTextFormattedCitation":"[5,6]","previouslyFormattedCitation":"[5,6]"},"properties":{"noteIndex":0},"schema":"https://github.com/citation-style-language/schema/raw/master/csl-citation.json"}</w:instrText>
      </w:r>
      <w:r w:rsidR="000D67A8">
        <w:rPr>
          <w:lang w:val="en-GB"/>
        </w:rPr>
        <w:fldChar w:fldCharType="separate"/>
      </w:r>
      <w:r w:rsidR="00705FA0" w:rsidRPr="00705FA0">
        <w:rPr>
          <w:noProof/>
          <w:lang w:val="en-GB"/>
        </w:rPr>
        <w:t>[5,6]</w:t>
      </w:r>
      <w:r w:rsidR="000D67A8">
        <w:rPr>
          <w:lang w:val="en-GB"/>
        </w:rPr>
        <w:fldChar w:fldCharType="end"/>
      </w:r>
      <w:r w:rsidR="00B85481">
        <w:rPr>
          <w:lang w:val="en-GB"/>
        </w:rPr>
        <w:t xml:space="preserve">, </w:t>
      </w:r>
      <w:proofErr w:type="spellStart"/>
      <w:r w:rsidR="00B85481">
        <w:rPr>
          <w:lang w:val="en-GB"/>
        </w:rPr>
        <w:t>SimaPro</w:t>
      </w:r>
      <w:proofErr w:type="spellEnd"/>
      <w:r w:rsidR="00D0189A">
        <w:rPr>
          <w:lang w:val="en-GB"/>
        </w:rPr>
        <w:t xml:space="preserve"> </w:t>
      </w:r>
      <w:r w:rsidR="00D0189A">
        <w:rPr>
          <w:lang w:val="en-GB"/>
        </w:rPr>
        <w:fldChar w:fldCharType="begin" w:fldLock="1"/>
      </w:r>
      <w:r w:rsidR="008D4202">
        <w:rPr>
          <w:lang w:val="en-GB"/>
        </w:rPr>
        <w:instrText>ADDIN CSL_CITATION {"citationItems":[{"id":"ITEM-1","itemData":{"URL":"https://support.simapro.com/articles/Manual/SimaPro-Tutorial/?l=en_US&amp;c=Products%3ASimaPro%3ASP_Tutorials&amp;fs=Search&amp;pn=1","accessed":{"date-parts":[["2019","7","22"]]},"author":[{"dropping-particle":"","family":"PRé Sustainability","given":"","non-dropping-particle":"","parse-names":false,"suffix":""}],"id":"ITEM-1","issued":{"date-parts":[["0"]]},"title":"Manual: SimaPro Tutorial","type":"webpage"},"uris":["http://www.mendeley.com/documents/?uuid=e30038fc-3aac-3ef9-8aed-e013a38d9e83"]},{"id":"ITEM-2","itemData":{"DOI":"10.1016/J.JCLEPRO.2014.08.004","ISSN":"0959-6526","abstract":"SimaPro and GaBi are the leading software tools used for life cycle assessments. Assessing product systems applying the exact same unit process foundation would be expected to yield comparable result sets with either tool. The software performances are compared based on a random sample of 100 unit processes. The research question investigated here is; can there be a difference between SimaPro and GaBi influencing the results and the decisions based on them? In many cases the results are identical between SimaPro and GaBi or nearly so, but in other cases the results reveal differences. Some of these differences are so large that they could influence the conclusions. For some of the 100 unit processes, six elementary flows were inventoried differently in SimaPro and GaBi, with an extreme maximum comparative ratio of 109. The implementation of the impact assessment methodologies shows notable differences. For the same life cycle inventory the maximum result ratio for the characterized results is 0.0076 for Terrestrial Ecotoxicity Potential. The observed differences appear to originate primarily from errors in the software databases for both inventory and impact assessment. SimaPro and GaBi are used by many Life Cycle Assessment (LCA) practitioners worldwide as a decision-support tool; if the results of the present analysis are representative of the differences obtained when using either one or the other, then the implications of this paper are worrying. It is clearly in the interest of both software developers and LCA practitioners that the observed differences be addressed, for example through ring tests comparing the tools.","author":[{"dropping-particle":"","family":"Herrmann","given":"Ivan T.","non-dropping-particle":"","parse-names":false,"suffix":""},{"dropping-particle":"","family":"Moltesen","given":"Andreas","non-dropping-particle":"","parse-names":false,"suffix":""}],"container-title":"Journal of Cleaner Production","id":"ITEM-2","issued":{"date-parts":[["2015","1","1"]]},"page":"163-169","publisher":"Elsevier","title":"Does it matter which Life Cycle Assessment (LCA) tool you choose? – a comparative assessment of SimaPro and GaBi","type":"article-journal","volume":"86"},"uris":["http://www.mendeley.com/documents/?uuid=661d35cc-86ef-394e-bcfe-341d6e81461c"]}],"mendeley":{"formattedCitation":"[6,7]","plainTextFormattedCitation":"[6,7]","previouslyFormattedCitation":"[6,7]"},"properties":{"noteIndex":0},"schema":"https://github.com/citation-style-language/schema/raw/master/csl-citation.json"}</w:instrText>
      </w:r>
      <w:r w:rsidR="00D0189A">
        <w:rPr>
          <w:lang w:val="en-GB"/>
        </w:rPr>
        <w:fldChar w:fldCharType="separate"/>
      </w:r>
      <w:r w:rsidR="00705FA0" w:rsidRPr="00705FA0">
        <w:rPr>
          <w:noProof/>
          <w:lang w:val="en-GB"/>
        </w:rPr>
        <w:t>[6,7]</w:t>
      </w:r>
      <w:r w:rsidR="00D0189A">
        <w:rPr>
          <w:lang w:val="en-GB"/>
        </w:rPr>
        <w:fldChar w:fldCharType="end"/>
      </w:r>
      <w:r w:rsidR="00B85481">
        <w:rPr>
          <w:lang w:val="en-GB"/>
        </w:rPr>
        <w:t xml:space="preserve">, </w:t>
      </w:r>
      <w:proofErr w:type="spellStart"/>
      <w:r w:rsidR="000D67A8">
        <w:rPr>
          <w:lang w:val="en-GB"/>
        </w:rPr>
        <w:t>GaBi</w:t>
      </w:r>
      <w:proofErr w:type="spellEnd"/>
      <w:r w:rsidR="00D0189A">
        <w:rPr>
          <w:lang w:val="en-GB"/>
        </w:rPr>
        <w:t xml:space="preserve"> </w:t>
      </w:r>
      <w:r w:rsidR="00D0189A">
        <w:rPr>
          <w:lang w:val="en-GB"/>
        </w:rPr>
        <w:fldChar w:fldCharType="begin" w:fldLock="1"/>
      </w:r>
      <w:r w:rsidR="008D4202">
        <w:rPr>
          <w:lang w:val="en-GB"/>
        </w:rPr>
        <w:instrText>ADDIN CSL_CITATION {"citationItems":[{"id":"ITEM-1","itemData":{"URL":"https://www.gabi-software.com/america/overview/what-is-gabi-software/","accessed":{"date-parts":[["2019","7","22"]]},"author":[{"dropping-particle":"","family":"thinkstep","given":"","non-dropping-particle":"","parse-names":false,"suffix":""}],"id":"ITEM-1","issued":{"date-parts":[["0"]]},"title":"What is GaBi Software","type":"webpage"},"uris":["http://www.mendeley.com/documents/?uuid=cce3e140-0c9d-3059-9027-4cf7b8ace74b"]}],"mendeley":{"formattedCitation":"[8]","plainTextFormattedCitation":"[8]","previouslyFormattedCitation":"[8]"},"properties":{"noteIndex":0},"schema":"https://github.com/citation-style-language/schema/raw/master/csl-citation.json"}</w:instrText>
      </w:r>
      <w:r w:rsidR="00D0189A">
        <w:rPr>
          <w:lang w:val="en-GB"/>
        </w:rPr>
        <w:fldChar w:fldCharType="separate"/>
      </w:r>
      <w:r w:rsidR="00705FA0" w:rsidRPr="00705FA0">
        <w:rPr>
          <w:noProof/>
          <w:lang w:val="en-GB"/>
        </w:rPr>
        <w:t>[8]</w:t>
      </w:r>
      <w:r w:rsidR="00D0189A">
        <w:rPr>
          <w:lang w:val="en-GB"/>
        </w:rPr>
        <w:fldChar w:fldCharType="end"/>
      </w:r>
      <w:r w:rsidR="000D67A8">
        <w:rPr>
          <w:lang w:val="en-GB"/>
        </w:rPr>
        <w:t xml:space="preserve">, </w:t>
      </w:r>
      <w:proofErr w:type="spellStart"/>
      <w:r w:rsidR="00B85481">
        <w:rPr>
          <w:lang w:val="en-GB"/>
        </w:rPr>
        <w:t>GHGeneius</w:t>
      </w:r>
      <w:proofErr w:type="spellEnd"/>
      <w:r w:rsidR="00D0189A">
        <w:rPr>
          <w:lang w:val="en-GB"/>
        </w:rPr>
        <w:t xml:space="preserve"> </w:t>
      </w:r>
      <w:r w:rsidR="00D0189A">
        <w:rPr>
          <w:lang w:val="en-GB"/>
        </w:rPr>
        <w:fldChar w:fldCharType="begin" w:fldLock="1"/>
      </w:r>
      <w:r w:rsidR="008D4202">
        <w:rPr>
          <w:lang w:val="en-GB"/>
        </w:rPr>
        <w:instrText>ADDIN CSL_CITATION {"citationItems":[{"id":"ITEM-1","itemData":{"DOI":"10.1109/EICCCC.2006.277203","ISBN":"1-4244-0218-2","author":[{"dropping-particle":"","family":"Stanciulescu","given":"Vernel","non-dropping-particle":"","parse-names":false,"suffix":""},{"dropping-particle":"","family":"Fleming","given":"Jesse","non-dropping-particle":"","parse-names":false,"suffix":""}],"container-title":"2006 IEEE EIC Climate Change Conference","id":"ITEM-1","issued":{"date-parts":[["2006","5"]]},"page":"1-11","publisher":"IEEE","title":"Life Cycle Assessment of Transportation Fuels and GHGenius","type":"paper-conference"},"uris":["http://www.mendeley.com/documents/?uuid=e4e15a21-f7c5-3a13-a802-6055b91208cf"]},{"id":"ITEM-2","itemData":{"URL":"https://www.ghgenius.ca/index.php","accessed":{"date-parts":[["2019","7","22"]]},"author":[{"dropping-particle":"","family":"Squared Consultants Inc.","given":"","non-dropping-particle":"","parse-names":false,"suffix":""}],"id":"ITEM-2","issued":{"date-parts":[["0"]]},"title":"GHGenius","type":"webpage"},"uris":["http://www.mendeley.com/documents/?uuid=d18571b7-a3e3-32a0-b920-12f1d9793226"]}],"mendeley":{"formattedCitation":"[9,10]","plainTextFormattedCitation":"[9,10]","previouslyFormattedCitation":"[9,10]"},"properties":{"noteIndex":0},"schema":"https://github.com/citation-style-language/schema/raw/master/csl-citation.json"}</w:instrText>
      </w:r>
      <w:r w:rsidR="00D0189A">
        <w:rPr>
          <w:lang w:val="en-GB"/>
        </w:rPr>
        <w:fldChar w:fldCharType="separate"/>
      </w:r>
      <w:r w:rsidR="00705FA0" w:rsidRPr="00705FA0">
        <w:rPr>
          <w:noProof/>
          <w:lang w:val="en-GB"/>
        </w:rPr>
        <w:t>[9,10]</w:t>
      </w:r>
      <w:r w:rsidR="00D0189A">
        <w:rPr>
          <w:lang w:val="en-GB"/>
        </w:rPr>
        <w:fldChar w:fldCharType="end"/>
      </w:r>
      <w:r w:rsidR="00B85481">
        <w:rPr>
          <w:lang w:val="en-GB"/>
        </w:rPr>
        <w:t>, and GREET</w:t>
      </w:r>
      <w:r w:rsidR="00D0189A">
        <w:rPr>
          <w:lang w:val="en-GB"/>
        </w:rPr>
        <w:t xml:space="preserve"> </w:t>
      </w:r>
      <w:r w:rsidR="00D0189A">
        <w:rPr>
          <w:lang w:val="en-GB"/>
        </w:rPr>
        <w:fldChar w:fldCharType="begin" w:fldLock="1"/>
      </w:r>
      <w:r w:rsidR="008D4202">
        <w:rPr>
          <w:lang w:val="en-GB"/>
        </w:rPr>
        <w:instrText>ADDIN CSL_CITATION {"citationItems":[{"id":"ITEM-1","itemData":{"DOI":"10.2172/14775","author":[{"dropping-particle":"","family":"Wang","given":"M Q","non-dropping-particle":"","parse-names":false,"suffix":""},{"dropping-particle":"","family":"Q","given":"M","non-dropping-particle":"","parse-names":false,"suffix":""}],"id":"ITEM-1","issued":{"date-parts":[["1999","10","6"]]},"publisher-place":"Argonne, IL (United States)","title":"GREET 1.5 - transportation fuel-cycle model - Vol. 1 : methodology, development, use, and results.","type":"report"},"uris":["http://www.mendeley.com/documents/?uuid=04bb9785-eaed-3c60-a191-5891d4b229ab"]}],"mendeley":{"formattedCitation":"[11]","plainTextFormattedCitation":"[11]","previouslyFormattedCitation":"[11]"},"properties":{"noteIndex":0},"schema":"https://github.com/citation-style-language/schema/raw/master/csl-citation.json"}</w:instrText>
      </w:r>
      <w:r w:rsidR="00D0189A">
        <w:rPr>
          <w:lang w:val="en-GB"/>
        </w:rPr>
        <w:fldChar w:fldCharType="separate"/>
      </w:r>
      <w:r w:rsidR="00705FA0" w:rsidRPr="00705FA0">
        <w:rPr>
          <w:noProof/>
          <w:lang w:val="en-GB"/>
        </w:rPr>
        <w:t>[11]</w:t>
      </w:r>
      <w:r w:rsidR="00D0189A">
        <w:rPr>
          <w:lang w:val="en-GB"/>
        </w:rPr>
        <w:fldChar w:fldCharType="end"/>
      </w:r>
      <w:r w:rsidR="00B85481">
        <w:rPr>
          <w:lang w:val="en-GB"/>
        </w:rPr>
        <w:t xml:space="preserve"> are designed to give users flexibility in conducting </w:t>
      </w:r>
      <w:r w:rsidR="00AE255B">
        <w:rPr>
          <w:lang w:val="en-GB"/>
        </w:rPr>
        <w:t xml:space="preserve">various </w:t>
      </w:r>
      <w:r w:rsidR="00B85481">
        <w:rPr>
          <w:lang w:val="en-GB"/>
        </w:rPr>
        <w:t xml:space="preserve">pathway-level LCAs. To address the need </w:t>
      </w:r>
      <w:r w:rsidR="003933A0">
        <w:rPr>
          <w:lang w:val="en-GB"/>
        </w:rPr>
        <w:t>for</w:t>
      </w:r>
      <w:r w:rsidR="00B85481">
        <w:rPr>
          <w:lang w:val="en-GB"/>
        </w:rPr>
        <w:t xml:space="preserve"> quantifying decarbonization level of </w:t>
      </w:r>
      <w:r w:rsidR="003933A0">
        <w:rPr>
          <w:lang w:val="en-GB"/>
        </w:rPr>
        <w:t xml:space="preserve">the </w:t>
      </w:r>
      <w:r w:rsidR="00B85481">
        <w:rPr>
          <w:lang w:val="en-GB"/>
        </w:rPr>
        <w:t xml:space="preserve">energy sector, </w:t>
      </w:r>
      <w:r w:rsidR="00451C71">
        <w:rPr>
          <w:lang w:val="en-GB"/>
        </w:rPr>
        <w:t>one needs to</w:t>
      </w:r>
      <w:r w:rsidR="00110CE9" w:rsidRPr="00B15C43">
        <w:rPr>
          <w:lang w:val="en-GB"/>
        </w:rPr>
        <w:t xml:space="preserve"> explore the</w:t>
      </w:r>
      <w:r w:rsidR="00A5327F">
        <w:rPr>
          <w:lang w:val="en-GB"/>
        </w:rPr>
        <w:t xml:space="preserve"> overall</w:t>
      </w:r>
      <w:r w:rsidR="00110CE9" w:rsidRPr="00B15C43">
        <w:rPr>
          <w:lang w:val="en-GB"/>
        </w:rPr>
        <w:t xml:space="preserve"> </w:t>
      </w:r>
      <w:r w:rsidR="00B85481">
        <w:rPr>
          <w:lang w:val="en-GB"/>
        </w:rPr>
        <w:t xml:space="preserve">GHG </w:t>
      </w:r>
      <w:r w:rsidR="00110CE9" w:rsidRPr="00B15C43">
        <w:rPr>
          <w:lang w:val="en-GB"/>
        </w:rPr>
        <w:t xml:space="preserve">emissions </w:t>
      </w:r>
      <w:r w:rsidR="00451C71">
        <w:rPr>
          <w:lang w:val="en-GB"/>
        </w:rPr>
        <w:t>across the</w:t>
      </w:r>
      <w:r w:rsidR="00110CE9">
        <w:rPr>
          <w:lang w:val="en-GB"/>
        </w:rPr>
        <w:t xml:space="preserve"> </w:t>
      </w:r>
      <w:r w:rsidR="00110CE9" w:rsidRPr="00B15C43">
        <w:rPr>
          <w:lang w:val="en-GB"/>
        </w:rPr>
        <w:t>energy system</w:t>
      </w:r>
      <w:r w:rsidR="00AE255B">
        <w:rPr>
          <w:lang w:val="en-GB"/>
        </w:rPr>
        <w:t>, which can be called a system-level analysis</w:t>
      </w:r>
      <w:r w:rsidR="00B85481">
        <w:rPr>
          <w:lang w:val="en-GB"/>
        </w:rPr>
        <w:t xml:space="preserve">. </w:t>
      </w:r>
      <w:r w:rsidR="00451C71">
        <w:rPr>
          <w:lang w:val="en-GB"/>
        </w:rPr>
        <w:t xml:space="preserve">To address this need, we have developed a tool capable of both pathway-level and system-level life cycle analysis. </w:t>
      </w:r>
      <w:r w:rsidR="00451C71" w:rsidRPr="00C55F77">
        <w:t xml:space="preserve">We refer to the tool as </w:t>
      </w:r>
      <w:r w:rsidR="00451C71">
        <w:t>SESAME</w:t>
      </w:r>
      <w:r w:rsidR="00451C71" w:rsidRPr="00C55F77">
        <w:t xml:space="preserve"> (</w:t>
      </w:r>
      <w:r w:rsidR="00451C71" w:rsidRPr="00037956">
        <w:rPr>
          <w:lang w:val="tr-TR"/>
        </w:rPr>
        <w:t>Sustainable Energy System Analysis Modelling Environment</w:t>
      </w:r>
      <w:r w:rsidR="00451C71">
        <w:t xml:space="preserve">). </w:t>
      </w:r>
      <w:r w:rsidR="00451C71" w:rsidRPr="00B15C43">
        <w:rPr>
          <w:lang w:val="en-GB"/>
        </w:rPr>
        <w:t xml:space="preserve">The system-level analysis </w:t>
      </w:r>
      <w:r w:rsidR="0018194D">
        <w:rPr>
          <w:lang w:val="en-GB"/>
        </w:rPr>
        <w:t>by SESAME</w:t>
      </w:r>
      <w:r w:rsidR="00451C71">
        <w:rPr>
          <w:lang w:val="en-GB"/>
        </w:rPr>
        <w:t xml:space="preserve"> </w:t>
      </w:r>
      <w:r w:rsidR="00451C71" w:rsidRPr="00B15C43">
        <w:rPr>
          <w:lang w:val="en-GB"/>
        </w:rPr>
        <w:t xml:space="preserve">is enabled by the embedded power systems and vehicle fleet models that capture market dynamics and explore dynamics of technology adoption and usage. </w:t>
      </w:r>
      <w:r w:rsidR="00A5327F">
        <w:rPr>
          <w:lang w:val="en-GB"/>
        </w:rPr>
        <w:t>SESAME</w:t>
      </w:r>
      <w:r w:rsidR="00B85481">
        <w:rPr>
          <w:lang w:val="en-GB"/>
        </w:rPr>
        <w:t xml:space="preserve"> incorporates the impacts of </w:t>
      </w:r>
      <w:r w:rsidR="00B85481" w:rsidRPr="00B15C43">
        <w:rPr>
          <w:lang w:val="en-GB"/>
        </w:rPr>
        <w:t>technological, operational, temporal, and geospatial characteristics</w:t>
      </w:r>
      <w:r w:rsidR="00B85481">
        <w:rPr>
          <w:lang w:val="en-GB"/>
        </w:rPr>
        <w:t xml:space="preserve"> </w:t>
      </w:r>
      <w:r w:rsidR="00A5327F">
        <w:rPr>
          <w:lang w:val="en-GB"/>
        </w:rPr>
        <w:t xml:space="preserve">of a pathway or system </w:t>
      </w:r>
      <w:r w:rsidR="00B85481">
        <w:rPr>
          <w:lang w:val="en-GB"/>
        </w:rPr>
        <w:t xml:space="preserve">in </w:t>
      </w:r>
      <w:r w:rsidR="0015318B">
        <w:rPr>
          <w:lang w:val="en-GB"/>
        </w:rPr>
        <w:t>its analysis</w:t>
      </w:r>
      <w:r w:rsidR="00110CE9" w:rsidRPr="00B15C43">
        <w:rPr>
          <w:lang w:val="en-GB"/>
        </w:rPr>
        <w:t>.</w:t>
      </w:r>
      <w:r w:rsidR="00C833D9">
        <w:rPr>
          <w:lang w:val="en-GB"/>
        </w:rPr>
        <w:t xml:space="preserve"> </w:t>
      </w:r>
    </w:p>
    <w:p w14:paraId="7D584B49" w14:textId="77777777" w:rsidR="008C340C" w:rsidRDefault="00AE255B" w:rsidP="00110CE9">
      <w:pPr>
        <w:rPr>
          <w:lang w:val="en-GB"/>
        </w:rPr>
      </w:pPr>
      <w:r>
        <w:rPr>
          <w:lang w:val="en-GB"/>
        </w:rPr>
        <w:t>SESAME</w:t>
      </w:r>
      <w:r w:rsidR="00110CE9" w:rsidRPr="00B15C43">
        <w:rPr>
          <w:lang w:val="en-GB"/>
        </w:rPr>
        <w:t xml:space="preserve"> is built as a MATLAB app</w:t>
      </w:r>
      <w:r w:rsidR="00CB4B46">
        <w:rPr>
          <w:lang w:val="en-GB"/>
        </w:rPr>
        <w:t>lication</w:t>
      </w:r>
      <w:r w:rsidR="00110CE9" w:rsidRPr="00B15C43">
        <w:rPr>
          <w:lang w:val="en-GB"/>
        </w:rPr>
        <w:t xml:space="preserve"> that encapsulates </w:t>
      </w:r>
      <w:r w:rsidR="00B11C80">
        <w:rPr>
          <w:lang w:val="en-GB"/>
        </w:rPr>
        <w:t>LCA</w:t>
      </w:r>
      <w:r w:rsidR="00110CE9" w:rsidRPr="00B15C43">
        <w:rPr>
          <w:lang w:val="en-GB"/>
        </w:rPr>
        <w:t xml:space="preserve"> </w:t>
      </w:r>
      <w:r w:rsidR="00B11C80">
        <w:rPr>
          <w:lang w:val="en-GB"/>
        </w:rPr>
        <w:t>codes (MATLAB files)</w:t>
      </w:r>
      <w:r w:rsidR="00110CE9" w:rsidRPr="00B15C43">
        <w:rPr>
          <w:lang w:val="en-GB"/>
        </w:rPr>
        <w:t xml:space="preserve">, </w:t>
      </w:r>
      <w:r w:rsidR="00B11C80">
        <w:rPr>
          <w:lang w:val="en-GB"/>
        </w:rPr>
        <w:t xml:space="preserve">life cycle inventory </w:t>
      </w:r>
      <w:r w:rsidR="00110CE9" w:rsidRPr="00B15C43">
        <w:rPr>
          <w:lang w:val="en-GB"/>
        </w:rPr>
        <w:t>databases</w:t>
      </w:r>
      <w:r w:rsidR="00B11C80">
        <w:rPr>
          <w:lang w:val="en-GB"/>
        </w:rPr>
        <w:t xml:space="preserve"> (Excel and MATL</w:t>
      </w:r>
      <w:r w:rsidR="003933A0">
        <w:rPr>
          <w:lang w:val="en-GB"/>
        </w:rPr>
        <w:t>A</w:t>
      </w:r>
      <w:r w:rsidR="00B11C80">
        <w:rPr>
          <w:lang w:val="en-GB"/>
        </w:rPr>
        <w:t>B files)</w:t>
      </w:r>
      <w:r w:rsidR="00110CE9" w:rsidRPr="00B15C43">
        <w:rPr>
          <w:lang w:val="en-GB"/>
        </w:rPr>
        <w:t>, and integrated process simulations</w:t>
      </w:r>
      <w:r w:rsidR="00B11C80">
        <w:rPr>
          <w:lang w:val="en-GB"/>
        </w:rPr>
        <w:t xml:space="preserve"> (Aspen Plus Simulations)</w:t>
      </w:r>
      <w:r w:rsidR="00110CE9" w:rsidRPr="00B15C43">
        <w:rPr>
          <w:lang w:val="en-GB"/>
        </w:rPr>
        <w:t xml:space="preserve">. </w:t>
      </w:r>
      <w:r w:rsidR="00CB4B46">
        <w:rPr>
          <w:lang w:val="en-GB"/>
        </w:rPr>
        <w:t>SESAME’s</w:t>
      </w:r>
      <w:r w:rsidR="00110CE9" w:rsidRPr="00B15C43">
        <w:rPr>
          <w:lang w:val="en-GB"/>
        </w:rPr>
        <w:t xml:space="preserve"> modular framework constitutes the underlying analytical engine that covers the life </w:t>
      </w:r>
      <w:r w:rsidR="00A5327F">
        <w:rPr>
          <w:lang w:val="en-GB"/>
        </w:rPr>
        <w:t xml:space="preserve">cycle </w:t>
      </w:r>
      <w:r w:rsidR="00F00CC9">
        <w:rPr>
          <w:lang w:val="en-GB"/>
        </w:rPr>
        <w:t>step</w:t>
      </w:r>
      <w:r w:rsidR="00110CE9" w:rsidRPr="00B15C43">
        <w:rPr>
          <w:lang w:val="en-GB"/>
        </w:rPr>
        <w:t xml:space="preserve">s of major energy conversion pathways. The </w:t>
      </w:r>
      <w:r w:rsidR="00110CE9">
        <w:rPr>
          <w:lang w:val="en-GB"/>
        </w:rPr>
        <w:t>first</w:t>
      </w:r>
      <w:r w:rsidR="00110CE9" w:rsidRPr="00B15C43">
        <w:rPr>
          <w:lang w:val="en-GB"/>
        </w:rPr>
        <w:t xml:space="preserve"> version of the tool contains more than </w:t>
      </w:r>
      <w:r w:rsidR="00131C98">
        <w:rPr>
          <w:lang w:val="en-GB"/>
        </w:rPr>
        <w:t>1300</w:t>
      </w:r>
      <w:r w:rsidR="00110CE9" w:rsidRPr="00B15C43">
        <w:rPr>
          <w:lang w:val="en-GB"/>
        </w:rPr>
        <w:t xml:space="preserve"> individual pathways</w:t>
      </w:r>
      <w:r w:rsidR="00131C98">
        <w:rPr>
          <w:lang w:val="en-GB"/>
        </w:rPr>
        <w:t xml:space="preserve"> (as shown in Table 1)</w:t>
      </w:r>
      <w:r w:rsidR="00CB4B46">
        <w:rPr>
          <w:lang w:val="en-GB"/>
        </w:rPr>
        <w:t xml:space="preserve">, </w:t>
      </w:r>
      <w:r w:rsidR="00110CE9" w:rsidRPr="00B15C43">
        <w:rPr>
          <w:lang w:val="en-GB"/>
        </w:rPr>
        <w:t xml:space="preserve">which are responsible for ~80% of US greenhouse gas (GHG) emissions. </w:t>
      </w:r>
      <w:r w:rsidR="008C340C">
        <w:rPr>
          <w:lang w:val="en-GB"/>
        </w:rPr>
        <w:t>D</w:t>
      </w:r>
      <w:r w:rsidR="00110CE9" w:rsidRPr="00B15C43">
        <w:rPr>
          <w:lang w:val="en-GB"/>
        </w:rPr>
        <w:t xml:space="preserve">etailed process simulation capabilities have been incorporated for in-depth </w:t>
      </w:r>
      <w:r w:rsidR="00F2368F" w:rsidRPr="00B15C43">
        <w:rPr>
          <w:lang w:val="en-GB"/>
        </w:rPr>
        <w:t>analysis</w:t>
      </w:r>
      <w:r w:rsidR="008C340C">
        <w:rPr>
          <w:lang w:val="en-GB"/>
        </w:rPr>
        <w:t xml:space="preserve"> of </w:t>
      </w:r>
      <w:r w:rsidR="0018194D">
        <w:rPr>
          <w:lang w:val="en-GB"/>
        </w:rPr>
        <w:t xml:space="preserve">the </w:t>
      </w:r>
      <w:r w:rsidR="008C340C">
        <w:rPr>
          <w:lang w:val="en-GB"/>
        </w:rPr>
        <w:t xml:space="preserve">majority of conversion processes, such as power generation, biorefining, production of hydrogen, methanol, and dimethyl ether (DME).  </w:t>
      </w:r>
    </w:p>
    <w:p w14:paraId="3F4D3079" w14:textId="744107A3" w:rsidR="00096E45" w:rsidRDefault="00110CE9" w:rsidP="00110CE9">
      <w:pPr>
        <w:rPr>
          <w:lang w:val="en-GB"/>
        </w:rPr>
      </w:pPr>
      <w:r w:rsidRPr="00B15C43">
        <w:rPr>
          <w:lang w:val="en-GB"/>
        </w:rPr>
        <w:t>Th</w:t>
      </w:r>
      <w:r>
        <w:rPr>
          <w:lang w:val="en-GB"/>
        </w:rPr>
        <w:t>is paper</w:t>
      </w:r>
      <w:r w:rsidRPr="00B15C43">
        <w:rPr>
          <w:lang w:val="en-GB"/>
        </w:rPr>
        <w:t xml:space="preserve"> focu</w:t>
      </w:r>
      <w:r>
        <w:rPr>
          <w:lang w:val="en-GB"/>
        </w:rPr>
        <w:t>ses</w:t>
      </w:r>
      <w:r w:rsidRPr="00B15C43">
        <w:rPr>
          <w:lang w:val="en-GB"/>
        </w:rPr>
        <w:t xml:space="preserve"> on </w:t>
      </w:r>
      <w:r w:rsidR="001579B6">
        <w:rPr>
          <w:lang w:val="en-GB"/>
        </w:rPr>
        <w:t>an</w:t>
      </w:r>
      <w:r w:rsidRPr="00B15C43">
        <w:rPr>
          <w:lang w:val="en-GB"/>
        </w:rPr>
        <w:t xml:space="preserve"> overview of the tool, the </w:t>
      </w:r>
      <w:r w:rsidR="00F2368F" w:rsidRPr="00B15C43">
        <w:rPr>
          <w:lang w:val="en-GB"/>
        </w:rPr>
        <w:t>modelling</w:t>
      </w:r>
      <w:r w:rsidRPr="00B15C43">
        <w:rPr>
          <w:lang w:val="en-GB"/>
        </w:rPr>
        <w:t xml:space="preserve"> approach</w:t>
      </w:r>
      <w:r w:rsidR="00A5327F">
        <w:rPr>
          <w:lang w:val="en-GB"/>
        </w:rPr>
        <w:t>,</w:t>
      </w:r>
      <w:r w:rsidRPr="00B15C43">
        <w:rPr>
          <w:lang w:val="en-GB"/>
        </w:rPr>
        <w:t xml:space="preserve"> as well as the results of case studies investigating </w:t>
      </w:r>
      <w:r w:rsidR="00096E45">
        <w:rPr>
          <w:lang w:val="en-GB"/>
        </w:rPr>
        <w:t>transportation and power sectors</w:t>
      </w:r>
      <w:r w:rsidRPr="00B15C43">
        <w:rPr>
          <w:lang w:val="en-GB"/>
        </w:rPr>
        <w:t xml:space="preserve">. </w:t>
      </w:r>
    </w:p>
    <w:p w14:paraId="0F495CAA" w14:textId="77777777" w:rsidR="008C3EDF" w:rsidRDefault="008C3EDF" w:rsidP="008C3EDF">
      <w:pPr>
        <w:pStyle w:val="Caption"/>
        <w:keepNext/>
      </w:pPr>
      <w:r w:rsidRPr="008C3EDF">
        <w:rPr>
          <w:b/>
        </w:rPr>
        <w:lastRenderedPageBreak/>
        <w:t xml:space="preserve">Table </w:t>
      </w:r>
      <w:r w:rsidRPr="008C3EDF">
        <w:rPr>
          <w:b/>
        </w:rPr>
        <w:fldChar w:fldCharType="begin"/>
      </w:r>
      <w:r w:rsidRPr="008C3EDF">
        <w:rPr>
          <w:b/>
        </w:rPr>
        <w:instrText xml:space="preserve"> SEQ Table \* ARABIC </w:instrText>
      </w:r>
      <w:r w:rsidRPr="008C3EDF">
        <w:rPr>
          <w:b/>
        </w:rPr>
        <w:fldChar w:fldCharType="separate"/>
      </w:r>
      <w:r w:rsidR="00DC321F">
        <w:rPr>
          <w:b/>
          <w:noProof/>
        </w:rPr>
        <w:t>1</w:t>
      </w:r>
      <w:r w:rsidRPr="008C3EDF">
        <w:rPr>
          <w:b/>
        </w:rPr>
        <w:fldChar w:fldCharType="end"/>
      </w:r>
      <w:r>
        <w:t xml:space="preserve"> </w:t>
      </w:r>
      <w:r>
        <w:rPr>
          <w:lang w:val="en-GB"/>
        </w:rPr>
        <w:t xml:space="preserve">LCA pathways covered by SESAME </w:t>
      </w:r>
    </w:p>
    <w:tbl>
      <w:tblPr>
        <w:tblW w:w="9769" w:type="dxa"/>
        <w:jc w:val="center"/>
        <w:tblLook w:val="04A0" w:firstRow="1" w:lastRow="0" w:firstColumn="1" w:lastColumn="0" w:noHBand="0" w:noVBand="1"/>
      </w:tblPr>
      <w:tblGrid>
        <w:gridCol w:w="2415"/>
        <w:gridCol w:w="1061"/>
        <w:gridCol w:w="1170"/>
        <w:gridCol w:w="861"/>
        <w:gridCol w:w="1341"/>
        <w:gridCol w:w="761"/>
        <w:gridCol w:w="1121"/>
        <w:gridCol w:w="1039"/>
      </w:tblGrid>
      <w:tr w:rsidR="00131C98" w:rsidRPr="00131C98" w14:paraId="6A3A73DB" w14:textId="77777777" w:rsidTr="00131C98">
        <w:trPr>
          <w:trHeight w:val="290"/>
          <w:jc w:val="center"/>
        </w:trPr>
        <w:tc>
          <w:tcPr>
            <w:tcW w:w="2415" w:type="dxa"/>
            <w:vMerge w:val="restart"/>
            <w:tcBorders>
              <w:top w:val="single" w:sz="4" w:space="0" w:color="auto"/>
              <w:left w:val="single" w:sz="4" w:space="0" w:color="auto"/>
              <w:bottom w:val="single" w:sz="4" w:space="0" w:color="000000"/>
              <w:right w:val="single" w:sz="4" w:space="0" w:color="auto"/>
            </w:tcBorders>
            <w:shd w:val="clear" w:color="auto" w:fill="D9D9D9" w:themeFill="background1" w:themeFillShade="D9"/>
            <w:noWrap/>
            <w:vAlign w:val="bottom"/>
            <w:hideMark/>
          </w:tcPr>
          <w:p w14:paraId="0C749CE9" w14:textId="77777777" w:rsidR="00131C98" w:rsidRPr="00131C98" w:rsidRDefault="00131C98" w:rsidP="00D624C2">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Feedstock to product</w:t>
            </w:r>
          </w:p>
        </w:tc>
        <w:tc>
          <w:tcPr>
            <w:tcW w:w="6315" w:type="dxa"/>
            <w:gridSpan w:val="6"/>
            <w:tcBorders>
              <w:top w:val="single" w:sz="4" w:space="0" w:color="auto"/>
              <w:left w:val="nil"/>
              <w:bottom w:val="single" w:sz="4" w:space="0" w:color="auto"/>
              <w:right w:val="single" w:sz="4" w:space="0" w:color="000000"/>
            </w:tcBorders>
            <w:shd w:val="clear" w:color="auto" w:fill="D9D9D9" w:themeFill="background1" w:themeFillShade="D9"/>
            <w:noWrap/>
            <w:vAlign w:val="bottom"/>
            <w:hideMark/>
          </w:tcPr>
          <w:p w14:paraId="70B43E21" w14:textId="77777777" w:rsidR="00131C98" w:rsidRPr="00131C98" w:rsidRDefault="00131C98" w:rsidP="00D624C2">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No. of options</w:t>
            </w:r>
          </w:p>
        </w:tc>
        <w:tc>
          <w:tcPr>
            <w:tcW w:w="1039" w:type="dxa"/>
            <w:vMerge w:val="restart"/>
            <w:tcBorders>
              <w:top w:val="single" w:sz="4" w:space="0" w:color="auto"/>
              <w:left w:val="single" w:sz="4" w:space="0" w:color="auto"/>
              <w:bottom w:val="single" w:sz="4" w:space="0" w:color="000000"/>
              <w:right w:val="single" w:sz="4" w:space="0" w:color="auto"/>
            </w:tcBorders>
            <w:shd w:val="clear" w:color="auto" w:fill="D9D9D9" w:themeFill="background1" w:themeFillShade="D9"/>
            <w:noWrap/>
            <w:vAlign w:val="bottom"/>
            <w:hideMark/>
          </w:tcPr>
          <w:p w14:paraId="4DC06DA0" w14:textId="77777777" w:rsidR="00131C98" w:rsidRPr="00131C98" w:rsidRDefault="00131C98" w:rsidP="00D624C2">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No. of Pathways</w:t>
            </w:r>
          </w:p>
        </w:tc>
      </w:tr>
      <w:tr w:rsidR="00131C98" w:rsidRPr="00131C98" w14:paraId="6D41F51E" w14:textId="77777777" w:rsidTr="00131C98">
        <w:trPr>
          <w:trHeight w:val="290"/>
          <w:jc w:val="center"/>
        </w:trPr>
        <w:tc>
          <w:tcPr>
            <w:tcW w:w="2415" w:type="dxa"/>
            <w:vMerge/>
            <w:tcBorders>
              <w:top w:val="single" w:sz="4" w:space="0" w:color="auto"/>
              <w:left w:val="single" w:sz="4" w:space="0" w:color="auto"/>
              <w:bottom w:val="single" w:sz="4" w:space="0" w:color="000000"/>
              <w:right w:val="single" w:sz="4" w:space="0" w:color="auto"/>
            </w:tcBorders>
            <w:vAlign w:val="center"/>
            <w:hideMark/>
          </w:tcPr>
          <w:p w14:paraId="5F7B8581" w14:textId="77777777" w:rsidR="00131C98" w:rsidRPr="00131C98" w:rsidRDefault="00131C98" w:rsidP="00D624C2">
            <w:pPr>
              <w:spacing w:after="0" w:line="240" w:lineRule="auto"/>
              <w:jc w:val="left"/>
              <w:rPr>
                <w:rFonts w:eastAsia="Times New Roman" w:cs="Times New Roman"/>
                <w:color w:val="000000"/>
                <w:sz w:val="20"/>
                <w:szCs w:val="20"/>
              </w:rPr>
            </w:pPr>
          </w:p>
        </w:tc>
        <w:tc>
          <w:tcPr>
            <w:tcW w:w="1061" w:type="dxa"/>
            <w:tcBorders>
              <w:top w:val="nil"/>
              <w:left w:val="nil"/>
              <w:bottom w:val="single" w:sz="4" w:space="0" w:color="auto"/>
              <w:right w:val="single" w:sz="4" w:space="0" w:color="auto"/>
            </w:tcBorders>
            <w:shd w:val="clear" w:color="auto" w:fill="D9D9D9" w:themeFill="background1" w:themeFillShade="D9"/>
            <w:noWrap/>
            <w:vAlign w:val="bottom"/>
            <w:hideMark/>
          </w:tcPr>
          <w:p w14:paraId="20BD83C0" w14:textId="77777777" w:rsidR="00131C98" w:rsidRPr="00131C98" w:rsidRDefault="00131C98" w:rsidP="0095394C">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Upstream</w:t>
            </w:r>
          </w:p>
        </w:tc>
        <w:tc>
          <w:tcPr>
            <w:tcW w:w="1170" w:type="dxa"/>
            <w:tcBorders>
              <w:top w:val="nil"/>
              <w:left w:val="nil"/>
              <w:bottom w:val="single" w:sz="4" w:space="0" w:color="auto"/>
              <w:right w:val="single" w:sz="4" w:space="0" w:color="auto"/>
            </w:tcBorders>
            <w:shd w:val="clear" w:color="auto" w:fill="D9D9D9" w:themeFill="background1" w:themeFillShade="D9"/>
            <w:noWrap/>
            <w:vAlign w:val="bottom"/>
            <w:hideMark/>
          </w:tcPr>
          <w:p w14:paraId="21742715" w14:textId="77777777" w:rsidR="00131C98" w:rsidRPr="00131C98" w:rsidRDefault="00131C98" w:rsidP="0095394C">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Midstream</w:t>
            </w:r>
          </w:p>
        </w:tc>
        <w:tc>
          <w:tcPr>
            <w:tcW w:w="861" w:type="dxa"/>
            <w:tcBorders>
              <w:top w:val="nil"/>
              <w:left w:val="nil"/>
              <w:bottom w:val="single" w:sz="4" w:space="0" w:color="auto"/>
              <w:right w:val="single" w:sz="4" w:space="0" w:color="auto"/>
            </w:tcBorders>
            <w:shd w:val="clear" w:color="auto" w:fill="D9D9D9" w:themeFill="background1" w:themeFillShade="D9"/>
            <w:noWrap/>
            <w:vAlign w:val="bottom"/>
            <w:hideMark/>
          </w:tcPr>
          <w:p w14:paraId="000C0B4D" w14:textId="77777777" w:rsidR="00131C98" w:rsidRPr="00131C98" w:rsidRDefault="00131C98" w:rsidP="0095394C">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Process</w:t>
            </w:r>
          </w:p>
        </w:tc>
        <w:tc>
          <w:tcPr>
            <w:tcW w:w="1341" w:type="dxa"/>
            <w:tcBorders>
              <w:top w:val="nil"/>
              <w:left w:val="nil"/>
              <w:bottom w:val="single" w:sz="4" w:space="0" w:color="auto"/>
              <w:right w:val="single" w:sz="4" w:space="0" w:color="auto"/>
            </w:tcBorders>
            <w:shd w:val="clear" w:color="auto" w:fill="D9D9D9" w:themeFill="background1" w:themeFillShade="D9"/>
            <w:noWrap/>
            <w:vAlign w:val="bottom"/>
            <w:hideMark/>
          </w:tcPr>
          <w:p w14:paraId="691A4510" w14:textId="77777777" w:rsidR="00131C98" w:rsidRPr="00131C98" w:rsidRDefault="00131C98" w:rsidP="0095394C">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Gate to User</w:t>
            </w:r>
          </w:p>
        </w:tc>
        <w:tc>
          <w:tcPr>
            <w:tcW w:w="761" w:type="dxa"/>
            <w:tcBorders>
              <w:top w:val="nil"/>
              <w:left w:val="nil"/>
              <w:bottom w:val="single" w:sz="4" w:space="0" w:color="auto"/>
              <w:right w:val="single" w:sz="4" w:space="0" w:color="auto"/>
            </w:tcBorders>
            <w:shd w:val="clear" w:color="auto" w:fill="D9D9D9" w:themeFill="background1" w:themeFillShade="D9"/>
            <w:noWrap/>
            <w:vAlign w:val="bottom"/>
            <w:hideMark/>
          </w:tcPr>
          <w:p w14:paraId="2FD86A94" w14:textId="77777777" w:rsidR="00131C98" w:rsidRPr="00131C98" w:rsidRDefault="00131C98" w:rsidP="0095394C">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CCUS</w:t>
            </w:r>
          </w:p>
        </w:tc>
        <w:tc>
          <w:tcPr>
            <w:tcW w:w="1121" w:type="dxa"/>
            <w:tcBorders>
              <w:top w:val="nil"/>
              <w:left w:val="nil"/>
              <w:bottom w:val="single" w:sz="4" w:space="0" w:color="auto"/>
              <w:right w:val="single" w:sz="4" w:space="0" w:color="auto"/>
            </w:tcBorders>
            <w:shd w:val="clear" w:color="auto" w:fill="D9D9D9" w:themeFill="background1" w:themeFillShade="D9"/>
            <w:noWrap/>
            <w:vAlign w:val="bottom"/>
            <w:hideMark/>
          </w:tcPr>
          <w:p w14:paraId="1C7D893C" w14:textId="77777777" w:rsidR="00131C98" w:rsidRPr="00131C98" w:rsidRDefault="00131C98" w:rsidP="0095394C">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End Use</w:t>
            </w:r>
          </w:p>
        </w:tc>
        <w:tc>
          <w:tcPr>
            <w:tcW w:w="1039" w:type="dxa"/>
            <w:vMerge/>
            <w:tcBorders>
              <w:top w:val="single" w:sz="4" w:space="0" w:color="auto"/>
              <w:left w:val="single" w:sz="4" w:space="0" w:color="auto"/>
              <w:bottom w:val="single" w:sz="4" w:space="0" w:color="000000"/>
              <w:right w:val="single" w:sz="4" w:space="0" w:color="auto"/>
            </w:tcBorders>
            <w:vAlign w:val="center"/>
            <w:hideMark/>
          </w:tcPr>
          <w:p w14:paraId="170671A1" w14:textId="77777777" w:rsidR="00131C98" w:rsidRPr="00131C98" w:rsidRDefault="00131C98" w:rsidP="0095394C">
            <w:pPr>
              <w:spacing w:after="0" w:line="240" w:lineRule="auto"/>
              <w:jc w:val="center"/>
              <w:rPr>
                <w:rFonts w:eastAsia="Times New Roman" w:cs="Times New Roman"/>
                <w:color w:val="000000"/>
                <w:sz w:val="20"/>
                <w:szCs w:val="20"/>
              </w:rPr>
            </w:pPr>
          </w:p>
        </w:tc>
      </w:tr>
      <w:tr w:rsidR="00131C98" w:rsidRPr="00131C98" w14:paraId="00C41DD6"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1665729E"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Crude-to-gasoline</w:t>
            </w:r>
          </w:p>
        </w:tc>
        <w:tc>
          <w:tcPr>
            <w:tcW w:w="1061" w:type="dxa"/>
            <w:tcBorders>
              <w:top w:val="nil"/>
              <w:left w:val="nil"/>
              <w:bottom w:val="nil"/>
              <w:right w:val="single" w:sz="4" w:space="0" w:color="auto"/>
            </w:tcBorders>
            <w:shd w:val="clear" w:color="auto" w:fill="auto"/>
            <w:noWrap/>
            <w:vAlign w:val="bottom"/>
            <w:hideMark/>
          </w:tcPr>
          <w:p w14:paraId="4CEACE78"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170" w:type="dxa"/>
            <w:tcBorders>
              <w:top w:val="nil"/>
              <w:left w:val="nil"/>
              <w:bottom w:val="nil"/>
              <w:right w:val="single" w:sz="4" w:space="0" w:color="auto"/>
            </w:tcBorders>
            <w:shd w:val="clear" w:color="auto" w:fill="auto"/>
            <w:noWrap/>
            <w:vAlign w:val="bottom"/>
            <w:hideMark/>
          </w:tcPr>
          <w:p w14:paraId="66FFBED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861" w:type="dxa"/>
            <w:tcBorders>
              <w:top w:val="nil"/>
              <w:left w:val="nil"/>
              <w:bottom w:val="nil"/>
              <w:right w:val="single" w:sz="4" w:space="0" w:color="auto"/>
            </w:tcBorders>
            <w:shd w:val="clear" w:color="auto" w:fill="auto"/>
            <w:noWrap/>
            <w:vAlign w:val="bottom"/>
            <w:hideMark/>
          </w:tcPr>
          <w:p w14:paraId="7C49117F"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341" w:type="dxa"/>
            <w:tcBorders>
              <w:top w:val="nil"/>
              <w:left w:val="nil"/>
              <w:bottom w:val="nil"/>
              <w:right w:val="single" w:sz="4" w:space="0" w:color="auto"/>
            </w:tcBorders>
            <w:shd w:val="clear" w:color="auto" w:fill="auto"/>
            <w:noWrap/>
            <w:vAlign w:val="bottom"/>
            <w:hideMark/>
          </w:tcPr>
          <w:p w14:paraId="1A313BB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4</w:t>
            </w:r>
          </w:p>
        </w:tc>
        <w:tc>
          <w:tcPr>
            <w:tcW w:w="761" w:type="dxa"/>
            <w:tcBorders>
              <w:top w:val="nil"/>
              <w:left w:val="nil"/>
              <w:bottom w:val="nil"/>
              <w:right w:val="single" w:sz="4" w:space="0" w:color="auto"/>
            </w:tcBorders>
            <w:shd w:val="clear" w:color="auto" w:fill="auto"/>
            <w:noWrap/>
            <w:vAlign w:val="bottom"/>
            <w:hideMark/>
          </w:tcPr>
          <w:p w14:paraId="6DCC7148"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5722D1E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039" w:type="dxa"/>
            <w:tcBorders>
              <w:top w:val="nil"/>
              <w:left w:val="nil"/>
              <w:bottom w:val="nil"/>
              <w:right w:val="single" w:sz="4" w:space="0" w:color="auto"/>
            </w:tcBorders>
            <w:shd w:val="clear" w:color="auto" w:fill="auto"/>
            <w:noWrap/>
            <w:vAlign w:val="bottom"/>
            <w:hideMark/>
          </w:tcPr>
          <w:p w14:paraId="6DDADFAF"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288</w:t>
            </w:r>
          </w:p>
        </w:tc>
      </w:tr>
      <w:tr w:rsidR="00131C98" w:rsidRPr="00131C98" w14:paraId="746FACE1"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7EB94586"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Crude-to-diesel</w:t>
            </w:r>
          </w:p>
        </w:tc>
        <w:tc>
          <w:tcPr>
            <w:tcW w:w="1061" w:type="dxa"/>
            <w:tcBorders>
              <w:top w:val="nil"/>
              <w:left w:val="nil"/>
              <w:bottom w:val="nil"/>
              <w:right w:val="single" w:sz="4" w:space="0" w:color="auto"/>
            </w:tcBorders>
            <w:shd w:val="clear" w:color="auto" w:fill="auto"/>
            <w:noWrap/>
            <w:vAlign w:val="bottom"/>
            <w:hideMark/>
          </w:tcPr>
          <w:p w14:paraId="24AD1B0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170" w:type="dxa"/>
            <w:tcBorders>
              <w:top w:val="nil"/>
              <w:left w:val="nil"/>
              <w:bottom w:val="nil"/>
              <w:right w:val="single" w:sz="4" w:space="0" w:color="auto"/>
            </w:tcBorders>
            <w:shd w:val="clear" w:color="auto" w:fill="auto"/>
            <w:noWrap/>
            <w:vAlign w:val="bottom"/>
            <w:hideMark/>
          </w:tcPr>
          <w:p w14:paraId="1FF25F11"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861" w:type="dxa"/>
            <w:tcBorders>
              <w:top w:val="nil"/>
              <w:left w:val="nil"/>
              <w:bottom w:val="nil"/>
              <w:right w:val="single" w:sz="4" w:space="0" w:color="auto"/>
            </w:tcBorders>
            <w:shd w:val="clear" w:color="auto" w:fill="auto"/>
            <w:noWrap/>
            <w:vAlign w:val="bottom"/>
            <w:hideMark/>
          </w:tcPr>
          <w:p w14:paraId="3035D742"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341" w:type="dxa"/>
            <w:tcBorders>
              <w:top w:val="nil"/>
              <w:left w:val="nil"/>
              <w:bottom w:val="nil"/>
              <w:right w:val="single" w:sz="4" w:space="0" w:color="auto"/>
            </w:tcBorders>
            <w:shd w:val="clear" w:color="auto" w:fill="auto"/>
            <w:noWrap/>
            <w:vAlign w:val="bottom"/>
            <w:hideMark/>
          </w:tcPr>
          <w:p w14:paraId="1C8FCEC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4</w:t>
            </w:r>
          </w:p>
        </w:tc>
        <w:tc>
          <w:tcPr>
            <w:tcW w:w="761" w:type="dxa"/>
            <w:tcBorders>
              <w:top w:val="nil"/>
              <w:left w:val="nil"/>
              <w:bottom w:val="nil"/>
              <w:right w:val="single" w:sz="4" w:space="0" w:color="auto"/>
            </w:tcBorders>
            <w:shd w:val="clear" w:color="auto" w:fill="auto"/>
            <w:noWrap/>
            <w:vAlign w:val="bottom"/>
            <w:hideMark/>
          </w:tcPr>
          <w:p w14:paraId="53FC6CE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15EBA8A0"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039" w:type="dxa"/>
            <w:tcBorders>
              <w:top w:val="nil"/>
              <w:left w:val="nil"/>
              <w:bottom w:val="nil"/>
              <w:right w:val="single" w:sz="4" w:space="0" w:color="auto"/>
            </w:tcBorders>
            <w:shd w:val="clear" w:color="auto" w:fill="auto"/>
            <w:noWrap/>
            <w:vAlign w:val="bottom"/>
            <w:hideMark/>
          </w:tcPr>
          <w:p w14:paraId="0CB0C484"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288</w:t>
            </w:r>
          </w:p>
        </w:tc>
      </w:tr>
      <w:tr w:rsidR="00131C98" w:rsidRPr="00131C98" w14:paraId="2AEDE561"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7B482507"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Coal-to-electricity</w:t>
            </w:r>
          </w:p>
        </w:tc>
        <w:tc>
          <w:tcPr>
            <w:tcW w:w="1061" w:type="dxa"/>
            <w:tcBorders>
              <w:top w:val="nil"/>
              <w:left w:val="nil"/>
              <w:bottom w:val="nil"/>
              <w:right w:val="single" w:sz="4" w:space="0" w:color="auto"/>
            </w:tcBorders>
            <w:shd w:val="clear" w:color="auto" w:fill="auto"/>
            <w:noWrap/>
            <w:vAlign w:val="bottom"/>
            <w:hideMark/>
          </w:tcPr>
          <w:p w14:paraId="19C16FF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170" w:type="dxa"/>
            <w:tcBorders>
              <w:top w:val="nil"/>
              <w:left w:val="nil"/>
              <w:bottom w:val="nil"/>
              <w:right w:val="single" w:sz="4" w:space="0" w:color="auto"/>
            </w:tcBorders>
            <w:shd w:val="clear" w:color="auto" w:fill="auto"/>
            <w:noWrap/>
            <w:vAlign w:val="bottom"/>
            <w:hideMark/>
          </w:tcPr>
          <w:p w14:paraId="2CF0F1E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861" w:type="dxa"/>
            <w:tcBorders>
              <w:top w:val="nil"/>
              <w:left w:val="nil"/>
              <w:bottom w:val="nil"/>
              <w:right w:val="single" w:sz="4" w:space="0" w:color="auto"/>
            </w:tcBorders>
            <w:shd w:val="clear" w:color="auto" w:fill="auto"/>
            <w:noWrap/>
            <w:vAlign w:val="bottom"/>
            <w:hideMark/>
          </w:tcPr>
          <w:p w14:paraId="327E0ED4"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341" w:type="dxa"/>
            <w:tcBorders>
              <w:top w:val="nil"/>
              <w:left w:val="nil"/>
              <w:bottom w:val="nil"/>
              <w:right w:val="single" w:sz="4" w:space="0" w:color="auto"/>
            </w:tcBorders>
            <w:shd w:val="clear" w:color="auto" w:fill="auto"/>
            <w:noWrap/>
            <w:vAlign w:val="bottom"/>
            <w:hideMark/>
          </w:tcPr>
          <w:p w14:paraId="290BACE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3FF554F0"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41C8636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3F9AA662"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54</w:t>
            </w:r>
          </w:p>
        </w:tc>
      </w:tr>
      <w:tr w:rsidR="00131C98" w:rsidRPr="00131C98" w14:paraId="57BFB02C"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038583AC"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Gas-to-hydrogen</w:t>
            </w:r>
          </w:p>
        </w:tc>
        <w:tc>
          <w:tcPr>
            <w:tcW w:w="1061" w:type="dxa"/>
            <w:tcBorders>
              <w:top w:val="nil"/>
              <w:left w:val="nil"/>
              <w:bottom w:val="nil"/>
              <w:right w:val="single" w:sz="4" w:space="0" w:color="auto"/>
            </w:tcBorders>
            <w:shd w:val="clear" w:color="auto" w:fill="auto"/>
            <w:noWrap/>
            <w:vAlign w:val="bottom"/>
            <w:hideMark/>
          </w:tcPr>
          <w:p w14:paraId="3419114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70" w:type="dxa"/>
            <w:tcBorders>
              <w:top w:val="nil"/>
              <w:left w:val="nil"/>
              <w:bottom w:val="nil"/>
              <w:right w:val="single" w:sz="4" w:space="0" w:color="auto"/>
            </w:tcBorders>
            <w:shd w:val="clear" w:color="auto" w:fill="auto"/>
            <w:noWrap/>
            <w:vAlign w:val="bottom"/>
            <w:hideMark/>
          </w:tcPr>
          <w:p w14:paraId="40B7FE8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6</w:t>
            </w:r>
          </w:p>
        </w:tc>
        <w:tc>
          <w:tcPr>
            <w:tcW w:w="861" w:type="dxa"/>
            <w:tcBorders>
              <w:top w:val="nil"/>
              <w:left w:val="nil"/>
              <w:bottom w:val="nil"/>
              <w:right w:val="single" w:sz="4" w:space="0" w:color="auto"/>
            </w:tcBorders>
            <w:shd w:val="clear" w:color="auto" w:fill="auto"/>
            <w:noWrap/>
            <w:vAlign w:val="bottom"/>
            <w:hideMark/>
          </w:tcPr>
          <w:p w14:paraId="6DAC239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341" w:type="dxa"/>
            <w:tcBorders>
              <w:top w:val="nil"/>
              <w:left w:val="nil"/>
              <w:bottom w:val="nil"/>
              <w:right w:val="single" w:sz="4" w:space="0" w:color="auto"/>
            </w:tcBorders>
            <w:shd w:val="clear" w:color="auto" w:fill="auto"/>
            <w:noWrap/>
            <w:vAlign w:val="bottom"/>
            <w:hideMark/>
          </w:tcPr>
          <w:p w14:paraId="7FDE013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761" w:type="dxa"/>
            <w:tcBorders>
              <w:top w:val="nil"/>
              <w:left w:val="nil"/>
              <w:bottom w:val="nil"/>
              <w:right w:val="single" w:sz="4" w:space="0" w:color="auto"/>
            </w:tcBorders>
            <w:shd w:val="clear" w:color="auto" w:fill="auto"/>
            <w:noWrap/>
            <w:vAlign w:val="bottom"/>
            <w:hideMark/>
          </w:tcPr>
          <w:p w14:paraId="02E17F04"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1FD25C7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039" w:type="dxa"/>
            <w:tcBorders>
              <w:top w:val="nil"/>
              <w:left w:val="nil"/>
              <w:bottom w:val="nil"/>
              <w:right w:val="single" w:sz="4" w:space="0" w:color="auto"/>
            </w:tcBorders>
            <w:shd w:val="clear" w:color="auto" w:fill="auto"/>
            <w:noWrap/>
            <w:vAlign w:val="bottom"/>
            <w:hideMark/>
          </w:tcPr>
          <w:p w14:paraId="643170C2"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288</w:t>
            </w:r>
          </w:p>
        </w:tc>
      </w:tr>
      <w:tr w:rsidR="00131C98" w:rsidRPr="00131C98" w14:paraId="0A2050D9"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6FD65ED3"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Gas-to-LNG (fuel)</w:t>
            </w:r>
          </w:p>
        </w:tc>
        <w:tc>
          <w:tcPr>
            <w:tcW w:w="1061" w:type="dxa"/>
            <w:tcBorders>
              <w:top w:val="nil"/>
              <w:left w:val="nil"/>
              <w:bottom w:val="nil"/>
              <w:right w:val="single" w:sz="4" w:space="0" w:color="auto"/>
            </w:tcBorders>
            <w:shd w:val="clear" w:color="auto" w:fill="auto"/>
            <w:noWrap/>
            <w:vAlign w:val="bottom"/>
            <w:hideMark/>
          </w:tcPr>
          <w:p w14:paraId="0E00B280"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70" w:type="dxa"/>
            <w:tcBorders>
              <w:top w:val="nil"/>
              <w:left w:val="nil"/>
              <w:bottom w:val="nil"/>
              <w:right w:val="single" w:sz="4" w:space="0" w:color="auto"/>
            </w:tcBorders>
            <w:shd w:val="clear" w:color="auto" w:fill="auto"/>
            <w:noWrap/>
            <w:vAlign w:val="bottom"/>
            <w:hideMark/>
          </w:tcPr>
          <w:p w14:paraId="4BCC9711"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861" w:type="dxa"/>
            <w:tcBorders>
              <w:top w:val="nil"/>
              <w:left w:val="nil"/>
              <w:bottom w:val="nil"/>
              <w:right w:val="single" w:sz="4" w:space="0" w:color="auto"/>
            </w:tcBorders>
            <w:shd w:val="clear" w:color="auto" w:fill="auto"/>
            <w:noWrap/>
            <w:vAlign w:val="bottom"/>
            <w:hideMark/>
          </w:tcPr>
          <w:p w14:paraId="02CC345B"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6F013DF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761" w:type="dxa"/>
            <w:tcBorders>
              <w:top w:val="nil"/>
              <w:left w:val="nil"/>
              <w:bottom w:val="nil"/>
              <w:right w:val="single" w:sz="4" w:space="0" w:color="auto"/>
            </w:tcBorders>
            <w:shd w:val="clear" w:color="auto" w:fill="auto"/>
            <w:noWrap/>
            <w:vAlign w:val="bottom"/>
            <w:hideMark/>
          </w:tcPr>
          <w:p w14:paraId="1DB3A57F"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0FE0C57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3D0529C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8</w:t>
            </w:r>
          </w:p>
        </w:tc>
      </w:tr>
      <w:tr w:rsidR="00131C98" w:rsidRPr="00131C98" w14:paraId="6F7C125F"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14CA45FD"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Gas-to-CNG (fuel)</w:t>
            </w:r>
          </w:p>
        </w:tc>
        <w:tc>
          <w:tcPr>
            <w:tcW w:w="1061" w:type="dxa"/>
            <w:tcBorders>
              <w:top w:val="nil"/>
              <w:left w:val="nil"/>
              <w:bottom w:val="nil"/>
              <w:right w:val="single" w:sz="4" w:space="0" w:color="auto"/>
            </w:tcBorders>
            <w:shd w:val="clear" w:color="auto" w:fill="auto"/>
            <w:noWrap/>
            <w:vAlign w:val="bottom"/>
            <w:hideMark/>
          </w:tcPr>
          <w:p w14:paraId="2EEBB462"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70" w:type="dxa"/>
            <w:tcBorders>
              <w:top w:val="nil"/>
              <w:left w:val="nil"/>
              <w:bottom w:val="nil"/>
              <w:right w:val="single" w:sz="4" w:space="0" w:color="auto"/>
            </w:tcBorders>
            <w:shd w:val="clear" w:color="auto" w:fill="auto"/>
            <w:noWrap/>
            <w:vAlign w:val="bottom"/>
            <w:hideMark/>
          </w:tcPr>
          <w:p w14:paraId="2373D34B"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861" w:type="dxa"/>
            <w:tcBorders>
              <w:top w:val="nil"/>
              <w:left w:val="nil"/>
              <w:bottom w:val="nil"/>
              <w:right w:val="single" w:sz="4" w:space="0" w:color="auto"/>
            </w:tcBorders>
            <w:shd w:val="clear" w:color="auto" w:fill="auto"/>
            <w:noWrap/>
            <w:vAlign w:val="bottom"/>
            <w:hideMark/>
          </w:tcPr>
          <w:p w14:paraId="2D7DA6DC"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48770BC1"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761" w:type="dxa"/>
            <w:tcBorders>
              <w:top w:val="nil"/>
              <w:left w:val="nil"/>
              <w:bottom w:val="nil"/>
              <w:right w:val="single" w:sz="4" w:space="0" w:color="auto"/>
            </w:tcBorders>
            <w:shd w:val="clear" w:color="auto" w:fill="auto"/>
            <w:noWrap/>
            <w:vAlign w:val="bottom"/>
            <w:hideMark/>
          </w:tcPr>
          <w:p w14:paraId="1A0AD00B"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2BDC032C"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039" w:type="dxa"/>
            <w:tcBorders>
              <w:top w:val="nil"/>
              <w:left w:val="nil"/>
              <w:bottom w:val="nil"/>
              <w:right w:val="single" w:sz="4" w:space="0" w:color="auto"/>
            </w:tcBorders>
            <w:shd w:val="clear" w:color="auto" w:fill="auto"/>
            <w:noWrap/>
            <w:vAlign w:val="bottom"/>
            <w:hideMark/>
          </w:tcPr>
          <w:p w14:paraId="32728C4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24</w:t>
            </w:r>
          </w:p>
        </w:tc>
      </w:tr>
      <w:tr w:rsidR="00131C98" w:rsidRPr="00131C98" w14:paraId="3181D5E2"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05D9C884"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Crude-to-LPG</w:t>
            </w:r>
          </w:p>
        </w:tc>
        <w:tc>
          <w:tcPr>
            <w:tcW w:w="1061" w:type="dxa"/>
            <w:tcBorders>
              <w:top w:val="nil"/>
              <w:left w:val="nil"/>
              <w:bottom w:val="nil"/>
              <w:right w:val="single" w:sz="4" w:space="0" w:color="auto"/>
            </w:tcBorders>
            <w:shd w:val="clear" w:color="auto" w:fill="auto"/>
            <w:noWrap/>
            <w:vAlign w:val="bottom"/>
            <w:hideMark/>
          </w:tcPr>
          <w:p w14:paraId="0EEE2920"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170" w:type="dxa"/>
            <w:tcBorders>
              <w:top w:val="nil"/>
              <w:left w:val="nil"/>
              <w:bottom w:val="nil"/>
              <w:right w:val="single" w:sz="4" w:space="0" w:color="auto"/>
            </w:tcBorders>
            <w:shd w:val="clear" w:color="auto" w:fill="auto"/>
            <w:noWrap/>
            <w:vAlign w:val="bottom"/>
            <w:hideMark/>
          </w:tcPr>
          <w:p w14:paraId="61AC7AC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861" w:type="dxa"/>
            <w:tcBorders>
              <w:top w:val="nil"/>
              <w:left w:val="nil"/>
              <w:bottom w:val="nil"/>
              <w:right w:val="single" w:sz="4" w:space="0" w:color="auto"/>
            </w:tcBorders>
            <w:shd w:val="clear" w:color="auto" w:fill="auto"/>
            <w:noWrap/>
            <w:vAlign w:val="bottom"/>
            <w:hideMark/>
          </w:tcPr>
          <w:p w14:paraId="30F003EF"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341" w:type="dxa"/>
            <w:tcBorders>
              <w:top w:val="nil"/>
              <w:left w:val="nil"/>
              <w:bottom w:val="nil"/>
              <w:right w:val="single" w:sz="4" w:space="0" w:color="auto"/>
            </w:tcBorders>
            <w:shd w:val="clear" w:color="auto" w:fill="auto"/>
            <w:noWrap/>
            <w:vAlign w:val="bottom"/>
            <w:hideMark/>
          </w:tcPr>
          <w:p w14:paraId="02D3AC2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4</w:t>
            </w:r>
          </w:p>
        </w:tc>
        <w:tc>
          <w:tcPr>
            <w:tcW w:w="761" w:type="dxa"/>
            <w:tcBorders>
              <w:top w:val="nil"/>
              <w:left w:val="nil"/>
              <w:bottom w:val="nil"/>
              <w:right w:val="single" w:sz="4" w:space="0" w:color="auto"/>
            </w:tcBorders>
            <w:shd w:val="clear" w:color="auto" w:fill="auto"/>
            <w:noWrap/>
            <w:vAlign w:val="bottom"/>
            <w:hideMark/>
          </w:tcPr>
          <w:p w14:paraId="0D806D8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12F766BC"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382D00BB"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144</w:t>
            </w:r>
          </w:p>
        </w:tc>
      </w:tr>
      <w:tr w:rsidR="00131C98" w:rsidRPr="00131C98" w14:paraId="0212B99B"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5CF711AC"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Gas-to-LPG</w:t>
            </w:r>
          </w:p>
        </w:tc>
        <w:tc>
          <w:tcPr>
            <w:tcW w:w="1061" w:type="dxa"/>
            <w:tcBorders>
              <w:top w:val="nil"/>
              <w:left w:val="nil"/>
              <w:bottom w:val="nil"/>
              <w:right w:val="single" w:sz="4" w:space="0" w:color="auto"/>
            </w:tcBorders>
            <w:shd w:val="clear" w:color="auto" w:fill="auto"/>
            <w:noWrap/>
            <w:vAlign w:val="bottom"/>
            <w:hideMark/>
          </w:tcPr>
          <w:p w14:paraId="0D6DD3C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70" w:type="dxa"/>
            <w:tcBorders>
              <w:top w:val="nil"/>
              <w:left w:val="nil"/>
              <w:bottom w:val="nil"/>
              <w:right w:val="single" w:sz="4" w:space="0" w:color="auto"/>
            </w:tcBorders>
            <w:shd w:val="clear" w:color="auto" w:fill="auto"/>
            <w:noWrap/>
            <w:vAlign w:val="bottom"/>
            <w:hideMark/>
          </w:tcPr>
          <w:p w14:paraId="4961EFB4"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861" w:type="dxa"/>
            <w:tcBorders>
              <w:top w:val="nil"/>
              <w:left w:val="nil"/>
              <w:bottom w:val="nil"/>
              <w:right w:val="single" w:sz="4" w:space="0" w:color="auto"/>
            </w:tcBorders>
            <w:shd w:val="clear" w:color="auto" w:fill="auto"/>
            <w:noWrap/>
            <w:vAlign w:val="bottom"/>
            <w:hideMark/>
          </w:tcPr>
          <w:p w14:paraId="4D359CA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1CC707A9"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4</w:t>
            </w:r>
          </w:p>
        </w:tc>
        <w:tc>
          <w:tcPr>
            <w:tcW w:w="761" w:type="dxa"/>
            <w:tcBorders>
              <w:top w:val="nil"/>
              <w:left w:val="nil"/>
              <w:bottom w:val="nil"/>
              <w:right w:val="single" w:sz="4" w:space="0" w:color="auto"/>
            </w:tcBorders>
            <w:shd w:val="clear" w:color="auto" w:fill="auto"/>
            <w:noWrap/>
            <w:vAlign w:val="bottom"/>
            <w:hideMark/>
          </w:tcPr>
          <w:p w14:paraId="1A7DAE32"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629078CC"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5B7712A2"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16</w:t>
            </w:r>
          </w:p>
        </w:tc>
      </w:tr>
      <w:tr w:rsidR="00131C98" w:rsidRPr="00131C98" w14:paraId="54BF2928"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2367203D"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Gas-to-electricity</w:t>
            </w:r>
          </w:p>
        </w:tc>
        <w:tc>
          <w:tcPr>
            <w:tcW w:w="1061" w:type="dxa"/>
            <w:tcBorders>
              <w:top w:val="nil"/>
              <w:left w:val="nil"/>
              <w:bottom w:val="nil"/>
              <w:right w:val="single" w:sz="4" w:space="0" w:color="auto"/>
            </w:tcBorders>
            <w:shd w:val="clear" w:color="auto" w:fill="auto"/>
            <w:noWrap/>
            <w:vAlign w:val="bottom"/>
            <w:hideMark/>
          </w:tcPr>
          <w:p w14:paraId="464C8F1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70" w:type="dxa"/>
            <w:tcBorders>
              <w:top w:val="nil"/>
              <w:left w:val="nil"/>
              <w:bottom w:val="nil"/>
              <w:right w:val="single" w:sz="4" w:space="0" w:color="auto"/>
            </w:tcBorders>
            <w:shd w:val="clear" w:color="auto" w:fill="auto"/>
            <w:noWrap/>
            <w:vAlign w:val="bottom"/>
            <w:hideMark/>
          </w:tcPr>
          <w:p w14:paraId="021A486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6</w:t>
            </w:r>
          </w:p>
        </w:tc>
        <w:tc>
          <w:tcPr>
            <w:tcW w:w="861" w:type="dxa"/>
            <w:tcBorders>
              <w:top w:val="nil"/>
              <w:left w:val="nil"/>
              <w:bottom w:val="nil"/>
              <w:right w:val="single" w:sz="4" w:space="0" w:color="auto"/>
            </w:tcBorders>
            <w:shd w:val="clear" w:color="auto" w:fill="auto"/>
            <w:noWrap/>
            <w:vAlign w:val="bottom"/>
            <w:hideMark/>
          </w:tcPr>
          <w:p w14:paraId="4558C2E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4</w:t>
            </w:r>
          </w:p>
        </w:tc>
        <w:tc>
          <w:tcPr>
            <w:tcW w:w="1341" w:type="dxa"/>
            <w:tcBorders>
              <w:top w:val="nil"/>
              <w:left w:val="nil"/>
              <w:bottom w:val="nil"/>
              <w:right w:val="single" w:sz="4" w:space="0" w:color="auto"/>
            </w:tcBorders>
            <w:shd w:val="clear" w:color="auto" w:fill="auto"/>
            <w:noWrap/>
            <w:vAlign w:val="bottom"/>
            <w:hideMark/>
          </w:tcPr>
          <w:p w14:paraId="793AF5AF"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65F0278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4928F75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43A60FF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96</w:t>
            </w:r>
          </w:p>
        </w:tc>
      </w:tr>
      <w:tr w:rsidR="00131C98" w:rsidRPr="00131C98" w14:paraId="62E9A017"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449AC6BD"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Gas-to-dimethyl ether</w:t>
            </w:r>
          </w:p>
        </w:tc>
        <w:tc>
          <w:tcPr>
            <w:tcW w:w="1061" w:type="dxa"/>
            <w:tcBorders>
              <w:top w:val="nil"/>
              <w:left w:val="nil"/>
              <w:bottom w:val="nil"/>
              <w:right w:val="single" w:sz="4" w:space="0" w:color="auto"/>
            </w:tcBorders>
            <w:shd w:val="clear" w:color="auto" w:fill="auto"/>
            <w:noWrap/>
            <w:vAlign w:val="bottom"/>
            <w:hideMark/>
          </w:tcPr>
          <w:p w14:paraId="00C7070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70" w:type="dxa"/>
            <w:tcBorders>
              <w:top w:val="nil"/>
              <w:left w:val="nil"/>
              <w:bottom w:val="nil"/>
              <w:right w:val="single" w:sz="4" w:space="0" w:color="auto"/>
            </w:tcBorders>
            <w:shd w:val="clear" w:color="auto" w:fill="auto"/>
            <w:noWrap/>
            <w:vAlign w:val="bottom"/>
            <w:hideMark/>
          </w:tcPr>
          <w:p w14:paraId="6E6513CB"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6</w:t>
            </w:r>
          </w:p>
        </w:tc>
        <w:tc>
          <w:tcPr>
            <w:tcW w:w="861" w:type="dxa"/>
            <w:tcBorders>
              <w:top w:val="nil"/>
              <w:left w:val="nil"/>
              <w:bottom w:val="nil"/>
              <w:right w:val="single" w:sz="4" w:space="0" w:color="auto"/>
            </w:tcBorders>
            <w:shd w:val="clear" w:color="auto" w:fill="auto"/>
            <w:noWrap/>
            <w:vAlign w:val="bottom"/>
            <w:hideMark/>
          </w:tcPr>
          <w:p w14:paraId="36B54FC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64C356F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34ED413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0CEBA6E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476E0604"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24</w:t>
            </w:r>
          </w:p>
        </w:tc>
      </w:tr>
      <w:tr w:rsidR="00131C98" w:rsidRPr="00131C98" w14:paraId="0DB2D6B2"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37AF8DFD"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Gas-to-methanol</w:t>
            </w:r>
          </w:p>
        </w:tc>
        <w:tc>
          <w:tcPr>
            <w:tcW w:w="1061" w:type="dxa"/>
            <w:tcBorders>
              <w:top w:val="nil"/>
              <w:left w:val="nil"/>
              <w:bottom w:val="nil"/>
              <w:right w:val="single" w:sz="4" w:space="0" w:color="auto"/>
            </w:tcBorders>
            <w:shd w:val="clear" w:color="auto" w:fill="auto"/>
            <w:noWrap/>
            <w:vAlign w:val="bottom"/>
            <w:hideMark/>
          </w:tcPr>
          <w:p w14:paraId="64E6F182"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70" w:type="dxa"/>
            <w:tcBorders>
              <w:top w:val="nil"/>
              <w:left w:val="nil"/>
              <w:bottom w:val="nil"/>
              <w:right w:val="single" w:sz="4" w:space="0" w:color="auto"/>
            </w:tcBorders>
            <w:shd w:val="clear" w:color="auto" w:fill="auto"/>
            <w:noWrap/>
            <w:vAlign w:val="bottom"/>
            <w:hideMark/>
          </w:tcPr>
          <w:p w14:paraId="0ACBF6D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6</w:t>
            </w:r>
          </w:p>
        </w:tc>
        <w:tc>
          <w:tcPr>
            <w:tcW w:w="861" w:type="dxa"/>
            <w:tcBorders>
              <w:top w:val="nil"/>
              <w:left w:val="nil"/>
              <w:bottom w:val="nil"/>
              <w:right w:val="single" w:sz="4" w:space="0" w:color="auto"/>
            </w:tcBorders>
            <w:shd w:val="clear" w:color="auto" w:fill="auto"/>
            <w:noWrap/>
            <w:vAlign w:val="bottom"/>
            <w:hideMark/>
          </w:tcPr>
          <w:p w14:paraId="4DC8B40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27AF2CF0"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065BB61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0765BECB"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65551FD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24</w:t>
            </w:r>
          </w:p>
        </w:tc>
      </w:tr>
      <w:tr w:rsidR="00131C98" w:rsidRPr="00131C98" w14:paraId="114BA1ED"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20E31381"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Biomass-to-ethanol</w:t>
            </w:r>
          </w:p>
        </w:tc>
        <w:tc>
          <w:tcPr>
            <w:tcW w:w="1061" w:type="dxa"/>
            <w:tcBorders>
              <w:top w:val="nil"/>
              <w:left w:val="nil"/>
              <w:bottom w:val="nil"/>
              <w:right w:val="single" w:sz="4" w:space="0" w:color="auto"/>
            </w:tcBorders>
            <w:shd w:val="clear" w:color="auto" w:fill="auto"/>
            <w:noWrap/>
            <w:vAlign w:val="bottom"/>
            <w:hideMark/>
          </w:tcPr>
          <w:p w14:paraId="426FEF1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70" w:type="dxa"/>
            <w:tcBorders>
              <w:top w:val="nil"/>
              <w:left w:val="nil"/>
              <w:bottom w:val="nil"/>
              <w:right w:val="single" w:sz="4" w:space="0" w:color="auto"/>
            </w:tcBorders>
            <w:shd w:val="clear" w:color="auto" w:fill="auto"/>
            <w:noWrap/>
            <w:vAlign w:val="bottom"/>
            <w:hideMark/>
          </w:tcPr>
          <w:p w14:paraId="5B350EA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861" w:type="dxa"/>
            <w:tcBorders>
              <w:top w:val="nil"/>
              <w:left w:val="nil"/>
              <w:bottom w:val="nil"/>
              <w:right w:val="single" w:sz="4" w:space="0" w:color="auto"/>
            </w:tcBorders>
            <w:shd w:val="clear" w:color="auto" w:fill="auto"/>
            <w:noWrap/>
            <w:vAlign w:val="bottom"/>
            <w:hideMark/>
          </w:tcPr>
          <w:p w14:paraId="1D80758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6428EFB0"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4</w:t>
            </w:r>
          </w:p>
        </w:tc>
        <w:tc>
          <w:tcPr>
            <w:tcW w:w="761" w:type="dxa"/>
            <w:tcBorders>
              <w:top w:val="nil"/>
              <w:left w:val="nil"/>
              <w:bottom w:val="nil"/>
              <w:right w:val="single" w:sz="4" w:space="0" w:color="auto"/>
            </w:tcBorders>
            <w:shd w:val="clear" w:color="auto" w:fill="auto"/>
            <w:noWrap/>
            <w:vAlign w:val="bottom"/>
            <w:hideMark/>
          </w:tcPr>
          <w:p w14:paraId="11802F9F"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7DAFA3D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039" w:type="dxa"/>
            <w:tcBorders>
              <w:top w:val="nil"/>
              <w:left w:val="nil"/>
              <w:bottom w:val="nil"/>
              <w:right w:val="single" w:sz="4" w:space="0" w:color="auto"/>
            </w:tcBorders>
            <w:shd w:val="clear" w:color="auto" w:fill="auto"/>
            <w:noWrap/>
            <w:vAlign w:val="bottom"/>
            <w:hideMark/>
          </w:tcPr>
          <w:p w14:paraId="562CD74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32</w:t>
            </w:r>
          </w:p>
        </w:tc>
      </w:tr>
      <w:tr w:rsidR="00131C98" w:rsidRPr="00131C98" w14:paraId="022DB723"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1D8FC07D"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Iron &amp; Steel production</w:t>
            </w:r>
          </w:p>
        </w:tc>
        <w:tc>
          <w:tcPr>
            <w:tcW w:w="1061" w:type="dxa"/>
            <w:tcBorders>
              <w:top w:val="nil"/>
              <w:left w:val="nil"/>
              <w:bottom w:val="nil"/>
              <w:right w:val="single" w:sz="4" w:space="0" w:color="auto"/>
            </w:tcBorders>
            <w:shd w:val="clear" w:color="auto" w:fill="auto"/>
            <w:noWrap/>
            <w:vAlign w:val="bottom"/>
            <w:hideMark/>
          </w:tcPr>
          <w:p w14:paraId="2ED8488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170" w:type="dxa"/>
            <w:tcBorders>
              <w:top w:val="nil"/>
              <w:left w:val="nil"/>
              <w:bottom w:val="nil"/>
              <w:right w:val="single" w:sz="4" w:space="0" w:color="auto"/>
            </w:tcBorders>
            <w:shd w:val="clear" w:color="auto" w:fill="auto"/>
            <w:noWrap/>
            <w:vAlign w:val="bottom"/>
            <w:hideMark/>
          </w:tcPr>
          <w:p w14:paraId="3A629FE8"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861" w:type="dxa"/>
            <w:tcBorders>
              <w:top w:val="nil"/>
              <w:left w:val="nil"/>
              <w:bottom w:val="nil"/>
              <w:right w:val="single" w:sz="4" w:space="0" w:color="auto"/>
            </w:tcBorders>
            <w:shd w:val="clear" w:color="auto" w:fill="auto"/>
            <w:noWrap/>
            <w:vAlign w:val="bottom"/>
            <w:hideMark/>
          </w:tcPr>
          <w:p w14:paraId="749D6AB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5613A361"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761" w:type="dxa"/>
            <w:tcBorders>
              <w:top w:val="nil"/>
              <w:left w:val="nil"/>
              <w:bottom w:val="nil"/>
              <w:right w:val="single" w:sz="4" w:space="0" w:color="auto"/>
            </w:tcBorders>
            <w:shd w:val="clear" w:color="auto" w:fill="auto"/>
            <w:noWrap/>
            <w:vAlign w:val="bottom"/>
            <w:hideMark/>
          </w:tcPr>
          <w:p w14:paraId="4A6FA35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37DB32E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6F3C9504"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12</w:t>
            </w:r>
          </w:p>
        </w:tc>
      </w:tr>
      <w:tr w:rsidR="00131C98" w:rsidRPr="00131C98" w14:paraId="13771A38"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2ED776C8"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Cement production</w:t>
            </w:r>
          </w:p>
        </w:tc>
        <w:tc>
          <w:tcPr>
            <w:tcW w:w="1061" w:type="dxa"/>
            <w:tcBorders>
              <w:top w:val="nil"/>
              <w:left w:val="nil"/>
              <w:bottom w:val="nil"/>
              <w:right w:val="single" w:sz="4" w:space="0" w:color="auto"/>
            </w:tcBorders>
            <w:shd w:val="clear" w:color="auto" w:fill="auto"/>
            <w:noWrap/>
            <w:vAlign w:val="bottom"/>
            <w:hideMark/>
          </w:tcPr>
          <w:p w14:paraId="1AF4B1E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170" w:type="dxa"/>
            <w:tcBorders>
              <w:top w:val="nil"/>
              <w:left w:val="nil"/>
              <w:bottom w:val="nil"/>
              <w:right w:val="single" w:sz="4" w:space="0" w:color="auto"/>
            </w:tcBorders>
            <w:shd w:val="clear" w:color="auto" w:fill="auto"/>
            <w:noWrap/>
            <w:vAlign w:val="bottom"/>
            <w:hideMark/>
          </w:tcPr>
          <w:p w14:paraId="385A7E5B"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861" w:type="dxa"/>
            <w:tcBorders>
              <w:top w:val="nil"/>
              <w:left w:val="nil"/>
              <w:bottom w:val="nil"/>
              <w:right w:val="single" w:sz="4" w:space="0" w:color="auto"/>
            </w:tcBorders>
            <w:shd w:val="clear" w:color="auto" w:fill="auto"/>
            <w:noWrap/>
            <w:vAlign w:val="bottom"/>
            <w:hideMark/>
          </w:tcPr>
          <w:p w14:paraId="02AE37D0"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709FD65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761" w:type="dxa"/>
            <w:tcBorders>
              <w:top w:val="nil"/>
              <w:left w:val="nil"/>
              <w:bottom w:val="nil"/>
              <w:right w:val="single" w:sz="4" w:space="0" w:color="auto"/>
            </w:tcBorders>
            <w:shd w:val="clear" w:color="auto" w:fill="auto"/>
            <w:noWrap/>
            <w:vAlign w:val="bottom"/>
            <w:hideMark/>
          </w:tcPr>
          <w:p w14:paraId="3EEFA9A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0B4BF31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7BB96C2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12</w:t>
            </w:r>
          </w:p>
        </w:tc>
      </w:tr>
      <w:tr w:rsidR="00131C98" w:rsidRPr="00131C98" w14:paraId="444790AE"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5B35882B"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Renewables-to-electricity</w:t>
            </w:r>
          </w:p>
        </w:tc>
        <w:tc>
          <w:tcPr>
            <w:tcW w:w="1061" w:type="dxa"/>
            <w:tcBorders>
              <w:top w:val="nil"/>
              <w:left w:val="nil"/>
              <w:bottom w:val="nil"/>
              <w:right w:val="single" w:sz="4" w:space="0" w:color="auto"/>
            </w:tcBorders>
            <w:shd w:val="clear" w:color="auto" w:fill="auto"/>
            <w:noWrap/>
            <w:vAlign w:val="bottom"/>
            <w:hideMark/>
          </w:tcPr>
          <w:p w14:paraId="2FB5D1CF"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6</w:t>
            </w:r>
          </w:p>
        </w:tc>
        <w:tc>
          <w:tcPr>
            <w:tcW w:w="1170" w:type="dxa"/>
            <w:tcBorders>
              <w:top w:val="nil"/>
              <w:left w:val="nil"/>
              <w:bottom w:val="nil"/>
              <w:right w:val="single" w:sz="4" w:space="0" w:color="auto"/>
            </w:tcBorders>
            <w:shd w:val="clear" w:color="auto" w:fill="auto"/>
            <w:noWrap/>
            <w:vAlign w:val="bottom"/>
            <w:hideMark/>
          </w:tcPr>
          <w:p w14:paraId="6D3EB329"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861" w:type="dxa"/>
            <w:tcBorders>
              <w:top w:val="nil"/>
              <w:left w:val="nil"/>
              <w:bottom w:val="nil"/>
              <w:right w:val="single" w:sz="4" w:space="0" w:color="auto"/>
            </w:tcBorders>
            <w:shd w:val="clear" w:color="auto" w:fill="auto"/>
            <w:noWrap/>
            <w:vAlign w:val="bottom"/>
            <w:hideMark/>
          </w:tcPr>
          <w:p w14:paraId="196C183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62EACF2C"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761" w:type="dxa"/>
            <w:tcBorders>
              <w:top w:val="nil"/>
              <w:left w:val="nil"/>
              <w:bottom w:val="nil"/>
              <w:right w:val="single" w:sz="4" w:space="0" w:color="auto"/>
            </w:tcBorders>
            <w:shd w:val="clear" w:color="auto" w:fill="auto"/>
            <w:noWrap/>
            <w:vAlign w:val="bottom"/>
            <w:hideMark/>
          </w:tcPr>
          <w:p w14:paraId="651AC43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4EE66E2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791C0DB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24</w:t>
            </w:r>
          </w:p>
        </w:tc>
      </w:tr>
      <w:tr w:rsidR="00131C98" w:rsidRPr="00131C98" w14:paraId="3DBA7016"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088643A6"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Nuclear power</w:t>
            </w:r>
          </w:p>
        </w:tc>
        <w:tc>
          <w:tcPr>
            <w:tcW w:w="1061" w:type="dxa"/>
            <w:tcBorders>
              <w:top w:val="nil"/>
              <w:left w:val="nil"/>
              <w:bottom w:val="nil"/>
              <w:right w:val="single" w:sz="4" w:space="0" w:color="auto"/>
            </w:tcBorders>
            <w:shd w:val="clear" w:color="auto" w:fill="auto"/>
            <w:noWrap/>
            <w:vAlign w:val="bottom"/>
            <w:hideMark/>
          </w:tcPr>
          <w:p w14:paraId="21DDE204"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170" w:type="dxa"/>
            <w:tcBorders>
              <w:top w:val="nil"/>
              <w:left w:val="nil"/>
              <w:bottom w:val="nil"/>
              <w:right w:val="single" w:sz="4" w:space="0" w:color="auto"/>
            </w:tcBorders>
            <w:shd w:val="clear" w:color="auto" w:fill="auto"/>
            <w:noWrap/>
            <w:vAlign w:val="bottom"/>
            <w:hideMark/>
          </w:tcPr>
          <w:p w14:paraId="58347B7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861" w:type="dxa"/>
            <w:tcBorders>
              <w:top w:val="nil"/>
              <w:left w:val="nil"/>
              <w:bottom w:val="nil"/>
              <w:right w:val="single" w:sz="4" w:space="0" w:color="auto"/>
            </w:tcBorders>
            <w:shd w:val="clear" w:color="auto" w:fill="auto"/>
            <w:noWrap/>
            <w:vAlign w:val="bottom"/>
            <w:hideMark/>
          </w:tcPr>
          <w:p w14:paraId="707126B2"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3FE669C8"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057505E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121" w:type="dxa"/>
            <w:tcBorders>
              <w:top w:val="nil"/>
              <w:left w:val="nil"/>
              <w:bottom w:val="nil"/>
              <w:right w:val="single" w:sz="4" w:space="0" w:color="auto"/>
            </w:tcBorders>
            <w:shd w:val="clear" w:color="auto" w:fill="auto"/>
            <w:noWrap/>
            <w:vAlign w:val="bottom"/>
            <w:hideMark/>
          </w:tcPr>
          <w:p w14:paraId="756F7BF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50F40D98"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r>
      <w:tr w:rsidR="00131C98" w:rsidRPr="00131C98" w14:paraId="59C9500D"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346ADD1A"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Biomass-to-electricity (agricultural residue)</w:t>
            </w:r>
          </w:p>
        </w:tc>
        <w:tc>
          <w:tcPr>
            <w:tcW w:w="1061" w:type="dxa"/>
            <w:tcBorders>
              <w:top w:val="nil"/>
              <w:left w:val="nil"/>
              <w:bottom w:val="nil"/>
              <w:right w:val="single" w:sz="4" w:space="0" w:color="auto"/>
            </w:tcBorders>
            <w:shd w:val="clear" w:color="auto" w:fill="auto"/>
            <w:noWrap/>
            <w:vAlign w:val="bottom"/>
            <w:hideMark/>
          </w:tcPr>
          <w:p w14:paraId="02B0F18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170" w:type="dxa"/>
            <w:tcBorders>
              <w:top w:val="nil"/>
              <w:left w:val="nil"/>
              <w:bottom w:val="nil"/>
              <w:right w:val="single" w:sz="4" w:space="0" w:color="auto"/>
            </w:tcBorders>
            <w:shd w:val="clear" w:color="auto" w:fill="auto"/>
            <w:noWrap/>
            <w:vAlign w:val="bottom"/>
            <w:hideMark/>
          </w:tcPr>
          <w:p w14:paraId="592DD181"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861" w:type="dxa"/>
            <w:tcBorders>
              <w:top w:val="nil"/>
              <w:left w:val="nil"/>
              <w:bottom w:val="nil"/>
              <w:right w:val="single" w:sz="4" w:space="0" w:color="auto"/>
            </w:tcBorders>
            <w:shd w:val="clear" w:color="auto" w:fill="auto"/>
            <w:noWrap/>
            <w:vAlign w:val="bottom"/>
            <w:hideMark/>
          </w:tcPr>
          <w:p w14:paraId="4DCB346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341" w:type="dxa"/>
            <w:tcBorders>
              <w:top w:val="nil"/>
              <w:left w:val="nil"/>
              <w:bottom w:val="nil"/>
              <w:right w:val="single" w:sz="4" w:space="0" w:color="auto"/>
            </w:tcBorders>
            <w:shd w:val="clear" w:color="auto" w:fill="auto"/>
            <w:noWrap/>
            <w:vAlign w:val="bottom"/>
            <w:hideMark/>
          </w:tcPr>
          <w:p w14:paraId="07A74664"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3744296B"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4CF5C57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0BA526AC"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6</w:t>
            </w:r>
          </w:p>
        </w:tc>
      </w:tr>
      <w:tr w:rsidR="00131C98" w:rsidRPr="00131C98" w14:paraId="7EECCB22"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1B10EC13"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Biomass-to-electricity (Woody)</w:t>
            </w:r>
          </w:p>
        </w:tc>
        <w:tc>
          <w:tcPr>
            <w:tcW w:w="1061" w:type="dxa"/>
            <w:tcBorders>
              <w:top w:val="nil"/>
              <w:left w:val="nil"/>
              <w:bottom w:val="nil"/>
              <w:right w:val="single" w:sz="4" w:space="0" w:color="auto"/>
            </w:tcBorders>
            <w:shd w:val="clear" w:color="auto" w:fill="auto"/>
            <w:noWrap/>
            <w:vAlign w:val="bottom"/>
            <w:hideMark/>
          </w:tcPr>
          <w:p w14:paraId="733D573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170" w:type="dxa"/>
            <w:tcBorders>
              <w:top w:val="nil"/>
              <w:left w:val="nil"/>
              <w:bottom w:val="nil"/>
              <w:right w:val="single" w:sz="4" w:space="0" w:color="auto"/>
            </w:tcBorders>
            <w:shd w:val="clear" w:color="auto" w:fill="auto"/>
            <w:noWrap/>
            <w:vAlign w:val="bottom"/>
            <w:hideMark/>
          </w:tcPr>
          <w:p w14:paraId="1347A94F"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861" w:type="dxa"/>
            <w:tcBorders>
              <w:top w:val="nil"/>
              <w:left w:val="nil"/>
              <w:bottom w:val="nil"/>
              <w:right w:val="single" w:sz="4" w:space="0" w:color="auto"/>
            </w:tcBorders>
            <w:shd w:val="clear" w:color="auto" w:fill="auto"/>
            <w:noWrap/>
            <w:vAlign w:val="bottom"/>
            <w:hideMark/>
          </w:tcPr>
          <w:p w14:paraId="3F36E46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341" w:type="dxa"/>
            <w:tcBorders>
              <w:top w:val="nil"/>
              <w:left w:val="nil"/>
              <w:bottom w:val="nil"/>
              <w:right w:val="single" w:sz="4" w:space="0" w:color="auto"/>
            </w:tcBorders>
            <w:shd w:val="clear" w:color="auto" w:fill="auto"/>
            <w:noWrap/>
            <w:vAlign w:val="bottom"/>
            <w:hideMark/>
          </w:tcPr>
          <w:p w14:paraId="37E475A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5281FFF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6044F247"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500F884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18</w:t>
            </w:r>
          </w:p>
        </w:tc>
      </w:tr>
      <w:tr w:rsidR="00131C98" w:rsidRPr="00131C98" w14:paraId="3DA7AD41"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5D39DD66"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Biomass-to-electricity (biogas)</w:t>
            </w:r>
          </w:p>
        </w:tc>
        <w:tc>
          <w:tcPr>
            <w:tcW w:w="1061" w:type="dxa"/>
            <w:tcBorders>
              <w:top w:val="nil"/>
              <w:left w:val="nil"/>
              <w:bottom w:val="nil"/>
              <w:right w:val="single" w:sz="4" w:space="0" w:color="auto"/>
            </w:tcBorders>
            <w:shd w:val="clear" w:color="auto" w:fill="auto"/>
            <w:noWrap/>
            <w:vAlign w:val="bottom"/>
            <w:hideMark/>
          </w:tcPr>
          <w:p w14:paraId="0FEF6A40"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170" w:type="dxa"/>
            <w:tcBorders>
              <w:top w:val="nil"/>
              <w:left w:val="nil"/>
              <w:bottom w:val="nil"/>
              <w:right w:val="single" w:sz="4" w:space="0" w:color="auto"/>
            </w:tcBorders>
            <w:shd w:val="clear" w:color="auto" w:fill="auto"/>
            <w:noWrap/>
            <w:vAlign w:val="bottom"/>
            <w:hideMark/>
          </w:tcPr>
          <w:p w14:paraId="6ECBC4B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861" w:type="dxa"/>
            <w:tcBorders>
              <w:top w:val="nil"/>
              <w:left w:val="nil"/>
              <w:bottom w:val="nil"/>
              <w:right w:val="single" w:sz="4" w:space="0" w:color="auto"/>
            </w:tcBorders>
            <w:shd w:val="clear" w:color="auto" w:fill="auto"/>
            <w:noWrap/>
            <w:vAlign w:val="bottom"/>
            <w:hideMark/>
          </w:tcPr>
          <w:p w14:paraId="1A463B1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13555AB1"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4C84E568"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2161ADF6"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3B5B6E6A"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r>
      <w:tr w:rsidR="00131C98" w:rsidRPr="00131C98" w14:paraId="18AE9237" w14:textId="77777777" w:rsidTr="0095394C">
        <w:trPr>
          <w:trHeight w:val="460"/>
          <w:jc w:val="center"/>
        </w:trPr>
        <w:tc>
          <w:tcPr>
            <w:tcW w:w="2415" w:type="dxa"/>
            <w:tcBorders>
              <w:top w:val="nil"/>
              <w:left w:val="single" w:sz="4" w:space="0" w:color="auto"/>
              <w:bottom w:val="nil"/>
              <w:right w:val="single" w:sz="4" w:space="0" w:color="auto"/>
            </w:tcBorders>
            <w:shd w:val="clear" w:color="000000" w:fill="FFFFFF"/>
            <w:vAlign w:val="bottom"/>
            <w:hideMark/>
          </w:tcPr>
          <w:p w14:paraId="64AE5ACC" w14:textId="77777777" w:rsidR="00131C98" w:rsidRPr="00131C98" w:rsidRDefault="00131C98" w:rsidP="00D624C2">
            <w:pPr>
              <w:spacing w:after="0" w:line="240" w:lineRule="auto"/>
              <w:jc w:val="left"/>
              <w:rPr>
                <w:rFonts w:eastAsia="Times New Roman" w:cs="Times New Roman"/>
                <w:color w:val="000000"/>
                <w:sz w:val="20"/>
                <w:szCs w:val="20"/>
              </w:rPr>
            </w:pPr>
            <w:r w:rsidRPr="00131C98">
              <w:rPr>
                <w:rFonts w:eastAsia="Times New Roman" w:cs="Times New Roman"/>
                <w:color w:val="000000"/>
                <w:sz w:val="20"/>
                <w:szCs w:val="20"/>
              </w:rPr>
              <w:t>Crude-to-polyethylene</w:t>
            </w:r>
          </w:p>
        </w:tc>
        <w:tc>
          <w:tcPr>
            <w:tcW w:w="1061" w:type="dxa"/>
            <w:tcBorders>
              <w:top w:val="nil"/>
              <w:left w:val="nil"/>
              <w:bottom w:val="nil"/>
              <w:right w:val="single" w:sz="4" w:space="0" w:color="auto"/>
            </w:tcBorders>
            <w:shd w:val="clear" w:color="auto" w:fill="auto"/>
            <w:noWrap/>
            <w:vAlign w:val="bottom"/>
            <w:hideMark/>
          </w:tcPr>
          <w:p w14:paraId="0FDE2931"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1170" w:type="dxa"/>
            <w:tcBorders>
              <w:top w:val="nil"/>
              <w:left w:val="nil"/>
              <w:bottom w:val="nil"/>
              <w:right w:val="single" w:sz="4" w:space="0" w:color="auto"/>
            </w:tcBorders>
            <w:shd w:val="clear" w:color="auto" w:fill="auto"/>
            <w:noWrap/>
            <w:vAlign w:val="bottom"/>
            <w:hideMark/>
          </w:tcPr>
          <w:p w14:paraId="58DEF18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3</w:t>
            </w:r>
          </w:p>
        </w:tc>
        <w:tc>
          <w:tcPr>
            <w:tcW w:w="861" w:type="dxa"/>
            <w:tcBorders>
              <w:top w:val="nil"/>
              <w:left w:val="nil"/>
              <w:bottom w:val="nil"/>
              <w:right w:val="single" w:sz="4" w:space="0" w:color="auto"/>
            </w:tcBorders>
            <w:shd w:val="clear" w:color="auto" w:fill="auto"/>
            <w:noWrap/>
            <w:vAlign w:val="bottom"/>
            <w:hideMark/>
          </w:tcPr>
          <w:p w14:paraId="7BE5834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341" w:type="dxa"/>
            <w:tcBorders>
              <w:top w:val="nil"/>
              <w:left w:val="nil"/>
              <w:bottom w:val="nil"/>
              <w:right w:val="single" w:sz="4" w:space="0" w:color="auto"/>
            </w:tcBorders>
            <w:shd w:val="clear" w:color="auto" w:fill="auto"/>
            <w:noWrap/>
            <w:vAlign w:val="bottom"/>
            <w:hideMark/>
          </w:tcPr>
          <w:p w14:paraId="2EE9A7C3"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761" w:type="dxa"/>
            <w:tcBorders>
              <w:top w:val="nil"/>
              <w:left w:val="nil"/>
              <w:bottom w:val="nil"/>
              <w:right w:val="single" w:sz="4" w:space="0" w:color="auto"/>
            </w:tcBorders>
            <w:shd w:val="clear" w:color="auto" w:fill="auto"/>
            <w:noWrap/>
            <w:vAlign w:val="bottom"/>
            <w:hideMark/>
          </w:tcPr>
          <w:p w14:paraId="54D5B895"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2</w:t>
            </w:r>
          </w:p>
        </w:tc>
        <w:tc>
          <w:tcPr>
            <w:tcW w:w="1121" w:type="dxa"/>
            <w:tcBorders>
              <w:top w:val="nil"/>
              <w:left w:val="nil"/>
              <w:bottom w:val="nil"/>
              <w:right w:val="single" w:sz="4" w:space="0" w:color="auto"/>
            </w:tcBorders>
            <w:shd w:val="clear" w:color="auto" w:fill="auto"/>
            <w:noWrap/>
            <w:vAlign w:val="bottom"/>
            <w:hideMark/>
          </w:tcPr>
          <w:p w14:paraId="261716AE"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w:t>
            </w:r>
          </w:p>
        </w:tc>
        <w:tc>
          <w:tcPr>
            <w:tcW w:w="1039" w:type="dxa"/>
            <w:tcBorders>
              <w:top w:val="nil"/>
              <w:left w:val="nil"/>
              <w:bottom w:val="nil"/>
              <w:right w:val="single" w:sz="4" w:space="0" w:color="auto"/>
            </w:tcBorders>
            <w:shd w:val="clear" w:color="auto" w:fill="auto"/>
            <w:noWrap/>
            <w:vAlign w:val="bottom"/>
            <w:hideMark/>
          </w:tcPr>
          <w:p w14:paraId="5ECDCFED" w14:textId="77777777" w:rsidR="00131C98" w:rsidRPr="00131C98" w:rsidRDefault="00131C98" w:rsidP="0095394C">
            <w:pPr>
              <w:spacing w:after="0" w:line="240" w:lineRule="auto"/>
              <w:jc w:val="center"/>
              <w:rPr>
                <w:rFonts w:eastAsia="Times New Roman" w:cs="Times New Roman"/>
                <w:color w:val="000000"/>
                <w:sz w:val="20"/>
                <w:szCs w:val="20"/>
              </w:rPr>
            </w:pPr>
            <w:r w:rsidRPr="00131C98">
              <w:rPr>
                <w:rFonts w:eastAsia="Times New Roman" w:cs="Times New Roman"/>
                <w:color w:val="000000"/>
                <w:sz w:val="20"/>
                <w:szCs w:val="20"/>
              </w:rPr>
              <w:t>18</w:t>
            </w:r>
          </w:p>
        </w:tc>
      </w:tr>
      <w:tr w:rsidR="00131C98" w:rsidRPr="00131C98" w14:paraId="177BAE42" w14:textId="77777777" w:rsidTr="0095394C">
        <w:trPr>
          <w:trHeight w:val="460"/>
          <w:jc w:val="center"/>
        </w:trPr>
        <w:tc>
          <w:tcPr>
            <w:tcW w:w="2415" w:type="dxa"/>
            <w:tcBorders>
              <w:top w:val="nil"/>
              <w:left w:val="single" w:sz="4" w:space="0" w:color="auto"/>
              <w:bottom w:val="single" w:sz="4" w:space="0" w:color="auto"/>
              <w:right w:val="single" w:sz="4" w:space="0" w:color="auto"/>
            </w:tcBorders>
            <w:shd w:val="clear" w:color="000000" w:fill="FFFFFF"/>
            <w:vAlign w:val="bottom"/>
            <w:hideMark/>
          </w:tcPr>
          <w:p w14:paraId="7C2BF6A8" w14:textId="77777777" w:rsidR="00131C98" w:rsidRPr="00131C98" w:rsidRDefault="00131C98" w:rsidP="00D624C2">
            <w:pPr>
              <w:spacing w:after="0" w:line="240" w:lineRule="auto"/>
              <w:jc w:val="left"/>
              <w:rPr>
                <w:rFonts w:eastAsia="Times New Roman" w:cs="Times New Roman"/>
                <w:b/>
                <w:color w:val="000000"/>
                <w:sz w:val="20"/>
                <w:szCs w:val="20"/>
              </w:rPr>
            </w:pPr>
            <w:r w:rsidRPr="00131C98">
              <w:rPr>
                <w:rFonts w:eastAsia="Times New Roman" w:cs="Times New Roman"/>
                <w:b/>
                <w:color w:val="000000"/>
                <w:sz w:val="20"/>
                <w:szCs w:val="20"/>
              </w:rPr>
              <w:t>Total</w:t>
            </w:r>
          </w:p>
        </w:tc>
        <w:tc>
          <w:tcPr>
            <w:tcW w:w="1061" w:type="dxa"/>
            <w:tcBorders>
              <w:top w:val="nil"/>
              <w:left w:val="nil"/>
              <w:bottom w:val="single" w:sz="4" w:space="0" w:color="auto"/>
              <w:right w:val="single" w:sz="4" w:space="0" w:color="auto"/>
            </w:tcBorders>
            <w:shd w:val="clear" w:color="auto" w:fill="auto"/>
            <w:noWrap/>
            <w:vAlign w:val="bottom"/>
            <w:hideMark/>
          </w:tcPr>
          <w:p w14:paraId="3DA29174" w14:textId="77777777" w:rsidR="00131C98" w:rsidRPr="00131C98" w:rsidRDefault="00131C98" w:rsidP="0095394C">
            <w:pPr>
              <w:spacing w:after="0" w:line="240" w:lineRule="auto"/>
              <w:jc w:val="center"/>
              <w:rPr>
                <w:rFonts w:eastAsia="Times New Roman" w:cs="Times New Roman"/>
                <w:b/>
                <w:color w:val="000000"/>
                <w:sz w:val="20"/>
                <w:szCs w:val="20"/>
              </w:rPr>
            </w:pPr>
          </w:p>
        </w:tc>
        <w:tc>
          <w:tcPr>
            <w:tcW w:w="1170" w:type="dxa"/>
            <w:tcBorders>
              <w:top w:val="nil"/>
              <w:left w:val="nil"/>
              <w:bottom w:val="single" w:sz="4" w:space="0" w:color="auto"/>
              <w:right w:val="single" w:sz="4" w:space="0" w:color="auto"/>
            </w:tcBorders>
            <w:shd w:val="clear" w:color="auto" w:fill="auto"/>
            <w:noWrap/>
            <w:vAlign w:val="bottom"/>
            <w:hideMark/>
          </w:tcPr>
          <w:p w14:paraId="20B2E3E3" w14:textId="77777777" w:rsidR="00131C98" w:rsidRPr="00131C98" w:rsidRDefault="00131C98" w:rsidP="0095394C">
            <w:pPr>
              <w:spacing w:after="0" w:line="240" w:lineRule="auto"/>
              <w:jc w:val="center"/>
              <w:rPr>
                <w:rFonts w:eastAsia="Times New Roman" w:cs="Times New Roman"/>
                <w:b/>
                <w:color w:val="000000"/>
                <w:sz w:val="20"/>
                <w:szCs w:val="20"/>
              </w:rPr>
            </w:pPr>
          </w:p>
        </w:tc>
        <w:tc>
          <w:tcPr>
            <w:tcW w:w="861" w:type="dxa"/>
            <w:tcBorders>
              <w:top w:val="nil"/>
              <w:left w:val="nil"/>
              <w:bottom w:val="single" w:sz="4" w:space="0" w:color="auto"/>
              <w:right w:val="single" w:sz="4" w:space="0" w:color="auto"/>
            </w:tcBorders>
            <w:shd w:val="clear" w:color="auto" w:fill="auto"/>
            <w:noWrap/>
            <w:vAlign w:val="bottom"/>
            <w:hideMark/>
          </w:tcPr>
          <w:p w14:paraId="09DD3FA7" w14:textId="77777777" w:rsidR="00131C98" w:rsidRPr="00131C98" w:rsidRDefault="00131C98" w:rsidP="0095394C">
            <w:pPr>
              <w:spacing w:after="0" w:line="240" w:lineRule="auto"/>
              <w:jc w:val="center"/>
              <w:rPr>
                <w:rFonts w:eastAsia="Times New Roman" w:cs="Times New Roman"/>
                <w:b/>
                <w:color w:val="000000"/>
                <w:sz w:val="20"/>
                <w:szCs w:val="20"/>
              </w:rPr>
            </w:pPr>
          </w:p>
        </w:tc>
        <w:tc>
          <w:tcPr>
            <w:tcW w:w="1341" w:type="dxa"/>
            <w:tcBorders>
              <w:top w:val="nil"/>
              <w:left w:val="nil"/>
              <w:bottom w:val="single" w:sz="4" w:space="0" w:color="auto"/>
              <w:right w:val="single" w:sz="4" w:space="0" w:color="auto"/>
            </w:tcBorders>
            <w:shd w:val="clear" w:color="auto" w:fill="auto"/>
            <w:noWrap/>
            <w:vAlign w:val="bottom"/>
            <w:hideMark/>
          </w:tcPr>
          <w:p w14:paraId="07DFA863" w14:textId="77777777" w:rsidR="00131C98" w:rsidRPr="00131C98" w:rsidRDefault="00131C98" w:rsidP="0095394C">
            <w:pPr>
              <w:spacing w:after="0" w:line="240" w:lineRule="auto"/>
              <w:jc w:val="center"/>
              <w:rPr>
                <w:rFonts w:eastAsia="Times New Roman" w:cs="Times New Roman"/>
                <w:b/>
                <w:color w:val="000000"/>
                <w:sz w:val="20"/>
                <w:szCs w:val="20"/>
              </w:rPr>
            </w:pPr>
          </w:p>
        </w:tc>
        <w:tc>
          <w:tcPr>
            <w:tcW w:w="761" w:type="dxa"/>
            <w:tcBorders>
              <w:top w:val="nil"/>
              <w:left w:val="nil"/>
              <w:bottom w:val="single" w:sz="4" w:space="0" w:color="auto"/>
              <w:right w:val="single" w:sz="4" w:space="0" w:color="auto"/>
            </w:tcBorders>
            <w:shd w:val="clear" w:color="auto" w:fill="auto"/>
            <w:noWrap/>
            <w:vAlign w:val="bottom"/>
            <w:hideMark/>
          </w:tcPr>
          <w:p w14:paraId="2A4B92B7" w14:textId="77777777" w:rsidR="00131C98" w:rsidRPr="00131C98" w:rsidRDefault="00131C98" w:rsidP="0095394C">
            <w:pPr>
              <w:spacing w:after="0" w:line="240" w:lineRule="auto"/>
              <w:jc w:val="center"/>
              <w:rPr>
                <w:rFonts w:eastAsia="Times New Roman" w:cs="Times New Roman"/>
                <w:b/>
                <w:color w:val="000000"/>
                <w:sz w:val="20"/>
                <w:szCs w:val="20"/>
              </w:rPr>
            </w:pPr>
          </w:p>
        </w:tc>
        <w:tc>
          <w:tcPr>
            <w:tcW w:w="1121" w:type="dxa"/>
            <w:tcBorders>
              <w:top w:val="nil"/>
              <w:left w:val="nil"/>
              <w:bottom w:val="single" w:sz="4" w:space="0" w:color="auto"/>
              <w:right w:val="single" w:sz="4" w:space="0" w:color="auto"/>
            </w:tcBorders>
            <w:shd w:val="clear" w:color="auto" w:fill="auto"/>
            <w:noWrap/>
            <w:vAlign w:val="bottom"/>
            <w:hideMark/>
          </w:tcPr>
          <w:p w14:paraId="30484B86" w14:textId="77777777" w:rsidR="00131C98" w:rsidRPr="00131C98" w:rsidRDefault="00131C98" w:rsidP="0095394C">
            <w:pPr>
              <w:spacing w:after="0" w:line="240" w:lineRule="auto"/>
              <w:jc w:val="center"/>
              <w:rPr>
                <w:rFonts w:eastAsia="Times New Roman" w:cs="Times New Roman"/>
                <w:b/>
                <w:color w:val="000000"/>
                <w:sz w:val="20"/>
                <w:szCs w:val="20"/>
              </w:rPr>
            </w:pPr>
          </w:p>
        </w:tc>
        <w:tc>
          <w:tcPr>
            <w:tcW w:w="1039" w:type="dxa"/>
            <w:tcBorders>
              <w:top w:val="nil"/>
              <w:left w:val="nil"/>
              <w:bottom w:val="single" w:sz="4" w:space="0" w:color="auto"/>
              <w:right w:val="single" w:sz="4" w:space="0" w:color="auto"/>
            </w:tcBorders>
            <w:shd w:val="clear" w:color="auto" w:fill="auto"/>
            <w:noWrap/>
            <w:vAlign w:val="bottom"/>
            <w:hideMark/>
          </w:tcPr>
          <w:p w14:paraId="608633BC" w14:textId="77777777" w:rsidR="00131C98" w:rsidRPr="00131C98" w:rsidRDefault="00131C98" w:rsidP="0095394C">
            <w:pPr>
              <w:spacing w:after="0" w:line="240" w:lineRule="auto"/>
              <w:jc w:val="center"/>
              <w:rPr>
                <w:rFonts w:eastAsia="Times New Roman" w:cs="Times New Roman"/>
                <w:b/>
                <w:color w:val="000000"/>
                <w:sz w:val="20"/>
                <w:szCs w:val="20"/>
              </w:rPr>
            </w:pPr>
            <w:r w:rsidRPr="00131C98">
              <w:rPr>
                <w:rFonts w:eastAsia="Times New Roman" w:cs="Times New Roman"/>
                <w:b/>
                <w:color w:val="000000"/>
                <w:sz w:val="20"/>
                <w:szCs w:val="20"/>
              </w:rPr>
              <w:t>1379</w:t>
            </w:r>
          </w:p>
        </w:tc>
      </w:tr>
    </w:tbl>
    <w:p w14:paraId="7ED8D039" w14:textId="77777777" w:rsidR="00131C98" w:rsidRDefault="00131C98" w:rsidP="00110CE9">
      <w:pPr>
        <w:rPr>
          <w:lang w:val="en-GB"/>
        </w:rPr>
      </w:pPr>
    </w:p>
    <w:p w14:paraId="5EB90807" w14:textId="77777777" w:rsidR="00D704C8" w:rsidRPr="00EA3351" w:rsidRDefault="00ED6343" w:rsidP="00EA3351">
      <w:pPr>
        <w:pStyle w:val="Heading1"/>
      </w:pPr>
      <w:bookmarkStart w:id="0" w:name="_Toc517105429"/>
      <w:r w:rsidRPr="004C321C">
        <w:t>Material and Methods</w:t>
      </w:r>
      <w:bookmarkEnd w:id="0"/>
    </w:p>
    <w:p w14:paraId="7B75CEFA" w14:textId="77777777" w:rsidR="005F5491" w:rsidRDefault="00227548" w:rsidP="00227548">
      <w:pPr>
        <w:pStyle w:val="Heading1"/>
        <w:numPr>
          <w:ilvl w:val="0"/>
          <w:numId w:val="0"/>
        </w:numPr>
        <w:ind w:left="1152"/>
      </w:pPr>
      <w:r w:rsidRPr="00227548">
        <w:t xml:space="preserve">2.1. LCA </w:t>
      </w:r>
      <w:r w:rsidR="00106BE0">
        <w:t>methodology</w:t>
      </w:r>
      <w:r w:rsidRPr="00227548">
        <w:t>, system boundar</w:t>
      </w:r>
      <w:r w:rsidR="00106BE0">
        <w:t>ies</w:t>
      </w:r>
      <w:r w:rsidRPr="00227548">
        <w:t>, and functional unit</w:t>
      </w:r>
      <w:r w:rsidR="00106BE0">
        <w:t>s</w:t>
      </w:r>
    </w:p>
    <w:p w14:paraId="7192563C" w14:textId="77777777" w:rsidR="00227548" w:rsidRDefault="00BB3CFC" w:rsidP="00BB3CFC">
      <w:r>
        <w:t xml:space="preserve">To accurately represent the energy system, </w:t>
      </w:r>
      <w:r w:rsidR="00A5327F">
        <w:t>SESAME was</w:t>
      </w:r>
      <w:r>
        <w:t xml:space="preserve"> developed a pathway-level and system-level LCA tool</w:t>
      </w:r>
      <w:r w:rsidRPr="00C55F77">
        <w:t xml:space="preserve"> following the ISO 14040 and 14044 standards </w:t>
      </w:r>
      <w:r w:rsidR="008D4202">
        <w:fldChar w:fldCharType="begin" w:fldLock="1"/>
      </w:r>
      <w:r w:rsidR="006159BA">
        <w:instrText>ADDIN CSL_CITATION {"citationItems":[{"id":"ITEM-1","itemData":{"DOI":"10.1136/bmj.332.7550.1107","ISBN":"ISO 14040:2006(E)","abstract":"ISO 14040:2006 describes the principles and framework for life cycle assessment (LCA) including: definition of the goal and scope of the LCA, the life cycle inventory analysis (LCI) phase, the life cycle impact assessment (LCIA) phase, the life cycle interpretation phase, reporting and critical review of the LCA, limitations of the LCA, the relationship between the LCA phases, and conditions for use of value choices and optional elements. ISO 14040:2006 covers life cycle assessment (LCA) studies and life cycle inventory (LCI) studies. It does not describe the LCA technique in detail, nor does it specify methodologies for the individual phases of the LCA. The intended application of LCA or LCI results is considered during definition of the goal and scope, but the application itself is outside the scope of this International Standard.","author":[{"dropping-particle":"","family":"ISO 14040","given":"","non-dropping-particle":"","parse-names":false,"suffix":""}],"container-title":"ISO 14040","id":"ITEM-1","issued":{"date-parts":[["2006"]]},"page":"1-28","title":"The International Standards Organisation. Environmental management — Life cycle assessment — Principles and framework","type":"article","volume":"2006"},"uris":["http://www.mendeley.com/documents/?uuid=990393ac-cd6a-4a51-baf9-4fb42a501f03"]},{"id":"ITEM-2","itemData":{"DOI":"10.1007/s11367-011-0297-3","ISBN":"5935522004","ISSN":"09483349","PMID":"2011402968","abstract":"Purpose Few studies have examined differing interpreta- tions of life cycle impact assessment (LCIA) results between midpoints and endpoints for the same systems. This paper focuses on the LCIA of municipal solid waste (MSW) systems by taking both the midpoint and endpoint approaches and uses LIME (Life Cycle Impact Assessment Method based on Endpoint Modeling, version 2006). With respect to global and site-dependent factors, environmental impact categories were divided into global, regional, and local scales. Results are shown as net emissions consisting of system emissions and avoided emissions. Materials and methods This study is divided into five segments. The first segment develops the LCIA framework and four MSW scenarios based on the current MSW composition and systems of Seoul, considering adaptable results from the hierarchy MSW systems. In addition, two systems are considered: main MSW systems and optional systems. Several what if scenarios are discussed, including various compositions and classifications of MSW. In the second segment, life cycle inventory (LCI) analysis is appliedo define various inputs and outputs to and from MSW systems, including air (23 categories), water (28 categories) and land (waste) emissions, resource consumption, land use, recovered material, compost, landfill gas, biogas, and heat energy. The third segment, taking the midpoint approach, investigates the nine environmental impacts of the system and avoided emissions. In the fourth segment, this study, taking the endpoint approach, evaluates the damages, dividing the four safeguard subjects affected by 11 environmental impact categories of the systemand avoided emissions. In these third and fourth segments, LCIA is applied to analyze various end- of-life scenarios for sameMSWmaterials. The final segment defines the differences fromthe results in accordancewith the two previous life cycle assessment methodologies (the LCIA and interpretations with respect to midpoints and endpoints). Results and discussion With the respect to midpoints, Scenario 1 (S1) using 100% landfills (L) is the worst performer in terms of global (global warming and resource consumption), regional (acidification, human toxicity, and ecotoxicity), and local (waste: landfill volume) impacts. In terms of all impacts except global warming and waste, Scenario 2 (S2) using 64.2% L and 35.8% material recycling (MR) was found to be the most effective system. With respect to global-scale endpoints, S1 wa…","author":[{"dropping-particle":"","family":"ISO","given":"","non-dropping-particle":"","parse-names":false,"suffix":""}],"id":"ITEM-2","issue":"7","issued":{"date-parts":[["2006"]]},"page":"652-668","title":"Environmental management - Life cycle assessement - Requirements and guidelines, ISO 14044, International Organization for Standardization","type":"article-journal","volume":"2006"},"uris":["http://www.mendeley.com/documents/?uuid=cca8be00-1771-4bed-af53-62763e6196c0"]}],"mendeley":{"formattedCitation":"[3,12]","plainTextFormattedCitation":"[3,12]","previouslyFormattedCitation":"[3,12]"},"properties":{"noteIndex":0},"schema":"https://github.com/citation-style-language/schema/raw/master/csl-citation.json"}</w:instrText>
      </w:r>
      <w:r w:rsidR="008D4202">
        <w:fldChar w:fldCharType="separate"/>
      </w:r>
      <w:r w:rsidR="008D4202" w:rsidRPr="008D4202">
        <w:rPr>
          <w:noProof/>
        </w:rPr>
        <w:t>[3,12]</w:t>
      </w:r>
      <w:r w:rsidR="008D4202">
        <w:fldChar w:fldCharType="end"/>
      </w:r>
      <w:r>
        <w:t xml:space="preserve">. </w:t>
      </w:r>
      <w:r w:rsidR="00735901">
        <w:t>SESAME</w:t>
      </w:r>
      <w:r w:rsidR="00106BE0">
        <w:t xml:space="preserve"> is designed to conduct attributional </w:t>
      </w:r>
      <w:r w:rsidR="00106BE0">
        <w:lastRenderedPageBreak/>
        <w:t xml:space="preserve">LCA </w:t>
      </w:r>
      <w:r w:rsidR="001F6FF5">
        <w:t>for all the pathways and sy</w:t>
      </w:r>
      <w:r w:rsidR="00735901">
        <w:t>s</w:t>
      </w:r>
      <w:r w:rsidR="001F6FF5">
        <w:t>tems that can be d</w:t>
      </w:r>
      <w:r w:rsidR="00735901">
        <w:t>e</w:t>
      </w:r>
      <w:r w:rsidR="001F6FF5">
        <w:t xml:space="preserve">fined </w:t>
      </w:r>
      <w:r w:rsidR="00735901">
        <w:t>via</w:t>
      </w:r>
      <w:r w:rsidR="001F6FF5">
        <w:t xml:space="preserve"> </w:t>
      </w:r>
      <w:r w:rsidR="000B1FB7">
        <w:t>the</w:t>
      </w:r>
      <w:r w:rsidR="00735901">
        <w:t xml:space="preserve"> modular architecture of the tool</w:t>
      </w:r>
      <w:r w:rsidR="001F6FF5">
        <w:t xml:space="preserve">.  </w:t>
      </w:r>
      <w:r w:rsidR="00735901">
        <w:t>For select</w:t>
      </w:r>
      <w:r w:rsidR="001F6FF5">
        <w:t xml:space="preserve"> </w:t>
      </w:r>
      <w:r w:rsidR="000B1FB7">
        <w:t>products</w:t>
      </w:r>
      <w:r w:rsidR="00735901">
        <w:t xml:space="preserve">, e.g., corn ethanol and corn </w:t>
      </w:r>
      <w:proofErr w:type="spellStart"/>
      <w:r w:rsidR="00735901">
        <w:t>stover</w:t>
      </w:r>
      <w:proofErr w:type="spellEnd"/>
      <w:r w:rsidR="00735901">
        <w:t xml:space="preserve"> ethanol, and select systems</w:t>
      </w:r>
      <w:r w:rsidR="001F6FF5">
        <w:t>,</w:t>
      </w:r>
      <w:r w:rsidR="00735901">
        <w:t xml:space="preserve"> e.g., power system, SESAME </w:t>
      </w:r>
      <w:r w:rsidR="00735901" w:rsidRPr="0057284A">
        <w:rPr>
          <w:highlight w:val="yellow"/>
          <w:rPrChange w:id="1" w:author="t_ghosh" w:date="2019-08-29T20:31:00Z">
            <w:rPr/>
          </w:rPrChange>
        </w:rPr>
        <w:t>enables conducting</w:t>
      </w:r>
      <w:r w:rsidR="001F6FF5" w:rsidRPr="0057284A">
        <w:rPr>
          <w:highlight w:val="yellow"/>
          <w:rPrChange w:id="2" w:author="t_ghosh" w:date="2019-08-29T20:31:00Z">
            <w:rPr/>
          </w:rPrChange>
        </w:rPr>
        <w:t xml:space="preserve"> consequential LCA</w:t>
      </w:r>
      <w:r w:rsidR="00106BE0" w:rsidRPr="0057284A">
        <w:rPr>
          <w:highlight w:val="yellow"/>
          <w:rPrChange w:id="3" w:author="t_ghosh" w:date="2019-08-29T20:31:00Z">
            <w:rPr/>
          </w:rPrChange>
        </w:rPr>
        <w:t>.</w:t>
      </w:r>
      <w:r w:rsidR="00106BE0">
        <w:t xml:space="preserve"> </w:t>
      </w:r>
      <w:r w:rsidR="00735901">
        <w:t>For biofuels</w:t>
      </w:r>
      <w:r w:rsidR="00106BE0">
        <w:t xml:space="preserve">, </w:t>
      </w:r>
      <w:r w:rsidR="00735901">
        <w:t>published data</w:t>
      </w:r>
      <w:r w:rsidR="00227548">
        <w:t xml:space="preserve"> </w:t>
      </w:r>
      <w:r w:rsidR="00735901">
        <w:t>on</w:t>
      </w:r>
      <w:r w:rsidR="00227548">
        <w:t xml:space="preserve"> consequential elements </w:t>
      </w:r>
      <w:r w:rsidR="005362C1">
        <w:t xml:space="preserve">(e.g., land use change) </w:t>
      </w:r>
      <w:r w:rsidR="00735901" w:rsidRPr="0057284A">
        <w:rPr>
          <w:highlight w:val="yellow"/>
          <w:rPrChange w:id="4" w:author="t_ghosh" w:date="2019-08-29T20:31:00Z">
            <w:rPr/>
          </w:rPrChange>
        </w:rPr>
        <w:t>projected by</w:t>
      </w:r>
      <w:r w:rsidR="00106BE0" w:rsidRPr="0057284A">
        <w:rPr>
          <w:highlight w:val="yellow"/>
          <w:rPrChange w:id="5" w:author="t_ghosh" w:date="2019-08-29T20:31:00Z">
            <w:rPr/>
          </w:rPrChange>
        </w:rPr>
        <w:t xml:space="preserve"> various economic models such as Global Trade Analysis Project (GTAP), </w:t>
      </w:r>
      <w:r w:rsidR="005362C1" w:rsidRPr="0057284A">
        <w:rPr>
          <w:highlight w:val="yellow"/>
          <w:rPrChange w:id="6" w:author="t_ghosh" w:date="2019-08-29T20:31:00Z">
            <w:rPr/>
          </w:rPrChange>
        </w:rPr>
        <w:t>t</w:t>
      </w:r>
      <w:r w:rsidR="00106BE0" w:rsidRPr="0057284A">
        <w:rPr>
          <w:highlight w:val="yellow"/>
          <w:rPrChange w:id="7" w:author="t_ghosh" w:date="2019-08-29T20:31:00Z">
            <w:rPr/>
          </w:rPrChange>
        </w:rPr>
        <w:t xml:space="preserve">he Forestry and Agricultural Sector Optimization Model (FASOM), </w:t>
      </w:r>
      <w:r w:rsidR="001F6FF5" w:rsidRPr="0057284A">
        <w:rPr>
          <w:highlight w:val="yellow"/>
          <w:rPrChange w:id="8" w:author="t_ghosh" w:date="2019-08-29T20:31:00Z">
            <w:rPr/>
          </w:rPrChange>
        </w:rPr>
        <w:t>Food and Agricultural Policy Research Institute (</w:t>
      </w:r>
      <w:r w:rsidR="00106BE0" w:rsidRPr="0057284A">
        <w:rPr>
          <w:highlight w:val="yellow"/>
          <w:rPrChange w:id="9" w:author="t_ghosh" w:date="2019-08-29T20:31:00Z">
            <w:rPr/>
          </w:rPrChange>
        </w:rPr>
        <w:t>FAPRI</w:t>
      </w:r>
      <w:r w:rsidR="001F6FF5" w:rsidRPr="0057284A">
        <w:rPr>
          <w:highlight w:val="yellow"/>
          <w:rPrChange w:id="10" w:author="t_ghosh" w:date="2019-08-29T20:31:00Z">
            <w:rPr/>
          </w:rPrChange>
        </w:rPr>
        <w:t>)</w:t>
      </w:r>
      <w:r w:rsidR="00106BE0" w:rsidRPr="0057284A">
        <w:rPr>
          <w:highlight w:val="yellow"/>
          <w:rPrChange w:id="11" w:author="t_ghosh" w:date="2019-08-29T20:31:00Z">
            <w:rPr/>
          </w:rPrChange>
        </w:rPr>
        <w:t xml:space="preserve">, and </w:t>
      </w:r>
      <w:r w:rsidR="001F6FF5" w:rsidRPr="0057284A">
        <w:rPr>
          <w:highlight w:val="yellow"/>
          <w:rPrChange w:id="12" w:author="t_ghosh" w:date="2019-08-29T20:31:00Z">
            <w:rPr/>
          </w:rPrChange>
        </w:rPr>
        <w:t>Global Change Assessment Model (</w:t>
      </w:r>
      <w:r w:rsidR="00106BE0" w:rsidRPr="0057284A">
        <w:rPr>
          <w:highlight w:val="yellow"/>
          <w:rPrChange w:id="13" w:author="t_ghosh" w:date="2019-08-29T20:31:00Z">
            <w:rPr/>
          </w:rPrChange>
        </w:rPr>
        <w:t>GCAM</w:t>
      </w:r>
      <w:r w:rsidR="001F6FF5" w:rsidRPr="0057284A">
        <w:rPr>
          <w:highlight w:val="yellow"/>
          <w:rPrChange w:id="14" w:author="t_ghosh" w:date="2019-08-29T20:31:00Z">
            <w:rPr/>
          </w:rPrChange>
        </w:rPr>
        <w:t>)</w:t>
      </w:r>
      <w:r w:rsidR="00227548" w:rsidRPr="0057284A">
        <w:rPr>
          <w:highlight w:val="yellow"/>
          <w:rPrChange w:id="15" w:author="t_ghosh" w:date="2019-08-29T20:31:00Z">
            <w:rPr/>
          </w:rPrChange>
        </w:rPr>
        <w:t xml:space="preserve">, </w:t>
      </w:r>
      <w:r w:rsidR="00735901" w:rsidRPr="0057284A">
        <w:rPr>
          <w:highlight w:val="yellow"/>
          <w:rPrChange w:id="16" w:author="t_ghosh" w:date="2019-08-29T20:31:00Z">
            <w:rPr/>
          </w:rPrChange>
        </w:rPr>
        <w:t xml:space="preserve">are </w:t>
      </w:r>
      <w:r w:rsidR="000B1FB7" w:rsidRPr="0057284A">
        <w:rPr>
          <w:highlight w:val="yellow"/>
          <w:rPrChange w:id="17" w:author="t_ghosh" w:date="2019-08-29T20:31:00Z">
            <w:rPr/>
          </w:rPrChange>
        </w:rPr>
        <w:t xml:space="preserve">pre-populated in the life cycle inventory </w:t>
      </w:r>
      <w:r w:rsidR="005362C1" w:rsidRPr="0057284A">
        <w:rPr>
          <w:highlight w:val="yellow"/>
          <w:rPrChange w:id="18" w:author="t_ghosh" w:date="2019-08-29T20:31:00Z">
            <w:rPr/>
          </w:rPrChange>
        </w:rPr>
        <w:t>of</w:t>
      </w:r>
      <w:r w:rsidR="000B1FB7" w:rsidRPr="0057284A">
        <w:rPr>
          <w:highlight w:val="yellow"/>
          <w:rPrChange w:id="19" w:author="t_ghosh" w:date="2019-08-29T20:31:00Z">
            <w:rPr/>
          </w:rPrChange>
        </w:rPr>
        <w:t xml:space="preserve"> SESAME</w:t>
      </w:r>
      <w:r w:rsidR="00227548">
        <w:t xml:space="preserve">. </w:t>
      </w:r>
      <w:r w:rsidR="000B1FB7">
        <w:t>For the power system, we can model and project the GHG emissions as a consequence of renewables</w:t>
      </w:r>
      <w:r>
        <w:t xml:space="preserve"> penetration</w:t>
      </w:r>
      <w:r w:rsidR="000B1FB7">
        <w:t xml:space="preserve"> to the </w:t>
      </w:r>
      <w:r w:rsidR="005362C1">
        <w:t>grid</w:t>
      </w:r>
      <w:r w:rsidR="000B1FB7">
        <w:t xml:space="preserve">. To our knowledge, there is no previous publication on </w:t>
      </w:r>
      <w:r w:rsidR="000B1FB7" w:rsidRPr="0057284A">
        <w:rPr>
          <w:highlight w:val="yellow"/>
          <w:rPrChange w:id="20" w:author="t_ghosh" w:date="2019-08-29T20:32:00Z">
            <w:rPr/>
          </w:rPrChange>
        </w:rPr>
        <w:t xml:space="preserve">the consequential LCA of </w:t>
      </w:r>
      <w:r w:rsidR="004E614F" w:rsidRPr="0057284A">
        <w:rPr>
          <w:highlight w:val="yellow"/>
          <w:rPrChange w:id="21" w:author="t_ghosh" w:date="2019-08-29T20:32:00Z">
            <w:rPr/>
          </w:rPrChange>
        </w:rPr>
        <w:t xml:space="preserve">a </w:t>
      </w:r>
      <w:r w:rsidR="000B1FB7" w:rsidRPr="0057284A">
        <w:rPr>
          <w:highlight w:val="yellow"/>
          <w:rPrChange w:id="22" w:author="t_ghosh" w:date="2019-08-29T20:32:00Z">
            <w:rPr/>
          </w:rPrChange>
        </w:rPr>
        <w:t>power system</w:t>
      </w:r>
      <w:r w:rsidR="000B1FB7">
        <w:t>.</w:t>
      </w:r>
      <w:r w:rsidR="005362C1">
        <w:t xml:space="preserve"> This</w:t>
      </w:r>
      <w:r w:rsidR="004C321C">
        <w:t xml:space="preserve"> analysis will be shared and discussed in detail in a </w:t>
      </w:r>
      <w:proofErr w:type="gramStart"/>
      <w:r w:rsidR="004C321C">
        <w:t>subsequent publication</w:t>
      </w:r>
      <w:r w:rsidR="0031785B">
        <w:t>s</w:t>
      </w:r>
      <w:proofErr w:type="gramEnd"/>
      <w:r w:rsidR="004C321C">
        <w:t xml:space="preserve">. </w:t>
      </w:r>
    </w:p>
    <w:p w14:paraId="16034119" w14:textId="2A2E0F13" w:rsidR="000B1FB7" w:rsidRDefault="000B1FB7" w:rsidP="00227548">
      <w:r>
        <w:t>We have specified system boundaries for the LCA of all the products of focus in SESA</w:t>
      </w:r>
      <w:r w:rsidR="005362C1">
        <w:t>ME</w:t>
      </w:r>
      <w:r>
        <w:t xml:space="preserve">. </w:t>
      </w:r>
      <w:r w:rsidR="005362C1">
        <w:t>The system boundaries</w:t>
      </w:r>
      <w:r w:rsidR="0055643C">
        <w:t xml:space="preserve"> encompass all the life cycle steps (cradle-to-grave) which </w:t>
      </w:r>
      <w:r w:rsidR="00BB3CFC">
        <w:t>are</w:t>
      </w:r>
      <w:r w:rsidR="0055643C">
        <w:t xml:space="preserve"> </w:t>
      </w:r>
      <w:r w:rsidR="00BB3CFC">
        <w:t>upstream, midstream, process, Carbon Capture, Utilization and Storage (CCUS) as an optional step, gate to user, and end use</w:t>
      </w:r>
      <w:r w:rsidR="0055643C">
        <w:t xml:space="preserve">. </w:t>
      </w:r>
      <w:r w:rsidR="00C9488F">
        <w:t>A f</w:t>
      </w:r>
      <w:r w:rsidR="0055643C">
        <w:t>ew examples are depicted in</w:t>
      </w:r>
      <w:r w:rsidR="00981370">
        <w:t xml:space="preserve"> </w:t>
      </w:r>
      <w:r w:rsidR="00981370">
        <w:fldChar w:fldCharType="begin"/>
      </w:r>
      <w:r w:rsidR="00981370">
        <w:instrText xml:space="preserve"> REF _Ref13041097 \h </w:instrText>
      </w:r>
      <w:r w:rsidR="00981370">
        <w:fldChar w:fldCharType="separate"/>
      </w:r>
      <w:r w:rsidR="00981370" w:rsidRPr="006F5C30">
        <w:rPr>
          <w:b/>
        </w:rPr>
        <w:t xml:space="preserve">Figure </w:t>
      </w:r>
      <w:r w:rsidR="00981370">
        <w:rPr>
          <w:b/>
          <w:noProof/>
        </w:rPr>
        <w:t>1</w:t>
      </w:r>
      <w:r w:rsidR="00981370">
        <w:fldChar w:fldCharType="end"/>
      </w:r>
      <w:r w:rsidR="0055643C">
        <w:t xml:space="preserve">, which are </w:t>
      </w:r>
      <w:r w:rsidRPr="0057284A">
        <w:rPr>
          <w:highlight w:val="yellow"/>
          <w:rPrChange w:id="23" w:author="t_ghosh" w:date="2019-08-29T20:32:00Z">
            <w:rPr/>
          </w:rPrChange>
        </w:rPr>
        <w:t>the system boundar</w:t>
      </w:r>
      <w:r w:rsidR="0055643C" w:rsidRPr="0057284A">
        <w:rPr>
          <w:highlight w:val="yellow"/>
          <w:rPrChange w:id="24" w:author="t_ghosh" w:date="2019-08-29T20:32:00Z">
            <w:rPr/>
          </w:rPrChange>
        </w:rPr>
        <w:t>ies</w:t>
      </w:r>
      <w:r w:rsidRPr="0057284A">
        <w:rPr>
          <w:highlight w:val="yellow"/>
          <w:rPrChange w:id="25" w:author="t_ghosh" w:date="2019-08-29T20:32:00Z">
            <w:rPr/>
          </w:rPrChange>
        </w:rPr>
        <w:t xml:space="preserve"> </w:t>
      </w:r>
      <w:r w:rsidR="0055643C" w:rsidRPr="0057284A">
        <w:rPr>
          <w:highlight w:val="yellow"/>
          <w:rPrChange w:id="26" w:author="t_ghosh" w:date="2019-08-29T20:32:00Z">
            <w:rPr/>
          </w:rPrChange>
        </w:rPr>
        <w:t xml:space="preserve">for crude oil to gasoline, biomass to ethanol, coal to power, and </w:t>
      </w:r>
      <w:r w:rsidR="005362C1" w:rsidRPr="0057284A">
        <w:rPr>
          <w:highlight w:val="yellow"/>
          <w:rPrChange w:id="27" w:author="t_ghosh" w:date="2019-08-29T20:32:00Z">
            <w:rPr/>
          </w:rPrChange>
        </w:rPr>
        <w:t>natural gas (</w:t>
      </w:r>
      <w:r w:rsidR="0055643C" w:rsidRPr="0057284A">
        <w:rPr>
          <w:highlight w:val="yellow"/>
          <w:rPrChange w:id="28" w:author="t_ghosh" w:date="2019-08-29T20:32:00Z">
            <w:rPr/>
          </w:rPrChange>
        </w:rPr>
        <w:t>NG</w:t>
      </w:r>
      <w:r w:rsidR="005362C1" w:rsidRPr="0057284A">
        <w:rPr>
          <w:highlight w:val="yellow"/>
          <w:rPrChange w:id="29" w:author="t_ghosh" w:date="2019-08-29T20:32:00Z">
            <w:rPr/>
          </w:rPrChange>
        </w:rPr>
        <w:t>)</w:t>
      </w:r>
      <w:r w:rsidR="0055643C" w:rsidRPr="0057284A">
        <w:rPr>
          <w:highlight w:val="yellow"/>
          <w:rPrChange w:id="30" w:author="t_ghosh" w:date="2019-08-29T20:32:00Z">
            <w:rPr/>
          </w:rPrChange>
        </w:rPr>
        <w:t xml:space="preserve"> to power.</w:t>
      </w:r>
      <w:r w:rsidR="0055643C">
        <w:t xml:space="preserve"> </w:t>
      </w:r>
    </w:p>
    <w:p w14:paraId="15E514F5" w14:textId="77777777" w:rsidR="000B1FB7" w:rsidRPr="00227548" w:rsidRDefault="0055643C" w:rsidP="00227548">
      <w:r>
        <w:t>Depending on the nature an</w:t>
      </w:r>
      <w:r w:rsidR="005E0F6A">
        <w:t>d function of the product, its functional unit</w:t>
      </w:r>
      <w:r>
        <w:t xml:space="preserve"> could be different. For example, for biofuels</w:t>
      </w:r>
      <w:r w:rsidR="004E614F">
        <w:t>,</w:t>
      </w:r>
      <w:r>
        <w:t xml:space="preserve"> the functional unit could be one MJ of biofuel (calculated based on low heat value) or one mile driven by a car fueled by 100% biofuel. For power, the functional unit could be one </w:t>
      </w:r>
      <w:proofErr w:type="spellStart"/>
      <w:r>
        <w:t>Mwh</w:t>
      </w:r>
      <w:proofErr w:type="spellEnd"/>
      <w:r>
        <w:t xml:space="preserve"> (</w:t>
      </w:r>
      <w:r w:rsidR="00BB3CFC">
        <w:t>consumed</w:t>
      </w:r>
      <w:r>
        <w:t xml:space="preserve"> by a car or a residential facility) or one mile driven by an electric vehicle.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27548" w14:paraId="2C21CFFE" w14:textId="77777777" w:rsidTr="00981370">
        <w:tc>
          <w:tcPr>
            <w:tcW w:w="4680" w:type="dxa"/>
          </w:tcPr>
          <w:p w14:paraId="1061A950" w14:textId="77777777" w:rsidR="00227548" w:rsidRDefault="00227548" w:rsidP="00110CE9">
            <w:pPr>
              <w:rPr>
                <w:lang w:val="en-GB"/>
              </w:rPr>
            </w:pPr>
            <w:r>
              <w:rPr>
                <w:noProof/>
              </w:rPr>
              <w:drawing>
                <wp:inline distT="0" distB="0" distL="0" distR="0" wp14:anchorId="0672982D" wp14:editId="75449F8E">
                  <wp:extent cx="2834640" cy="1027997"/>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4640" cy="1027997"/>
                          </a:xfrm>
                          <a:prstGeom prst="rect">
                            <a:avLst/>
                          </a:prstGeom>
                          <a:noFill/>
                        </pic:spPr>
                      </pic:pic>
                    </a:graphicData>
                  </a:graphic>
                </wp:inline>
              </w:drawing>
            </w:r>
          </w:p>
        </w:tc>
        <w:tc>
          <w:tcPr>
            <w:tcW w:w="4680" w:type="dxa"/>
          </w:tcPr>
          <w:p w14:paraId="0DA91F48" w14:textId="77777777" w:rsidR="00227548" w:rsidRDefault="00227548" w:rsidP="00110CE9">
            <w:pPr>
              <w:rPr>
                <w:lang w:val="en-GB"/>
              </w:rPr>
            </w:pPr>
            <w:r>
              <w:rPr>
                <w:noProof/>
              </w:rPr>
              <w:drawing>
                <wp:inline distT="0" distB="0" distL="0" distR="0" wp14:anchorId="64AA070A" wp14:editId="69DCFF98">
                  <wp:extent cx="2834640" cy="1078934"/>
                  <wp:effectExtent l="0" t="0" r="381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4640" cy="1078934"/>
                          </a:xfrm>
                          <a:prstGeom prst="rect">
                            <a:avLst/>
                          </a:prstGeom>
                          <a:noFill/>
                        </pic:spPr>
                      </pic:pic>
                    </a:graphicData>
                  </a:graphic>
                </wp:inline>
              </w:drawing>
            </w:r>
          </w:p>
        </w:tc>
      </w:tr>
      <w:tr w:rsidR="00227548" w14:paraId="12F6C856" w14:textId="77777777" w:rsidTr="00981370">
        <w:tc>
          <w:tcPr>
            <w:tcW w:w="4680" w:type="dxa"/>
          </w:tcPr>
          <w:p w14:paraId="28351E03" w14:textId="77777777" w:rsidR="00227548" w:rsidRDefault="0055643C" w:rsidP="0055643C">
            <w:pPr>
              <w:jc w:val="center"/>
              <w:rPr>
                <w:lang w:val="en-GB"/>
              </w:rPr>
            </w:pPr>
            <w:r>
              <w:rPr>
                <w:lang w:val="en-GB"/>
              </w:rPr>
              <w:t>(a)</w:t>
            </w:r>
          </w:p>
        </w:tc>
        <w:tc>
          <w:tcPr>
            <w:tcW w:w="4680" w:type="dxa"/>
          </w:tcPr>
          <w:p w14:paraId="18CD31A8" w14:textId="77777777" w:rsidR="00227548" w:rsidRDefault="0055643C" w:rsidP="0055643C">
            <w:pPr>
              <w:jc w:val="center"/>
              <w:rPr>
                <w:lang w:val="en-GB"/>
              </w:rPr>
            </w:pPr>
            <w:r>
              <w:rPr>
                <w:lang w:val="en-GB"/>
              </w:rPr>
              <w:t>(b)</w:t>
            </w:r>
          </w:p>
        </w:tc>
      </w:tr>
    </w:tbl>
    <w:p w14:paraId="2070379A" w14:textId="77777777" w:rsidR="00F00CC9" w:rsidRDefault="00981370" w:rsidP="00110CE9">
      <w:pPr>
        <w:rPr>
          <w:lang w:val="en-GB"/>
        </w:rPr>
      </w:pPr>
      <w:bookmarkStart w:id="31" w:name="_Ref13041097"/>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1</w:t>
      </w:r>
      <w:r w:rsidR="005F3F9E">
        <w:rPr>
          <w:b/>
        </w:rPr>
        <w:fldChar w:fldCharType="end"/>
      </w:r>
      <w:bookmarkEnd w:id="31"/>
      <w:r>
        <w:t xml:space="preserve"> </w:t>
      </w:r>
      <w:r w:rsidR="005E1E88">
        <w:rPr>
          <w:lang w:val="en-GB"/>
        </w:rPr>
        <w:t xml:space="preserve">Examples of system boundaries for </w:t>
      </w:r>
      <w:r w:rsidR="00BB3CFC">
        <w:rPr>
          <w:lang w:val="en-GB"/>
        </w:rPr>
        <w:t>(a) products in transportation sector</w:t>
      </w:r>
      <w:r w:rsidR="0013432B">
        <w:rPr>
          <w:lang w:val="en-GB"/>
        </w:rPr>
        <w:t xml:space="preserve">: </w:t>
      </w:r>
      <w:r w:rsidR="0013432B">
        <w:t>crude oil to gasoline, and biomass to ethanol</w:t>
      </w:r>
      <w:r w:rsidR="00BB3CFC">
        <w:rPr>
          <w:lang w:val="en-GB"/>
        </w:rPr>
        <w:t>, and (b) products in the power sector</w:t>
      </w:r>
      <w:r w:rsidR="0013432B">
        <w:rPr>
          <w:lang w:val="en-GB"/>
        </w:rPr>
        <w:t xml:space="preserve">: </w:t>
      </w:r>
      <w:r w:rsidR="0013432B">
        <w:t>coal to power, and NG to power.</w:t>
      </w:r>
    </w:p>
    <w:p w14:paraId="0C11D6CE" w14:textId="77777777" w:rsidR="00BB3CFC" w:rsidRPr="006476FE" w:rsidRDefault="00D7136D" w:rsidP="00D7136D">
      <w:pPr>
        <w:pStyle w:val="Heading1"/>
        <w:numPr>
          <w:ilvl w:val="0"/>
          <w:numId w:val="0"/>
        </w:numPr>
        <w:ind w:left="1242" w:hanging="432"/>
      </w:pPr>
      <w:bookmarkStart w:id="32" w:name="_Toc517105427"/>
      <w:r>
        <w:t>2.2</w:t>
      </w:r>
      <w:r w:rsidR="00321148">
        <w:t xml:space="preserve">. </w:t>
      </w:r>
      <w:r w:rsidR="00BB3CFC">
        <w:t xml:space="preserve">Modular Tool Architecture </w:t>
      </w:r>
    </w:p>
    <w:p w14:paraId="236A57BB" w14:textId="6CD2C905" w:rsidR="00BB3CFC" w:rsidRDefault="00BB3CFC" w:rsidP="00BB3CFC">
      <w:r w:rsidRPr="00BF7E59">
        <w:rPr>
          <w:highlight w:val="yellow"/>
          <w:rPrChange w:id="33" w:author="t_ghosh" w:date="2019-08-30T12:10:00Z">
            <w:rPr/>
          </w:rPrChange>
        </w:rPr>
        <w:t>SESAME is designed based on a matrix of modules comprising of six</w:t>
      </w:r>
      <w:r w:rsidR="00C9488F" w:rsidRPr="00BF7E59">
        <w:rPr>
          <w:highlight w:val="yellow"/>
          <w:rPrChange w:id="34" w:author="t_ghosh" w:date="2019-08-30T12:10:00Z">
            <w:rPr/>
          </w:rPrChange>
        </w:rPr>
        <w:t xml:space="preserve"> key</w:t>
      </w:r>
      <w:r w:rsidRPr="00BF7E59">
        <w:rPr>
          <w:highlight w:val="yellow"/>
          <w:rPrChange w:id="35" w:author="t_ghosh" w:date="2019-08-30T12:10:00Z">
            <w:rPr/>
          </w:rPrChange>
        </w:rPr>
        <w:t xml:space="preserve"> </w:t>
      </w:r>
      <w:r w:rsidR="00150E9F" w:rsidRPr="00BF7E59">
        <w:rPr>
          <w:highlight w:val="yellow"/>
          <w:rPrChange w:id="36" w:author="t_ghosh" w:date="2019-08-30T12:10:00Z">
            <w:rPr/>
          </w:rPrChange>
        </w:rPr>
        <w:t>vectors</w:t>
      </w:r>
      <w:r w:rsidR="00C9488F">
        <w:t>,</w:t>
      </w:r>
      <w:r>
        <w:t xml:space="preserve"> each representing a life cycle step: upstream, midstream, process, Carbon Capture, Utilization and Storage (CCUS), gate to user, and end use (</w:t>
      </w:r>
      <w:r>
        <w:fldChar w:fldCharType="begin"/>
      </w:r>
      <w:r>
        <w:instrText xml:space="preserve"> REF _Ref5094514 \h </w:instrText>
      </w:r>
      <w:r>
        <w:fldChar w:fldCharType="separate"/>
      </w:r>
      <w:r w:rsidR="008429E3" w:rsidRPr="006F5C30">
        <w:rPr>
          <w:b/>
        </w:rPr>
        <w:t xml:space="preserve">Figure </w:t>
      </w:r>
      <w:r w:rsidR="008429E3">
        <w:rPr>
          <w:b/>
          <w:noProof/>
        </w:rPr>
        <w:t>2</w:t>
      </w:r>
      <w:r>
        <w:fldChar w:fldCharType="end"/>
      </w:r>
      <w:r>
        <w:t xml:space="preserve">). </w:t>
      </w:r>
    </w:p>
    <w:p w14:paraId="41B471EE" w14:textId="77777777" w:rsidR="00BB3CFC" w:rsidRDefault="00BB3CFC" w:rsidP="00BB3CFC">
      <w:pPr>
        <w:rPr>
          <w:lang w:val="en-GB"/>
        </w:rPr>
      </w:pPr>
      <w:r>
        <w:lastRenderedPageBreak/>
        <w:t xml:space="preserve">Modules are shown with dashed red boxes in </w:t>
      </w:r>
      <w:r w:rsidR="00981370">
        <w:fldChar w:fldCharType="begin"/>
      </w:r>
      <w:r w:rsidR="00981370">
        <w:instrText xml:space="preserve"> REF _Ref5094514 \h </w:instrText>
      </w:r>
      <w:r w:rsidR="00981370">
        <w:fldChar w:fldCharType="separate"/>
      </w:r>
      <w:r w:rsidR="008429E3" w:rsidRPr="006F5C30">
        <w:rPr>
          <w:b/>
        </w:rPr>
        <w:t xml:space="preserve">Figure </w:t>
      </w:r>
      <w:r w:rsidR="008429E3">
        <w:rPr>
          <w:b/>
          <w:noProof/>
        </w:rPr>
        <w:t>2</w:t>
      </w:r>
      <w:r w:rsidR="00981370">
        <w:fldChar w:fldCharType="end"/>
      </w:r>
      <w:r w:rsidR="001E249B">
        <w:t>. They represent</w:t>
      </w:r>
      <w:r>
        <w:t xml:space="preserve"> a set of common operations, and may have several sub-modules. </w:t>
      </w:r>
      <w:r w:rsidR="00D624C2">
        <w:t>U</w:t>
      </w:r>
      <w:r>
        <w:t>ser</w:t>
      </w:r>
      <w:r w:rsidR="00D624C2">
        <w:t>s</w:t>
      </w:r>
      <w:r>
        <w:t xml:space="preserve"> select one module from each column. The collective selected modules by the user</w:t>
      </w:r>
      <w:r w:rsidR="00D624C2">
        <w:t>s</w:t>
      </w:r>
      <w:r>
        <w:t xml:space="preserve"> will form a pathway to produce a specific product (</w:t>
      </w:r>
      <w:r w:rsidR="005E0F6A">
        <w:t>listed</w:t>
      </w:r>
      <w:r>
        <w:t xml:space="preserve"> in </w:t>
      </w:r>
      <w:r w:rsidR="00C00CE7">
        <w:t>the green box on the top right-</w:t>
      </w:r>
      <w:r>
        <w:t xml:space="preserve">hand side of </w:t>
      </w:r>
      <w:r w:rsidR="00981370">
        <w:fldChar w:fldCharType="begin"/>
      </w:r>
      <w:r w:rsidR="00981370">
        <w:instrText xml:space="preserve"> REF _Ref5094514 \h </w:instrText>
      </w:r>
      <w:r w:rsidR="00981370">
        <w:fldChar w:fldCharType="separate"/>
      </w:r>
      <w:r w:rsidR="008429E3" w:rsidRPr="006F5C30">
        <w:rPr>
          <w:b/>
        </w:rPr>
        <w:t xml:space="preserve">Figure </w:t>
      </w:r>
      <w:r w:rsidR="008429E3">
        <w:rPr>
          <w:b/>
          <w:noProof/>
        </w:rPr>
        <w:t>2</w:t>
      </w:r>
      <w:r w:rsidR="00981370">
        <w:fldChar w:fldCharType="end"/>
      </w:r>
      <w:r>
        <w:t xml:space="preserve">). </w:t>
      </w:r>
      <w:r w:rsidR="00A05313">
        <w:t xml:space="preserve">Depending on the </w:t>
      </w:r>
      <w:r w:rsidR="00A05313" w:rsidRPr="00BF7E59">
        <w:rPr>
          <w:highlight w:val="yellow"/>
          <w:rPrChange w:id="37" w:author="t_ghosh" w:date="2019-08-30T12:10:00Z">
            <w:rPr/>
          </w:rPrChange>
        </w:rPr>
        <w:t>pathway, skipping columns or selecting multiple modules from the same column is also possible.</w:t>
      </w:r>
      <w:r w:rsidR="00A05313">
        <w:t xml:space="preserve"> </w:t>
      </w:r>
      <w:r>
        <w:rPr>
          <w:lang w:val="en-GB"/>
        </w:rPr>
        <w:t xml:space="preserve">The modular structure allows </w:t>
      </w:r>
      <w:r w:rsidR="00C00CE7">
        <w:rPr>
          <w:lang w:val="en-GB"/>
        </w:rPr>
        <w:t xml:space="preserve">for </w:t>
      </w:r>
      <w:r>
        <w:rPr>
          <w:lang w:val="en-GB"/>
        </w:rPr>
        <w:t xml:space="preserve">creating numerous individual pathways to </w:t>
      </w:r>
      <w:r w:rsidRPr="00BF7E59">
        <w:rPr>
          <w:highlight w:val="yellow"/>
          <w:lang w:val="en-GB"/>
          <w:rPrChange w:id="38" w:author="t_ghosh" w:date="2019-08-30T12:11:00Z">
            <w:rPr>
              <w:lang w:val="en-GB"/>
            </w:rPr>
          </w:rPrChange>
        </w:rPr>
        <w:t>conduct pathway-level LCA.</w:t>
      </w:r>
      <w:r>
        <w:rPr>
          <w:lang w:val="en-GB"/>
        </w:rPr>
        <w:t xml:space="preserve"> To conduct </w:t>
      </w:r>
      <w:r w:rsidR="005E0F6A">
        <w:rPr>
          <w:lang w:val="en-GB"/>
        </w:rPr>
        <w:t xml:space="preserve">a </w:t>
      </w:r>
      <w:r>
        <w:rPr>
          <w:lang w:val="en-GB"/>
        </w:rPr>
        <w:t xml:space="preserve">system-level LCA, we can group as many modules/sub-modules needed which </w:t>
      </w:r>
      <w:r w:rsidRPr="00BF7E59">
        <w:rPr>
          <w:highlight w:val="yellow"/>
          <w:lang w:val="en-GB"/>
          <w:rPrChange w:id="39" w:author="t_ghosh" w:date="2019-08-30T12:11:00Z">
            <w:rPr>
              <w:lang w:val="en-GB"/>
            </w:rPr>
          </w:rPrChange>
        </w:rPr>
        <w:t>represent a system (e.g., transportation system or power system). We</w:t>
      </w:r>
      <w:r w:rsidRPr="00307258">
        <w:rPr>
          <w:lang w:val="en-GB"/>
        </w:rPr>
        <w:t xml:space="preserve"> can conduct</w:t>
      </w:r>
      <w:r w:rsidR="00C00CE7">
        <w:rPr>
          <w:lang w:val="en-GB"/>
        </w:rPr>
        <w:t xml:space="preserve"> the</w:t>
      </w:r>
      <w:r w:rsidRPr="00307258">
        <w:rPr>
          <w:lang w:val="en-GB"/>
        </w:rPr>
        <w:t xml:space="preserve"> LCA of </w:t>
      </w:r>
      <w:r>
        <w:rPr>
          <w:lang w:val="en-GB"/>
        </w:rPr>
        <w:t xml:space="preserve">a </w:t>
      </w:r>
      <w:r w:rsidRPr="00BF7E59">
        <w:rPr>
          <w:highlight w:val="yellow"/>
          <w:lang w:val="en-GB"/>
          <w:rPrChange w:id="40" w:author="t_ghosh" w:date="2019-08-30T12:12:00Z">
            <w:rPr>
              <w:lang w:val="en-GB"/>
            </w:rPr>
          </w:rPrChange>
        </w:rPr>
        <w:t>transportation system by connecting each transportation fuel life cycle sub-module</w:t>
      </w:r>
      <w:r w:rsidRPr="00307258">
        <w:rPr>
          <w:lang w:val="en-GB"/>
        </w:rPr>
        <w:t xml:space="preserve"> to </w:t>
      </w:r>
      <w:r>
        <w:rPr>
          <w:lang w:val="en-GB"/>
        </w:rPr>
        <w:t xml:space="preserve">our </w:t>
      </w:r>
      <w:r w:rsidRPr="00307258">
        <w:rPr>
          <w:lang w:val="en-GB"/>
        </w:rPr>
        <w:t xml:space="preserve">vehicle fleet model. </w:t>
      </w:r>
    </w:p>
    <w:p w14:paraId="42839EDD" w14:textId="01B70E36" w:rsidR="00BB3CFC" w:rsidRPr="005F50E0" w:rsidRDefault="00C9488F" w:rsidP="00BB3CFC">
      <w:r>
        <w:t>The u</w:t>
      </w:r>
      <w:r w:rsidR="00BB3CFC">
        <w:t xml:space="preserve">pstream </w:t>
      </w:r>
      <w:r w:rsidR="005E0F6A">
        <w:t>module</w:t>
      </w:r>
      <w:r w:rsidR="00BB3CFC">
        <w:t xml:space="preserve"> in </w:t>
      </w:r>
      <w:r w:rsidR="00981370">
        <w:fldChar w:fldCharType="begin"/>
      </w:r>
      <w:r w:rsidR="00981370">
        <w:instrText xml:space="preserve"> REF _Ref5094514 \h </w:instrText>
      </w:r>
      <w:r w:rsidR="00981370">
        <w:fldChar w:fldCharType="separate"/>
      </w:r>
      <w:r w:rsidR="008429E3" w:rsidRPr="006F5C30">
        <w:rPr>
          <w:b/>
        </w:rPr>
        <w:t xml:space="preserve">Figure </w:t>
      </w:r>
      <w:r w:rsidR="008429E3">
        <w:rPr>
          <w:b/>
          <w:noProof/>
        </w:rPr>
        <w:t>2</w:t>
      </w:r>
      <w:r w:rsidR="00981370">
        <w:fldChar w:fldCharType="end"/>
      </w:r>
      <w:r w:rsidR="00BB3CFC">
        <w:t xml:space="preserve"> represents extraction and production of feedstock, key minerals</w:t>
      </w:r>
      <w:r w:rsidR="00C00CE7">
        <w:t>,</w:t>
      </w:r>
      <w:r w:rsidR="00BB3CFC">
        <w:t xml:space="preserve"> and also chemicals that are necessary for subsequent conversion processes. Feedstock could be fossil-based or renewable-based. Fossil feedstocks (and their major sub-modules) included in SESAME are natural gas (conventional, and shale gas), crude oil (conventional, tight oil, and oil sands), and coal (bituminous, sub-bituminous, lignite). </w:t>
      </w:r>
    </w:p>
    <w:p w14:paraId="4E72513C" w14:textId="77777777" w:rsidR="00BB3CFC" w:rsidRDefault="00BB3CFC" w:rsidP="00BB3CFC">
      <w:pPr>
        <w:keepNext/>
      </w:pPr>
      <w:r>
        <w:rPr>
          <w:noProof/>
        </w:rPr>
        <w:drawing>
          <wp:inline distT="0" distB="0" distL="0" distR="0" wp14:anchorId="5E4658D0" wp14:editId="4BCA014C">
            <wp:extent cx="6492144" cy="41417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9986"/>
                    <a:stretch/>
                  </pic:blipFill>
                  <pic:spPr bwMode="auto">
                    <a:xfrm>
                      <a:off x="0" y="0"/>
                      <a:ext cx="6492240" cy="4141819"/>
                    </a:xfrm>
                    <a:prstGeom prst="rect">
                      <a:avLst/>
                    </a:prstGeom>
                    <a:noFill/>
                    <a:ln>
                      <a:noFill/>
                    </a:ln>
                    <a:extLst>
                      <a:ext uri="{53640926-AAD7-44D8-BBD7-CCE9431645EC}">
                        <a14:shadowObscured xmlns:a14="http://schemas.microsoft.com/office/drawing/2010/main"/>
                      </a:ext>
                    </a:extLst>
                  </pic:spPr>
                </pic:pic>
              </a:graphicData>
            </a:graphic>
          </wp:inline>
        </w:drawing>
      </w:r>
    </w:p>
    <w:p w14:paraId="12A3598B" w14:textId="77777777" w:rsidR="00BB3CFC" w:rsidRDefault="00BB3CFC" w:rsidP="004E4BF1">
      <w:pPr>
        <w:pStyle w:val="Caption"/>
      </w:pPr>
      <w:bookmarkStart w:id="41" w:name="_Ref5094514"/>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2</w:t>
      </w:r>
      <w:r w:rsidR="005F3F9E">
        <w:rPr>
          <w:b/>
        </w:rPr>
        <w:fldChar w:fldCharType="end"/>
      </w:r>
      <w:bookmarkEnd w:id="41"/>
      <w:r>
        <w:t xml:space="preserve"> The modular representation of the energy system as defined in SESAME.</w:t>
      </w:r>
    </w:p>
    <w:p w14:paraId="1FAEEECF" w14:textId="79F49ECF" w:rsidR="00AE7455" w:rsidRDefault="00BB3CFC" w:rsidP="00BB3CFC">
      <w:pPr>
        <w:rPr>
          <w:lang w:val="en-GB"/>
        </w:rPr>
      </w:pPr>
      <w:r>
        <w:rPr>
          <w:lang w:val="en-GB"/>
        </w:rPr>
        <w:lastRenderedPageBreak/>
        <w:t xml:space="preserve">Renewable feedstock modules comprise biomass (corn, corn </w:t>
      </w:r>
      <w:proofErr w:type="spellStart"/>
      <w:r>
        <w:rPr>
          <w:lang w:val="en-GB"/>
        </w:rPr>
        <w:t>stover</w:t>
      </w:r>
      <w:proofErr w:type="spellEnd"/>
      <w:r>
        <w:rPr>
          <w:lang w:val="en-GB"/>
        </w:rPr>
        <w:t xml:space="preserve">, forest residue, biogas), solar (photovoltaics, concentrated solar power), wind, hydropower, wave &amp; tidal, and geothermal. </w:t>
      </w:r>
      <w:r w:rsidR="00C9488F">
        <w:rPr>
          <w:lang w:val="en-GB"/>
        </w:rPr>
        <w:t>The b</w:t>
      </w:r>
      <w:r>
        <w:rPr>
          <w:lang w:val="en-GB"/>
        </w:rPr>
        <w:t>iomass upstream module contains production and harvesting related emissions. For other renewable modules, since there are no associate</w:t>
      </w:r>
      <w:r w:rsidR="00DA391D">
        <w:rPr>
          <w:lang w:val="en-GB"/>
        </w:rPr>
        <w:t>d</w:t>
      </w:r>
      <w:r>
        <w:rPr>
          <w:lang w:val="en-GB"/>
        </w:rPr>
        <w:t xml:space="preserve"> emissions during power generation step, all the life cycle emissions are included in their corresponding upstream modules. Depending on the resource, the impact of technology options, locations, etc. are included as a variable. </w:t>
      </w:r>
    </w:p>
    <w:p w14:paraId="150C2F5A" w14:textId="5C38D7DB" w:rsidR="00BB3CFC" w:rsidRDefault="00C9488F" w:rsidP="00BB3CFC">
      <w:pPr>
        <w:rPr>
          <w:lang w:val="en-GB"/>
        </w:rPr>
      </w:pPr>
      <w:r>
        <w:rPr>
          <w:lang w:val="en-GB"/>
        </w:rPr>
        <w:t>The m</w:t>
      </w:r>
      <w:r w:rsidR="00BB3CFC">
        <w:rPr>
          <w:lang w:val="en-GB"/>
        </w:rPr>
        <w:t xml:space="preserve">idstream </w:t>
      </w:r>
      <w:r w:rsidR="00AE7455">
        <w:rPr>
          <w:lang w:val="en-GB"/>
        </w:rPr>
        <w:t>module</w:t>
      </w:r>
      <w:r w:rsidR="00BB3CFC">
        <w:rPr>
          <w:lang w:val="en-GB"/>
        </w:rPr>
        <w:t xml:space="preserve"> represents the transportation of energy feedstocks to </w:t>
      </w:r>
      <w:r w:rsidR="00382737">
        <w:rPr>
          <w:lang w:val="en-GB"/>
        </w:rPr>
        <w:t xml:space="preserve">the </w:t>
      </w:r>
      <w:r w:rsidR="00BB3CFC">
        <w:rPr>
          <w:lang w:val="en-GB"/>
        </w:rPr>
        <w:t xml:space="preserve">processing step based on the phase of the feedstock: gas, liquid, and solid. </w:t>
      </w:r>
      <w:r>
        <w:rPr>
          <w:lang w:val="en-GB"/>
        </w:rPr>
        <w:t>The g</w:t>
      </w:r>
      <w:r w:rsidR="00BB3CFC">
        <w:rPr>
          <w:lang w:val="en-GB"/>
        </w:rPr>
        <w:t>as midstream module includes processes (compression, separation, liquefaction, flaring) that can be applied to any gaseous feedstock, e.g.</w:t>
      </w:r>
      <w:r w:rsidR="00382737">
        <w:rPr>
          <w:lang w:val="en-GB"/>
        </w:rPr>
        <w:t>,</w:t>
      </w:r>
      <w:r w:rsidR="00BB3CFC">
        <w:rPr>
          <w:lang w:val="en-GB"/>
        </w:rPr>
        <w:t xml:space="preserve"> natural gas and biogas. Additionally, common gas transportation modes such as pipeline, tank, and shipping are included. Modules within </w:t>
      </w:r>
      <w:r w:rsidR="00382737">
        <w:rPr>
          <w:lang w:val="en-GB"/>
        </w:rPr>
        <w:t xml:space="preserve">the </w:t>
      </w:r>
      <w:r w:rsidR="00BB3CFC">
        <w:rPr>
          <w:lang w:val="en-GB"/>
        </w:rPr>
        <w:t xml:space="preserve">same life cycle step can be stacked in case more than one module needs to be included for the operation. For example, in </w:t>
      </w:r>
      <w:r w:rsidR="00382737">
        <w:rPr>
          <w:lang w:val="en-GB"/>
        </w:rPr>
        <w:t xml:space="preserve">the </w:t>
      </w:r>
      <w:r w:rsidR="00BB3CFC">
        <w:rPr>
          <w:lang w:val="en-GB"/>
        </w:rPr>
        <w:t xml:space="preserve">case of natural gas as feedstock, a compression step will be required for almost any kind of transportation step; hence, the midstream step will include both compression and pipeline transportation. </w:t>
      </w:r>
      <w:r w:rsidR="00A303D9">
        <w:rPr>
          <w:lang w:val="en-GB"/>
        </w:rPr>
        <w:t>The l</w:t>
      </w:r>
      <w:r w:rsidR="00BB3CFC">
        <w:rPr>
          <w:lang w:val="en-GB"/>
        </w:rPr>
        <w:t xml:space="preserve">iquid midstream module </w:t>
      </w:r>
      <w:r w:rsidR="00BB3CFC" w:rsidRPr="00BF7E59">
        <w:rPr>
          <w:highlight w:val="yellow"/>
          <w:lang w:val="en-GB"/>
          <w:rPrChange w:id="42" w:author="t_ghosh" w:date="2019-08-30T12:12:00Z">
            <w:rPr>
              <w:lang w:val="en-GB"/>
            </w:rPr>
          </w:rPrChange>
        </w:rPr>
        <w:t>comprises separation and transportation via pipeline, rail, ship, and truck options</w:t>
      </w:r>
      <w:r w:rsidR="00BB3CFC">
        <w:rPr>
          <w:lang w:val="en-GB"/>
        </w:rPr>
        <w:t xml:space="preserve">. </w:t>
      </w:r>
      <w:r w:rsidR="00A303D9">
        <w:rPr>
          <w:lang w:val="en-GB"/>
        </w:rPr>
        <w:t>The s</w:t>
      </w:r>
      <w:r w:rsidR="00BB3CFC">
        <w:rPr>
          <w:lang w:val="en-GB"/>
        </w:rPr>
        <w:t>olid midstream module contain</w:t>
      </w:r>
      <w:r w:rsidR="00B10266">
        <w:rPr>
          <w:lang w:val="en-GB"/>
        </w:rPr>
        <w:t>s</w:t>
      </w:r>
      <w:r w:rsidR="00BB3CFC">
        <w:rPr>
          <w:lang w:val="en-GB"/>
        </w:rPr>
        <w:t xml:space="preserve"> various operations that are part of solid processing such as drying, crushing/milling, </w:t>
      </w:r>
      <w:r w:rsidR="00A303D9">
        <w:rPr>
          <w:lang w:val="en-GB"/>
        </w:rPr>
        <w:t xml:space="preserve">and </w:t>
      </w:r>
      <w:r w:rsidR="00BB3CFC">
        <w:rPr>
          <w:lang w:val="en-GB"/>
        </w:rPr>
        <w:t>transportation via truck, ship</w:t>
      </w:r>
      <w:r w:rsidR="00CB30CB">
        <w:rPr>
          <w:lang w:val="en-GB"/>
        </w:rPr>
        <w:t>,</w:t>
      </w:r>
      <w:r w:rsidR="00BB3CFC">
        <w:rPr>
          <w:lang w:val="en-GB"/>
        </w:rPr>
        <w:t xml:space="preserve"> and rail. For nuclear power generation</w:t>
      </w:r>
      <w:r w:rsidR="00A303D9">
        <w:rPr>
          <w:lang w:val="en-GB"/>
        </w:rPr>
        <w:t>,</w:t>
      </w:r>
      <w:r w:rsidR="00BB3CFC">
        <w:rPr>
          <w:lang w:val="en-GB"/>
        </w:rPr>
        <w:t xml:space="preserve"> uranium ore transportation is included in the solid module.</w:t>
      </w:r>
    </w:p>
    <w:p w14:paraId="0F81535C" w14:textId="4C5CDD13" w:rsidR="00BB3CFC" w:rsidRDefault="00D90B6C" w:rsidP="00BB3CFC">
      <w:pPr>
        <w:rPr>
          <w:lang w:val="en-GB"/>
        </w:rPr>
      </w:pPr>
      <w:r>
        <w:rPr>
          <w:lang w:val="en-GB"/>
        </w:rPr>
        <w:t>The p</w:t>
      </w:r>
      <w:r w:rsidR="00BB3CFC">
        <w:rPr>
          <w:lang w:val="en-GB"/>
        </w:rPr>
        <w:t xml:space="preserve">rocess </w:t>
      </w:r>
      <w:r w:rsidR="00B10266">
        <w:rPr>
          <w:lang w:val="en-GB"/>
        </w:rPr>
        <w:t xml:space="preserve">module represents </w:t>
      </w:r>
      <w:r w:rsidR="00CB30CB">
        <w:rPr>
          <w:lang w:val="en-GB"/>
        </w:rPr>
        <w:t>one of the key life cycle steps, in which</w:t>
      </w:r>
      <w:r w:rsidR="00BB3CFC">
        <w:rPr>
          <w:lang w:val="en-GB"/>
        </w:rPr>
        <w:t xml:space="preserve"> Heat &amp; Power and Industrial are </w:t>
      </w:r>
      <w:r w:rsidR="00CB30CB">
        <w:rPr>
          <w:lang w:val="en-GB"/>
        </w:rPr>
        <w:t>the</w:t>
      </w:r>
      <w:r w:rsidR="00C67251">
        <w:rPr>
          <w:lang w:val="en-GB"/>
        </w:rPr>
        <w:t xml:space="preserve"> two main modules</w:t>
      </w:r>
      <w:r w:rsidR="00BB3CFC">
        <w:rPr>
          <w:lang w:val="en-GB"/>
        </w:rPr>
        <w:t>. All major thermal power generation option</w:t>
      </w:r>
      <w:r w:rsidR="00C67251">
        <w:rPr>
          <w:lang w:val="en-GB"/>
        </w:rPr>
        <w:t>s are represented as sub-modules such as</w:t>
      </w:r>
      <w:r w:rsidR="00BB3CFC">
        <w:rPr>
          <w:lang w:val="en-GB"/>
        </w:rPr>
        <w:t xml:space="preserve"> sub-critical and super-critical steam turbines, gas turbine, combined cycle, and integrated gasification combined cycle. For heat supply options, steam generation</w:t>
      </w:r>
      <w:r w:rsidR="00E87837">
        <w:rPr>
          <w:lang w:val="en-GB"/>
        </w:rPr>
        <w:t>,</w:t>
      </w:r>
      <w:r w:rsidR="00BB3CFC">
        <w:rPr>
          <w:lang w:val="en-GB"/>
        </w:rPr>
        <w:t xml:space="preserve"> and combustion are included. Nuclear power plants a</w:t>
      </w:r>
      <w:r>
        <w:rPr>
          <w:lang w:val="en-GB"/>
        </w:rPr>
        <w:t>re also included in this step. The i</w:t>
      </w:r>
      <w:r w:rsidR="00BB3CFC">
        <w:rPr>
          <w:lang w:val="en-GB"/>
        </w:rPr>
        <w:t xml:space="preserve">ndustrial module includes all major industrial processes. </w:t>
      </w:r>
      <w:r w:rsidR="007C5704" w:rsidRPr="007C5704">
        <w:rPr>
          <w:lang w:val="en-GB"/>
        </w:rPr>
        <w:t xml:space="preserve">The </w:t>
      </w:r>
      <w:r w:rsidR="007C5704" w:rsidRPr="00BF7E59">
        <w:rPr>
          <w:highlight w:val="yellow"/>
          <w:lang w:val="en-GB"/>
          <w:rPrChange w:id="43" w:author="t_ghosh" w:date="2019-08-30T12:12:00Z">
            <w:rPr>
              <w:lang w:val="en-GB"/>
            </w:rPr>
          </w:rPrChange>
        </w:rPr>
        <w:t>Petroleum Refinery Life Cycle Inventory Model (PRELIM</w:t>
      </w:r>
      <w:r w:rsidR="006159BA" w:rsidRPr="00BF7E59">
        <w:rPr>
          <w:highlight w:val="yellow"/>
          <w:lang w:val="en-GB"/>
          <w:rPrChange w:id="44" w:author="t_ghosh" w:date="2019-08-30T12:12:00Z">
            <w:rPr>
              <w:lang w:val="en-GB"/>
            </w:rPr>
          </w:rPrChange>
        </w:rPr>
        <w:t xml:space="preserve">) </w:t>
      </w:r>
      <w:r w:rsidR="006159BA" w:rsidRPr="00BF7E59">
        <w:rPr>
          <w:highlight w:val="yellow"/>
          <w:lang w:val="en-GB"/>
          <w:rPrChange w:id="45" w:author="t_ghosh" w:date="2019-08-30T12:12:00Z">
            <w:rPr>
              <w:lang w:val="en-GB"/>
            </w:rPr>
          </w:rPrChange>
        </w:rPr>
        <w:fldChar w:fldCharType="begin" w:fldLock="1"/>
      </w:r>
      <w:r w:rsidR="007E2673" w:rsidRPr="00BF7E59">
        <w:rPr>
          <w:highlight w:val="yellow"/>
          <w:lang w:val="en-GB"/>
          <w:rPrChange w:id="46" w:author="t_ghosh" w:date="2019-08-30T12:12:00Z">
            <w:rPr>
              <w:lang w:val="en-GB"/>
            </w:rPr>
          </w:rPrChange>
        </w:rPr>
        <w:instrText>ADDIN CSL_CITATION {"citationItems":[{"id":"ITEM-1","itemData":{"DOI":"10.1021/es3018682","ISSN":"0013-936X","abstract":"A petroleum refinery model, Petroleum Refinery Life-cycle Inventory Model (PRELIM), which quantifies energy use and greenhouse gas (GHG) emissions with the detail and transparency sufficient to inform policy analysis is developed. PRELIM improves on prior models by representing a more comprehensive range of crude oil quality and refinery configuration, using publicly available information, and supported by refinery operating data and experts’ input. The potential use of PRELIM is demonstrated through a scenario analysis to explore the implications of processing crudes of different qualities, with a focus on oil sands products, in different refinery configurations. The variability in GHG emissions estimates resulting from all cases considered in the model application shows differences of up to 14 g CO2eq/MJ of crude, or up to 11 g CO2eq/MJ of gasoline and 19 g CO2eq/MJ of diesel (the margin of deviation in the emissions estimates is roughly 10%). This variability is comparable to the magnitude of upstream ...","author":[{"dropping-particle":"","family":"Abella","given":"Jessica P.","non-dropping-particle":"","parse-names":false,"suffix":""},{"dropping-particle":"","family":"Bergerson","given":"Joule A.","non-dropping-particle":"","parse-names":false,"suffix":""}],"container-title":"Environmental Science &amp; Technology","id":"ITEM-1","issue":"24","issued":{"date-parts":[["2012","12","18"]]},"page":"13037-13047","publisher":"American Chemical Society","title":"Model to Investigate Energy and Greenhouse Gas Emissions Implications of Refining Petroleum: Impacts of Crude Quality and Refinery Configuration","type":"article-journal","volume":"46"},"uris":["http://www.mendeley.com/documents/?uuid=d158b654-80d9-3f86-a4bc-cd70422f80fa"]}],"mendeley":{"formattedCitation":"[13]","plainTextFormattedCitation":"[13]","previouslyFormattedCitation":"[13]"},"properties":{"noteIndex":0},"schema":"https://github.com/citation-style-language/schema/raw/master/csl-citation.json"}</w:instrText>
      </w:r>
      <w:r w:rsidR="006159BA" w:rsidRPr="00BF7E59">
        <w:rPr>
          <w:highlight w:val="yellow"/>
          <w:lang w:val="en-GB"/>
          <w:rPrChange w:id="47" w:author="t_ghosh" w:date="2019-08-30T12:12:00Z">
            <w:rPr>
              <w:lang w:val="en-GB"/>
            </w:rPr>
          </w:rPrChange>
        </w:rPr>
        <w:fldChar w:fldCharType="separate"/>
      </w:r>
      <w:r w:rsidR="006159BA" w:rsidRPr="00BF7E59">
        <w:rPr>
          <w:noProof/>
          <w:highlight w:val="yellow"/>
          <w:lang w:val="en-GB"/>
          <w:rPrChange w:id="48" w:author="t_ghosh" w:date="2019-08-30T12:12:00Z">
            <w:rPr>
              <w:noProof/>
              <w:lang w:val="en-GB"/>
            </w:rPr>
          </w:rPrChange>
        </w:rPr>
        <w:t>[13]</w:t>
      </w:r>
      <w:r w:rsidR="006159BA" w:rsidRPr="00BF7E59">
        <w:rPr>
          <w:highlight w:val="yellow"/>
          <w:lang w:val="en-GB"/>
          <w:rPrChange w:id="49" w:author="t_ghosh" w:date="2019-08-30T12:12:00Z">
            <w:rPr>
              <w:lang w:val="en-GB"/>
            </w:rPr>
          </w:rPrChange>
        </w:rPr>
        <w:fldChar w:fldCharType="end"/>
      </w:r>
      <w:r w:rsidR="00BB3CFC" w:rsidRPr="00BF7E59">
        <w:rPr>
          <w:highlight w:val="yellow"/>
          <w:lang w:val="en-GB"/>
          <w:rPrChange w:id="50" w:author="t_ghosh" w:date="2019-08-30T12:12:00Z">
            <w:rPr>
              <w:lang w:val="en-GB"/>
            </w:rPr>
          </w:rPrChange>
        </w:rPr>
        <w:t>,</w:t>
      </w:r>
      <w:r w:rsidR="00BB3CFC">
        <w:rPr>
          <w:lang w:val="en-GB"/>
        </w:rPr>
        <w:t xml:space="preserve"> was used to develop the refining module with gasoline</w:t>
      </w:r>
      <w:r w:rsidR="00E87837">
        <w:rPr>
          <w:lang w:val="en-GB"/>
        </w:rPr>
        <w:t>,</w:t>
      </w:r>
      <w:r w:rsidR="00BB3CFC">
        <w:rPr>
          <w:lang w:val="en-GB"/>
        </w:rPr>
        <w:t xml:space="preserve"> and diesel as primary products. </w:t>
      </w:r>
      <w:r w:rsidR="00F1635D">
        <w:rPr>
          <w:lang w:val="en-GB"/>
        </w:rPr>
        <w:t>Seventeen</w:t>
      </w:r>
      <w:r w:rsidR="00BB3CFC">
        <w:rPr>
          <w:lang w:val="en-GB"/>
        </w:rPr>
        <w:t xml:space="preserve"> generic refinery configuration and three crude types (West Texas Sour, West Texas Intermediate, </w:t>
      </w:r>
      <w:r>
        <w:rPr>
          <w:lang w:val="en-GB"/>
        </w:rPr>
        <w:t>Venezuela</w:t>
      </w:r>
      <w:r w:rsidR="00BB3CFC">
        <w:rPr>
          <w:lang w:val="en-GB"/>
        </w:rPr>
        <w:t xml:space="preserve"> Leona) are included </w:t>
      </w:r>
      <w:r w:rsidR="00C67251">
        <w:rPr>
          <w:lang w:val="en-GB"/>
        </w:rPr>
        <w:t>as feedstock</w:t>
      </w:r>
      <w:r w:rsidR="00BB3CFC">
        <w:rPr>
          <w:lang w:val="en-GB"/>
        </w:rPr>
        <w:t xml:space="preserve">. Ethanol production (from corn </w:t>
      </w:r>
      <w:r w:rsidR="00F1635D">
        <w:rPr>
          <w:lang w:val="en-GB"/>
        </w:rPr>
        <w:t>or</w:t>
      </w:r>
      <w:r w:rsidR="00BB3CFC">
        <w:rPr>
          <w:lang w:val="en-GB"/>
        </w:rPr>
        <w:t xml:space="preserve"> corn </w:t>
      </w:r>
      <w:proofErr w:type="spellStart"/>
      <w:r w:rsidR="00BB3CFC">
        <w:rPr>
          <w:lang w:val="en-GB"/>
        </w:rPr>
        <w:t>stover</w:t>
      </w:r>
      <w:proofErr w:type="spellEnd"/>
      <w:r w:rsidR="00BB3CFC">
        <w:rPr>
          <w:lang w:val="en-GB"/>
        </w:rPr>
        <w:t xml:space="preserve">) </w:t>
      </w:r>
      <w:r w:rsidR="00C67251">
        <w:rPr>
          <w:lang w:val="en-GB"/>
        </w:rPr>
        <w:t xml:space="preserve">was covered in the </w:t>
      </w:r>
      <w:r w:rsidR="00BB3CFC">
        <w:rPr>
          <w:lang w:val="en-GB"/>
        </w:rPr>
        <w:t xml:space="preserve">biorefinery </w:t>
      </w:r>
      <w:r w:rsidR="00C67251">
        <w:rPr>
          <w:lang w:val="en-GB"/>
        </w:rPr>
        <w:t>module</w:t>
      </w:r>
      <w:r w:rsidR="00BB3CFC">
        <w:rPr>
          <w:lang w:val="en-GB"/>
        </w:rPr>
        <w:t xml:space="preserve">. We used NREL’s Aspen simulation for </w:t>
      </w:r>
      <w:r w:rsidR="00BB3CFC" w:rsidRPr="00BF7E59">
        <w:rPr>
          <w:highlight w:val="yellow"/>
          <w:lang w:val="en-GB"/>
          <w:rPrChange w:id="51" w:author="t_ghosh" w:date="2019-08-30T12:13:00Z">
            <w:rPr>
              <w:lang w:val="en-GB"/>
            </w:rPr>
          </w:rPrChange>
        </w:rPr>
        <w:t xml:space="preserve">corn </w:t>
      </w:r>
      <w:proofErr w:type="spellStart"/>
      <w:r w:rsidR="00BB3CFC" w:rsidRPr="00BF7E59">
        <w:rPr>
          <w:highlight w:val="yellow"/>
          <w:lang w:val="en-GB"/>
          <w:rPrChange w:id="52" w:author="t_ghosh" w:date="2019-08-30T12:13:00Z">
            <w:rPr>
              <w:lang w:val="en-GB"/>
            </w:rPr>
          </w:rPrChange>
        </w:rPr>
        <w:t>stover</w:t>
      </w:r>
      <w:proofErr w:type="spellEnd"/>
      <w:r w:rsidR="00BB3CFC" w:rsidRPr="00BF7E59">
        <w:rPr>
          <w:highlight w:val="yellow"/>
          <w:lang w:val="en-GB"/>
          <w:rPrChange w:id="53" w:author="t_ghosh" w:date="2019-08-30T12:13:00Z">
            <w:rPr>
              <w:lang w:val="en-GB"/>
            </w:rPr>
          </w:rPrChange>
        </w:rPr>
        <w:t xml:space="preserve"> ethanol production</w:t>
      </w:r>
      <w:r w:rsidR="00BB3CFC">
        <w:rPr>
          <w:lang w:val="en-GB"/>
        </w:rPr>
        <w:t xml:space="preserve">. </w:t>
      </w:r>
      <w:r w:rsidR="00F1635D">
        <w:rPr>
          <w:lang w:val="en-GB"/>
        </w:rPr>
        <w:t>The g</w:t>
      </w:r>
      <w:r w:rsidR="00BB3CFC">
        <w:rPr>
          <w:lang w:val="en-GB"/>
        </w:rPr>
        <w:t xml:space="preserve">asification module is a general model to convert solid energy feedstocks to synthetic gas. Production of </w:t>
      </w:r>
      <w:r w:rsidR="006E6BB3">
        <w:rPr>
          <w:lang w:val="en-GB"/>
        </w:rPr>
        <w:t>various fuels</w:t>
      </w:r>
      <w:r w:rsidR="00BB3CFC">
        <w:rPr>
          <w:lang w:val="en-GB"/>
        </w:rPr>
        <w:t xml:space="preserve"> such as methanol, dimethyl ether (DME), hydrogen, and polyethylene </w:t>
      </w:r>
      <w:r w:rsidR="006E6BB3">
        <w:rPr>
          <w:lang w:val="en-GB"/>
        </w:rPr>
        <w:t>chemical</w:t>
      </w:r>
      <w:r w:rsidR="00F1635D">
        <w:rPr>
          <w:lang w:val="en-GB"/>
        </w:rPr>
        <w:t>s</w:t>
      </w:r>
      <w:r w:rsidR="006E6BB3">
        <w:rPr>
          <w:lang w:val="en-GB"/>
        </w:rPr>
        <w:t xml:space="preserve"> </w:t>
      </w:r>
      <w:r w:rsidR="00BB3CFC">
        <w:rPr>
          <w:lang w:val="en-GB"/>
        </w:rPr>
        <w:t>are included with</w:t>
      </w:r>
      <w:r w:rsidR="006E6BB3">
        <w:rPr>
          <w:lang w:val="en-GB"/>
        </w:rPr>
        <w:t>in</w:t>
      </w:r>
      <w:r w:rsidR="00BB3CFC">
        <w:rPr>
          <w:lang w:val="en-GB"/>
        </w:rPr>
        <w:t xml:space="preserve"> dedicated modules</w:t>
      </w:r>
      <w:r w:rsidR="00E87837">
        <w:rPr>
          <w:lang w:val="en-GB"/>
        </w:rPr>
        <w:t>,</w:t>
      </w:r>
      <w:r w:rsidR="006E6BB3">
        <w:rPr>
          <w:lang w:val="en-GB"/>
        </w:rPr>
        <w:t xml:space="preserve"> and assessed by using Aspen plus simulations</w:t>
      </w:r>
      <w:r w:rsidR="00BB3CFC">
        <w:rPr>
          <w:lang w:val="en-GB"/>
        </w:rPr>
        <w:t xml:space="preserve">. For polyethylene production, </w:t>
      </w:r>
      <w:r w:rsidR="00BB3CFC" w:rsidRPr="00BF7E59">
        <w:rPr>
          <w:highlight w:val="yellow"/>
          <w:lang w:val="en-GB"/>
          <w:rPrChange w:id="54" w:author="t_ghosh" w:date="2019-08-30T12:13:00Z">
            <w:rPr>
              <w:lang w:val="en-GB"/>
            </w:rPr>
          </w:rPrChange>
        </w:rPr>
        <w:t>the polymerization reactor was simulated using</w:t>
      </w:r>
      <w:r w:rsidR="00BB3CFC">
        <w:rPr>
          <w:lang w:val="en-GB"/>
        </w:rPr>
        <w:t xml:space="preserve"> Aspen (not the rest of </w:t>
      </w:r>
      <w:r w:rsidR="006E6BB3">
        <w:rPr>
          <w:lang w:val="en-GB"/>
        </w:rPr>
        <w:t xml:space="preserve">the </w:t>
      </w:r>
      <w:r w:rsidR="00BB3CFC">
        <w:rPr>
          <w:lang w:val="en-GB"/>
        </w:rPr>
        <w:t>process).</w:t>
      </w:r>
    </w:p>
    <w:p w14:paraId="6F67A4B8" w14:textId="0A6EE2EA" w:rsidR="00BB3CFC" w:rsidRDefault="00BB3CFC" w:rsidP="00BB3CFC">
      <w:pPr>
        <w:rPr>
          <w:lang w:val="en-GB"/>
        </w:rPr>
      </w:pPr>
      <w:r>
        <w:rPr>
          <w:lang w:val="en-GB"/>
        </w:rPr>
        <w:t>Technology options such as hydrogen production via s</w:t>
      </w:r>
      <w:r w:rsidR="00E87837">
        <w:rPr>
          <w:lang w:val="en-GB"/>
        </w:rPr>
        <w:t>team methane reforming and auto-</w:t>
      </w:r>
      <w:r>
        <w:rPr>
          <w:lang w:val="en-GB"/>
        </w:rPr>
        <w:t xml:space="preserve">thermal reforming are defined as submodules. Natural gas stations for </w:t>
      </w:r>
      <w:r w:rsidR="00D90B6C">
        <w:rPr>
          <w:lang w:val="en-GB"/>
        </w:rPr>
        <w:t xml:space="preserve">the </w:t>
      </w:r>
      <w:r>
        <w:rPr>
          <w:lang w:val="en-GB"/>
        </w:rPr>
        <w:t>production of compressed natural gas</w:t>
      </w:r>
      <w:r w:rsidR="00E87837">
        <w:rPr>
          <w:lang w:val="en-GB"/>
        </w:rPr>
        <w:t>,</w:t>
      </w:r>
      <w:r>
        <w:rPr>
          <w:lang w:val="en-GB"/>
        </w:rPr>
        <w:t xml:space="preserve"> and liquefied </w:t>
      </w:r>
      <w:r>
        <w:rPr>
          <w:lang w:val="en-GB"/>
        </w:rPr>
        <w:lastRenderedPageBreak/>
        <w:t xml:space="preserve">natural gas are also included in the process step although it does not involve a chemical conversion. Finally, heavy industry processes of iron </w:t>
      </w:r>
      <w:r w:rsidR="00DA391D">
        <w:rPr>
          <w:lang w:val="en-GB"/>
        </w:rPr>
        <w:t>and</w:t>
      </w:r>
      <w:r>
        <w:rPr>
          <w:lang w:val="en-GB"/>
        </w:rPr>
        <w:t xml:space="preserve"> steel and cement modules are part of the process step. </w:t>
      </w:r>
    </w:p>
    <w:p w14:paraId="76271ECD" w14:textId="77777777" w:rsidR="001D1C4C" w:rsidRDefault="00BB3CFC" w:rsidP="00BB3CFC">
      <w:pPr>
        <w:rPr>
          <w:lang w:val="en-GB"/>
        </w:rPr>
      </w:pPr>
      <w:r>
        <w:rPr>
          <w:lang w:val="en-GB"/>
        </w:rPr>
        <w:t>We included CCUS as a</w:t>
      </w:r>
      <w:r w:rsidR="006E6BB3">
        <w:rPr>
          <w:lang w:val="en-GB"/>
        </w:rPr>
        <w:t>n optional</w:t>
      </w:r>
      <w:r>
        <w:rPr>
          <w:lang w:val="en-GB"/>
        </w:rPr>
        <w:t xml:space="preserve"> life cycle step. CO</w:t>
      </w:r>
      <w:r w:rsidRPr="00A55936">
        <w:rPr>
          <w:vertAlign w:val="subscript"/>
          <w:lang w:val="en-GB"/>
        </w:rPr>
        <w:t>2</w:t>
      </w:r>
      <w:r>
        <w:rPr>
          <w:lang w:val="en-GB"/>
        </w:rPr>
        <w:t xml:space="preserve"> capture, compression, utilization</w:t>
      </w:r>
      <w:r w:rsidR="00F1635D">
        <w:rPr>
          <w:lang w:val="en-GB"/>
        </w:rPr>
        <w:t>,</w:t>
      </w:r>
      <w:r>
        <w:rPr>
          <w:lang w:val="en-GB"/>
        </w:rPr>
        <w:t xml:space="preserve"> and storage are represented with separate modules. Capture technologies include</w:t>
      </w:r>
      <w:r w:rsidR="00130EBA">
        <w:rPr>
          <w:lang w:val="en-GB"/>
        </w:rPr>
        <w:t xml:space="preserve"> absorption, adsorption and oxy-</w:t>
      </w:r>
      <w:r>
        <w:rPr>
          <w:lang w:val="en-GB"/>
        </w:rPr>
        <w:t xml:space="preserve">combustion options. </w:t>
      </w:r>
    </w:p>
    <w:p w14:paraId="55D59755" w14:textId="77777777" w:rsidR="00BB3CFC" w:rsidRDefault="00D90B6C" w:rsidP="00BB3CFC">
      <w:pPr>
        <w:rPr>
          <w:lang w:val="en-GB"/>
        </w:rPr>
      </w:pPr>
      <w:r>
        <w:rPr>
          <w:lang w:val="en-GB"/>
        </w:rPr>
        <w:t>The g</w:t>
      </w:r>
      <w:r w:rsidR="00BB3CFC">
        <w:rPr>
          <w:lang w:val="en-GB"/>
        </w:rPr>
        <w:t xml:space="preserve">ate to user </w:t>
      </w:r>
      <w:r w:rsidR="001D1C4C">
        <w:rPr>
          <w:lang w:val="en-GB"/>
        </w:rPr>
        <w:t>module</w:t>
      </w:r>
      <w:r w:rsidR="00BB3CFC">
        <w:rPr>
          <w:lang w:val="en-GB"/>
        </w:rPr>
        <w:t xml:space="preserve"> covers </w:t>
      </w:r>
      <w:r>
        <w:rPr>
          <w:lang w:val="en-GB"/>
        </w:rPr>
        <w:t xml:space="preserve">the </w:t>
      </w:r>
      <w:r w:rsidR="00BB3CFC">
        <w:rPr>
          <w:lang w:val="en-GB"/>
        </w:rPr>
        <w:t xml:space="preserve">transportation of products from the plant to the end user. The general structure is similar to midstream step with few differences including addition of electricity transmissions, advanced energy storage options, and distribution of heat (steam). </w:t>
      </w:r>
    </w:p>
    <w:p w14:paraId="7E1B7144" w14:textId="7BE67FA7" w:rsidR="00BB3CFC" w:rsidRDefault="00D90B6C" w:rsidP="00BB3CFC">
      <w:pPr>
        <w:rPr>
          <w:lang w:val="en-GB"/>
        </w:rPr>
      </w:pPr>
      <w:r>
        <w:rPr>
          <w:lang w:val="en-GB"/>
        </w:rPr>
        <w:t>The e</w:t>
      </w:r>
      <w:r w:rsidR="00BB3CFC">
        <w:rPr>
          <w:lang w:val="en-GB"/>
        </w:rPr>
        <w:t xml:space="preserve">nd use </w:t>
      </w:r>
      <w:r w:rsidR="001D1C4C">
        <w:rPr>
          <w:lang w:val="en-GB"/>
        </w:rPr>
        <w:t>module</w:t>
      </w:r>
      <w:r w:rsidR="00BB3CFC">
        <w:rPr>
          <w:lang w:val="en-GB"/>
        </w:rPr>
        <w:t xml:space="preserve"> </w:t>
      </w:r>
      <w:r w:rsidR="00F1635D">
        <w:rPr>
          <w:lang w:val="en-GB"/>
        </w:rPr>
        <w:t xml:space="preserve">includes </w:t>
      </w:r>
      <w:r w:rsidR="00BB3CFC">
        <w:rPr>
          <w:lang w:val="en-GB"/>
        </w:rPr>
        <w:t xml:space="preserve">electric power, transportation, and industrial sectors. </w:t>
      </w:r>
      <w:r w:rsidR="00F1635D">
        <w:rPr>
          <w:lang w:val="en-GB"/>
        </w:rPr>
        <w:t xml:space="preserve">The </w:t>
      </w:r>
      <w:r w:rsidR="00F1635D" w:rsidRPr="00BF7E59">
        <w:rPr>
          <w:highlight w:val="yellow"/>
          <w:lang w:val="en-GB"/>
          <w:rPrChange w:id="55" w:author="t_ghosh" w:date="2019-08-30T12:14:00Z">
            <w:rPr>
              <w:lang w:val="en-GB"/>
            </w:rPr>
          </w:rPrChange>
        </w:rPr>
        <w:t>e</w:t>
      </w:r>
      <w:r w:rsidR="00BB3CFC" w:rsidRPr="00BF7E59">
        <w:rPr>
          <w:highlight w:val="yellow"/>
          <w:lang w:val="en-GB"/>
          <w:rPrChange w:id="56" w:author="t_ghosh" w:date="2019-08-30T12:14:00Z">
            <w:rPr>
              <w:lang w:val="en-GB"/>
            </w:rPr>
          </w:rPrChange>
        </w:rPr>
        <w:t xml:space="preserve">lectricity module can be a simple electricity demand function as well as connected to </w:t>
      </w:r>
      <w:r w:rsidRPr="00BF7E59">
        <w:rPr>
          <w:highlight w:val="yellow"/>
          <w:lang w:val="en-GB"/>
          <w:rPrChange w:id="57" w:author="t_ghosh" w:date="2019-08-30T12:14:00Z">
            <w:rPr>
              <w:lang w:val="en-GB"/>
            </w:rPr>
          </w:rPrChange>
        </w:rPr>
        <w:t xml:space="preserve">a </w:t>
      </w:r>
      <w:r w:rsidR="00BB3CFC" w:rsidRPr="00BF7E59">
        <w:rPr>
          <w:highlight w:val="yellow"/>
          <w:lang w:val="en-GB"/>
          <w:rPrChange w:id="58" w:author="t_ghosh" w:date="2019-08-30T12:14:00Z">
            <w:rPr>
              <w:lang w:val="en-GB"/>
            </w:rPr>
          </w:rPrChange>
        </w:rPr>
        <w:t>power system model that represents hourly load profiles with changing generation mix</w:t>
      </w:r>
      <w:r w:rsidR="00BB3CFC">
        <w:rPr>
          <w:lang w:val="en-GB"/>
        </w:rPr>
        <w:t xml:space="preserve">. </w:t>
      </w:r>
      <w:r w:rsidR="00F1635D">
        <w:rPr>
          <w:lang w:val="en-GB"/>
        </w:rPr>
        <w:t>The h</w:t>
      </w:r>
      <w:r w:rsidR="00BB3CFC">
        <w:rPr>
          <w:lang w:val="en-GB"/>
        </w:rPr>
        <w:t xml:space="preserve">eat module specifies heat demand and its temperature level. </w:t>
      </w:r>
      <w:r w:rsidR="00F1635D">
        <w:rPr>
          <w:lang w:val="en-GB"/>
        </w:rPr>
        <w:t>The l</w:t>
      </w:r>
      <w:r w:rsidR="00BB3CFC">
        <w:rPr>
          <w:lang w:val="en-GB"/>
        </w:rPr>
        <w:t>iquid products module contains gasoline, diesel, methanol, ethanol, dimethyl ether (DME), Liquefied Petroleum Gas (LPG), and Liquefied Natural Gas (LNG</w:t>
      </w:r>
      <w:r w:rsidR="00BB3CFC" w:rsidRPr="008F54F8">
        <w:rPr>
          <w:lang w:val="en-GB"/>
        </w:rPr>
        <w:t>). Gaseous products include Compressed Natural Gas (CNG)</w:t>
      </w:r>
      <w:r w:rsidR="00E87837">
        <w:rPr>
          <w:lang w:val="en-GB"/>
        </w:rPr>
        <w:t xml:space="preserve"> </w:t>
      </w:r>
      <w:r w:rsidR="00BB3CFC" w:rsidRPr="008F54F8">
        <w:rPr>
          <w:lang w:val="en-GB"/>
        </w:rPr>
        <w:t xml:space="preserve">and hydrogen. Solid products </w:t>
      </w:r>
      <w:r w:rsidR="00F1635D">
        <w:rPr>
          <w:lang w:val="en-GB"/>
        </w:rPr>
        <w:t>in the model are</w:t>
      </w:r>
      <w:r w:rsidR="00BB3CFC" w:rsidRPr="008F54F8">
        <w:rPr>
          <w:lang w:val="en-GB"/>
        </w:rPr>
        <w:t xml:space="preserve"> cement,</w:t>
      </w:r>
      <w:r w:rsidR="00BB3CFC">
        <w:rPr>
          <w:lang w:val="en-GB"/>
        </w:rPr>
        <w:t xml:space="preserve"> polyethylene, iron</w:t>
      </w:r>
      <w:r w:rsidR="00E87837">
        <w:rPr>
          <w:lang w:val="en-GB"/>
        </w:rPr>
        <w:t>,</w:t>
      </w:r>
      <w:r w:rsidR="00BB3CFC">
        <w:rPr>
          <w:lang w:val="en-GB"/>
        </w:rPr>
        <w:t xml:space="preserve"> and steel.</w:t>
      </w:r>
    </w:p>
    <w:p w14:paraId="7DD5324A" w14:textId="77777777" w:rsidR="00BB3CFC" w:rsidRDefault="00BB3CFC" w:rsidP="00BB3CFC">
      <w:pPr>
        <w:rPr>
          <w:lang w:val="en-GB"/>
        </w:rPr>
      </w:pPr>
      <w:r>
        <w:rPr>
          <w:lang w:val="en-GB"/>
        </w:rPr>
        <w:t xml:space="preserve">In addition to products, </w:t>
      </w:r>
      <w:r w:rsidR="00F1635D">
        <w:rPr>
          <w:lang w:val="en-GB"/>
        </w:rPr>
        <w:t xml:space="preserve">a </w:t>
      </w:r>
      <w:r w:rsidR="001D1C4C" w:rsidRPr="00BF7E59">
        <w:rPr>
          <w:highlight w:val="yellow"/>
          <w:lang w:val="en-GB"/>
          <w:rPrChange w:id="59" w:author="t_ghosh" w:date="2019-08-30T12:13:00Z">
            <w:rPr>
              <w:lang w:val="en-GB"/>
            </w:rPr>
          </w:rPrChange>
        </w:rPr>
        <w:t>few variables</w:t>
      </w:r>
      <w:r w:rsidRPr="00BF7E59">
        <w:rPr>
          <w:highlight w:val="yellow"/>
          <w:lang w:val="en-GB"/>
          <w:rPrChange w:id="60" w:author="t_ghosh" w:date="2019-08-30T12:13:00Z">
            <w:rPr>
              <w:lang w:val="en-GB"/>
            </w:rPr>
          </w:rPrChange>
        </w:rPr>
        <w:t xml:space="preserve"> are included under end-use modules such as </w:t>
      </w:r>
      <w:r w:rsidR="00130EBA" w:rsidRPr="00BF7E59">
        <w:rPr>
          <w:highlight w:val="yellow"/>
          <w:lang w:val="en-GB"/>
          <w:rPrChange w:id="61" w:author="t_ghosh" w:date="2019-08-30T12:13:00Z">
            <w:rPr>
              <w:lang w:val="en-GB"/>
            </w:rPr>
          </w:rPrChange>
        </w:rPr>
        <w:t xml:space="preserve">the </w:t>
      </w:r>
      <w:r w:rsidRPr="00BF7E59">
        <w:rPr>
          <w:highlight w:val="yellow"/>
          <w:lang w:val="en-GB"/>
          <w:rPrChange w:id="62" w:author="t_ghosh" w:date="2019-08-30T12:13:00Z">
            <w:rPr>
              <w:lang w:val="en-GB"/>
            </w:rPr>
          </w:rPrChange>
        </w:rPr>
        <w:t>adoption of different technologies for transportation, engine efficiency improvement, proc</w:t>
      </w:r>
      <w:r w:rsidR="001D1C4C" w:rsidRPr="00BF7E59">
        <w:rPr>
          <w:highlight w:val="yellow"/>
          <w:lang w:val="en-GB"/>
          <w:rPrChange w:id="63" w:author="t_ghosh" w:date="2019-08-30T12:13:00Z">
            <w:rPr>
              <w:lang w:val="en-GB"/>
            </w:rPr>
          </w:rPrChange>
        </w:rPr>
        <w:t>ess intensification in industry, which enable conducting sensitivity analysis</w:t>
      </w:r>
      <w:r w:rsidR="001D1C4C">
        <w:rPr>
          <w:lang w:val="en-GB"/>
        </w:rPr>
        <w:t>.</w:t>
      </w:r>
      <w:r>
        <w:rPr>
          <w:lang w:val="en-GB"/>
        </w:rPr>
        <w:t xml:space="preserve"> </w:t>
      </w:r>
    </w:p>
    <w:p w14:paraId="76F732FF" w14:textId="77777777" w:rsidR="00131C98" w:rsidRDefault="00BB3CFC" w:rsidP="00BB3CFC">
      <w:pPr>
        <w:rPr>
          <w:lang w:val="en-GB"/>
        </w:rPr>
      </w:pPr>
      <w:r>
        <w:rPr>
          <w:lang w:val="en-GB"/>
        </w:rPr>
        <w:t>One of the advantage</w:t>
      </w:r>
      <w:r w:rsidR="00A449FD">
        <w:rPr>
          <w:lang w:val="en-GB"/>
        </w:rPr>
        <w:t>s</w:t>
      </w:r>
      <w:r>
        <w:rPr>
          <w:lang w:val="en-GB"/>
        </w:rPr>
        <w:t xml:space="preserve"> of the modularity design is that it allows layering regional variations with minimal intervention. </w:t>
      </w:r>
    </w:p>
    <w:p w14:paraId="046C530E" w14:textId="77777777" w:rsidR="00110CE9" w:rsidRPr="006476FE" w:rsidRDefault="00D7136D" w:rsidP="00ED6343">
      <w:pPr>
        <w:pStyle w:val="Heading1"/>
        <w:numPr>
          <w:ilvl w:val="0"/>
          <w:numId w:val="0"/>
        </w:numPr>
        <w:ind w:left="1152"/>
      </w:pPr>
      <w:r>
        <w:t>2.3</w:t>
      </w:r>
      <w:r w:rsidR="00ED6343">
        <w:t xml:space="preserve">. </w:t>
      </w:r>
      <w:r w:rsidR="00110CE9" w:rsidRPr="006476FE">
        <w:t>Modeling Framework</w:t>
      </w:r>
      <w:bookmarkEnd w:id="32"/>
    </w:p>
    <w:p w14:paraId="4ABB01A6" w14:textId="268D6A9E" w:rsidR="00373D43" w:rsidRDefault="005C4773" w:rsidP="00373D43">
      <w:r>
        <w:t>SESAME’s</w:t>
      </w:r>
      <w:r w:rsidR="00373D43" w:rsidRPr="006476FE">
        <w:t xml:space="preserve"> programming architecture is implemented </w:t>
      </w:r>
      <w:r w:rsidR="00373D43" w:rsidRPr="00DD49B4">
        <w:rPr>
          <w:highlight w:val="yellow"/>
          <w:rPrChange w:id="64" w:author="t_ghosh" w:date="2019-08-30T12:14:00Z">
            <w:rPr/>
          </w:rPrChange>
        </w:rPr>
        <w:t>in MATLAB</w:t>
      </w:r>
      <w:r w:rsidR="00B4099D" w:rsidRPr="00DD49B4">
        <w:rPr>
          <w:highlight w:val="yellow"/>
          <w:rPrChange w:id="65" w:author="t_ghosh" w:date="2019-08-30T12:14:00Z">
            <w:rPr/>
          </w:rPrChange>
        </w:rPr>
        <w:t xml:space="preserve"> </w:t>
      </w:r>
      <w:r w:rsidR="00373D43" w:rsidRPr="00DD49B4">
        <w:rPr>
          <w:highlight w:val="yellow"/>
          <w:rPrChange w:id="66" w:author="t_ghosh" w:date="2019-08-30T12:14:00Z">
            <w:rPr/>
          </w:rPrChange>
        </w:rPr>
        <w:t>by integrati</w:t>
      </w:r>
      <w:r w:rsidR="00B4099D" w:rsidRPr="00DD49B4">
        <w:rPr>
          <w:highlight w:val="yellow"/>
          <w:rPrChange w:id="67" w:author="t_ghosh" w:date="2019-08-30T12:14:00Z">
            <w:rPr/>
          </w:rPrChange>
        </w:rPr>
        <w:t xml:space="preserve">on </w:t>
      </w:r>
      <w:r w:rsidR="00373D43" w:rsidRPr="00DD49B4">
        <w:rPr>
          <w:highlight w:val="yellow"/>
          <w:rPrChange w:id="68" w:author="t_ghosh" w:date="2019-08-30T12:14:00Z">
            <w:rPr/>
          </w:rPrChange>
        </w:rPr>
        <w:t xml:space="preserve">with Aspen Plus process simulation software using the methodology presented by </w:t>
      </w:r>
      <w:proofErr w:type="spellStart"/>
      <w:r w:rsidR="00373D43" w:rsidRPr="00DD49B4">
        <w:rPr>
          <w:highlight w:val="yellow"/>
          <w:rPrChange w:id="69" w:author="t_ghosh" w:date="2019-08-30T12:14:00Z">
            <w:rPr/>
          </w:rPrChange>
        </w:rPr>
        <w:t>Gençer</w:t>
      </w:r>
      <w:proofErr w:type="spellEnd"/>
      <w:r w:rsidR="00E87837" w:rsidRPr="00DD49B4">
        <w:rPr>
          <w:highlight w:val="yellow"/>
          <w:rPrChange w:id="70" w:author="t_ghosh" w:date="2019-08-30T12:14:00Z">
            <w:rPr/>
          </w:rPrChange>
        </w:rPr>
        <w:t>,</w:t>
      </w:r>
      <w:r w:rsidR="00373D43" w:rsidRPr="00DD49B4">
        <w:rPr>
          <w:highlight w:val="yellow"/>
          <w:rPrChange w:id="71" w:author="t_ghosh" w:date="2019-08-30T12:14:00Z">
            <w:rPr/>
          </w:rPrChange>
        </w:rPr>
        <w:t xml:space="preserve"> and Agrawal</w:t>
      </w:r>
      <w:r>
        <w:t xml:space="preserve"> </w:t>
      </w:r>
      <w:r w:rsidR="00373D43" w:rsidRPr="006476FE">
        <w:fldChar w:fldCharType="begin" w:fldLock="1"/>
      </w:r>
      <w:r w:rsidR="00D04D12">
        <w:instrText>ADDIN CSL_CITATION {"citationItems":[{"id":"ITEM-1","itemData":{"DOI":"10.1016/j.compchemeng.2017.01.038","ISSN":"00981354","author":[{"dropping-particle":"","family":"Gençer","given":"Emre","non-dropping-particle":"","parse-names":false,"suffix":""},{"dropping-particle":"","family":"Agrawal","given":"Rakesh","non-dropping-particle":"","parse-names":false,"suffix":""}],"container-title":"Computers &amp; Chemical Engineering","id":"ITEM-1","issued":{"date-parts":[["2017","10"]]},"page":"328-347","title":"Strategy to synthesize integrated solar energy coproduction processes with optimal process intensification. Case study: Efficient solar thermal hydrogen production","type":"article-journal","volume":"105"},"uris":["http://www.mendeley.com/documents/?uuid=312da75b-0561-4195-88d2-1b204f3f4235"]},{"id":"ITEM-2","itemData":{"DOI":"10.1016/B978-0-444-63576-1.50076-5","ISSN":"15707946","abstract":"© 2015 Elsevier B.V. In this study, we introduce a novel solar thermal (ST) hydrogen and electricity coproduction process, which integrates a new solar water power (SWP) cycle and ST hydrogen production techniques. SWP cycle has a potential to generate electricity with efficiencies greater than 40% for solar heat collection temperatures above 1250. K. Higher solar heat collection temperatures enable the integration of SWP cycle with ST hydrogen production techniques to coproduce hydrogen and oxygen. When solar energy is unavailable, we propose a turbine based hydrogen water power cycle. For a 100. MW continuous power supply plant, the overall efficiency of the proposed integrated process is estimated to be greater than 34% in spite of the assumed 20% solar energy loss in the solar collector system. Furthermore, the coproduced hydrogen and oxygen can be used for various applications other than energy storage to create a sustainable economy.","author":[{"dropping-particle":"","family":"Gençer","given":"Emre","non-dropping-particle":"","parse-names":false,"suffix":""},{"dropping-particle":"","family":"Tawarmalani","given":"Mohit","non-dropping-particle":"","parse-names":false,"suffix":""},{"dropping-particle":"","family":"Agrawal","given":"Rakesh","non-dropping-particle":"","parse-names":false,"suffix":""}],"container-title":"Computer Aided Chemical Engineering","id":"ITEM-2","issued":{"date-parts":[["2015"]]},"number-of-pages":"2291-2296","title":"Integrated Solar Thermal Hydrogen and Power Coproduction Process for Continuous Power Supply and Production of Chemicals","type":"book","volume":"37"},"uris":["http://www.mendeley.com/documents/?uuid=178d47ad-55d4-31d2-8995-6bbd35cab6e6"]}],"mendeley":{"formattedCitation":"[14,15]","plainTextFormattedCitation":"[14,15]","previouslyFormattedCitation":"[14,15]"},"properties":{"noteIndex":0},"schema":"https://github.com/citation-style-language/schema/raw/master/csl-citation.json"}</w:instrText>
      </w:r>
      <w:r w:rsidR="00373D43" w:rsidRPr="006476FE">
        <w:fldChar w:fldCharType="separate"/>
      </w:r>
      <w:r w:rsidR="00D04D12" w:rsidRPr="00D04D12">
        <w:rPr>
          <w:noProof/>
        </w:rPr>
        <w:t>[14,15]</w:t>
      </w:r>
      <w:r w:rsidR="00373D43" w:rsidRPr="006476FE">
        <w:fldChar w:fldCharType="end"/>
      </w:r>
      <w:r>
        <w:t>.</w:t>
      </w:r>
      <w:r w:rsidR="00373D43" w:rsidRPr="006476FE">
        <w:t xml:space="preserve"> This approach allows complementing </w:t>
      </w:r>
      <w:r w:rsidR="00373D43" w:rsidRPr="00DD49B4">
        <w:rPr>
          <w:highlight w:val="yellow"/>
          <w:rPrChange w:id="72" w:author="t_ghosh" w:date="2019-08-30T12:14:00Z">
            <w:rPr/>
          </w:rPrChange>
        </w:rPr>
        <w:t>life cycle analysis with process simulation capabilities</w:t>
      </w:r>
      <w:r w:rsidRPr="00DD49B4">
        <w:rPr>
          <w:highlight w:val="yellow"/>
          <w:rPrChange w:id="73" w:author="t_ghosh" w:date="2019-08-30T12:14:00Z">
            <w:rPr/>
          </w:rPrChange>
        </w:rPr>
        <w:t xml:space="preserve"> to</w:t>
      </w:r>
      <w:r w:rsidR="00373D43" w:rsidRPr="00DD49B4">
        <w:rPr>
          <w:highlight w:val="yellow"/>
          <w:rPrChange w:id="74" w:author="t_ghosh" w:date="2019-08-30T12:14:00Z">
            <w:rPr/>
          </w:rPrChange>
        </w:rPr>
        <w:t xml:space="preserve"> capture the performance</w:t>
      </w:r>
      <w:r w:rsidR="00E87837" w:rsidRPr="00DD49B4">
        <w:rPr>
          <w:highlight w:val="yellow"/>
          <w:rPrChange w:id="75" w:author="t_ghosh" w:date="2019-08-30T12:14:00Z">
            <w:rPr/>
          </w:rPrChange>
        </w:rPr>
        <w:t>,</w:t>
      </w:r>
      <w:r w:rsidR="00373D43" w:rsidRPr="00DD49B4">
        <w:rPr>
          <w:highlight w:val="yellow"/>
          <w:rPrChange w:id="76" w:author="t_ghosh" w:date="2019-08-30T12:14:00Z">
            <w:rPr/>
          </w:rPrChange>
        </w:rPr>
        <w:t xml:space="preserve"> and emission variations arising from technological, operational, and geospatial factors</w:t>
      </w:r>
      <w:r w:rsidR="00D11C7E">
        <w:t xml:space="preserve"> (by calculating energy and mass balance)</w:t>
      </w:r>
      <w:r w:rsidR="00373D43" w:rsidRPr="006476FE">
        <w:t xml:space="preserve">. </w:t>
      </w:r>
      <w:r w:rsidR="00B4099D">
        <w:t>T</w:t>
      </w:r>
      <w:r w:rsidR="00373D43">
        <w:t>he developed architecture provides a platform to implement simulations of process units with high emission rates, critical for the system design</w:t>
      </w:r>
      <w:r>
        <w:t xml:space="preserve">. As shown in </w:t>
      </w:r>
      <w:r w:rsidR="008429E3">
        <w:fldChar w:fldCharType="begin"/>
      </w:r>
      <w:r w:rsidR="008429E3">
        <w:instrText xml:space="preserve"> REF _Ref13041206 \h </w:instrText>
      </w:r>
      <w:r w:rsidR="008429E3">
        <w:fldChar w:fldCharType="separate"/>
      </w:r>
      <w:r w:rsidR="008429E3" w:rsidRPr="006F5C30">
        <w:rPr>
          <w:b/>
        </w:rPr>
        <w:t xml:space="preserve">Figure </w:t>
      </w:r>
      <w:r w:rsidR="008429E3">
        <w:rPr>
          <w:b/>
          <w:noProof/>
        </w:rPr>
        <w:t>3</w:t>
      </w:r>
      <w:r w:rsidR="008429E3">
        <w:fldChar w:fldCharType="end"/>
      </w:r>
      <w:r w:rsidR="00623CEB">
        <w:t>(a)</w:t>
      </w:r>
      <w:r w:rsidR="008728EB">
        <w:t xml:space="preserve">, Excel, </w:t>
      </w:r>
      <w:r>
        <w:t>MATLAB</w:t>
      </w:r>
      <w:r w:rsidR="008728EB">
        <w:t>, and Aspen plus</w:t>
      </w:r>
      <w:r>
        <w:t xml:space="preserve"> are used to </w:t>
      </w:r>
      <w:r w:rsidRPr="00DD49B4">
        <w:rPr>
          <w:highlight w:val="yellow"/>
          <w:rPrChange w:id="77" w:author="t_ghosh" w:date="2019-08-30T12:14:00Z">
            <w:rPr/>
          </w:rPrChange>
        </w:rPr>
        <w:t>feed input assumptions to the MATLAB core scri</w:t>
      </w:r>
      <w:r>
        <w:t>pt. As needed, the tool can be equipped with more programming platforms</w:t>
      </w:r>
      <w:r w:rsidR="00F747F9">
        <w:t xml:space="preserve"> </w:t>
      </w:r>
      <w:r w:rsidR="0095436E">
        <w:t>and connected to various existing tools</w:t>
      </w:r>
      <w:r>
        <w:t xml:space="preserve">.   </w:t>
      </w:r>
      <w:r w:rsidR="00373D43">
        <w:t xml:space="preserve"> </w:t>
      </w:r>
    </w:p>
    <w:p w14:paraId="033B14AD" w14:textId="02534769" w:rsidR="00623CEB" w:rsidRPr="006476FE" w:rsidRDefault="00623CEB" w:rsidP="00623CEB">
      <w:r w:rsidRPr="006476FE">
        <w:t xml:space="preserve">A novel aspect of this analytical framework is the ability to assess key systems interactions and couplings. This allows transition options to be comprehensively assessed on an apples-to-apples </w:t>
      </w:r>
      <w:r>
        <w:t>basis</w:t>
      </w:r>
      <w:r w:rsidRPr="006476FE">
        <w:t xml:space="preserve">. </w:t>
      </w:r>
      <w:r w:rsidR="00D64CEA">
        <w:t xml:space="preserve">SESAME’s </w:t>
      </w:r>
      <w:r w:rsidR="00D64CEA">
        <w:lastRenderedPageBreak/>
        <w:t xml:space="preserve">modular design </w:t>
      </w:r>
      <w:r w:rsidRPr="006476FE">
        <w:t>allow</w:t>
      </w:r>
      <w:r w:rsidR="00D64CEA">
        <w:t>s</w:t>
      </w:r>
      <w:r w:rsidRPr="006476FE">
        <w:t xml:space="preserve"> performing such comprehensive analyses, specifically </w:t>
      </w:r>
      <w:r w:rsidR="00D64CEA">
        <w:t>it can be</w:t>
      </w:r>
      <w:r w:rsidRPr="006476FE">
        <w:t xml:space="preserve"> evolve</w:t>
      </w:r>
      <w:r w:rsidR="00D64CEA">
        <w:t>d</w:t>
      </w:r>
      <w:r w:rsidRPr="006476FE">
        <w:t xml:space="preserve"> as the complex energy system restructures. </w:t>
      </w:r>
    </w:p>
    <w:p w14:paraId="0C94DC62" w14:textId="10C125C6" w:rsidR="00623CEB" w:rsidRDefault="00623CEB" w:rsidP="00623CEB">
      <w:r w:rsidRPr="006476FE">
        <w:t xml:space="preserve">The modular approach </w:t>
      </w:r>
      <w:r w:rsidR="00D64CEA">
        <w:t xml:space="preserve">is </w:t>
      </w:r>
      <w:r w:rsidRPr="006476FE">
        <w:t xml:space="preserve">composed of four main compartments at the very high-level: User Input, Control Panel, Life </w:t>
      </w:r>
      <w:r>
        <w:t>Step</w:t>
      </w:r>
      <w:r w:rsidRPr="006476FE">
        <w:t xml:space="preserve"> Modules, and Output</w:t>
      </w:r>
      <w:r>
        <w:t xml:space="preserve">, as depicted in </w:t>
      </w:r>
      <w:r>
        <w:fldChar w:fldCharType="begin"/>
      </w:r>
      <w:r>
        <w:instrText xml:space="preserve"> REF _Ref13041206 \h </w:instrText>
      </w:r>
      <w:r>
        <w:fldChar w:fldCharType="separate"/>
      </w:r>
      <w:r w:rsidRPr="006F5C30">
        <w:rPr>
          <w:b/>
        </w:rPr>
        <w:t xml:space="preserve">Figure </w:t>
      </w:r>
      <w:r>
        <w:rPr>
          <w:b/>
          <w:noProof/>
        </w:rPr>
        <w:t>3</w:t>
      </w:r>
      <w:r>
        <w:fldChar w:fldCharType="end"/>
      </w:r>
      <w:r>
        <w:t>(b)</w:t>
      </w:r>
      <w:r w:rsidRPr="006476FE">
        <w:t>. User</w:t>
      </w:r>
      <w:r w:rsidR="00D624C2">
        <w:t>s</w:t>
      </w:r>
      <w:r w:rsidRPr="006476FE">
        <w:t xml:space="preserve"> select from default options to initiate the computation. </w:t>
      </w:r>
      <w:r w:rsidR="007D35E6">
        <w:t>The c</w:t>
      </w:r>
      <w:r w:rsidRPr="006476FE">
        <w:t>ontrol panel module constitutes the core of the tool that takes user</w:t>
      </w:r>
      <w:r w:rsidR="00D624C2">
        <w:t>s</w:t>
      </w:r>
      <w:r w:rsidRPr="006476FE">
        <w:t xml:space="preserve"> inputs and communicates with relevant life </w:t>
      </w:r>
      <w:r>
        <w:t>step</w:t>
      </w:r>
      <w:r w:rsidRPr="006476FE">
        <w:t xml:space="preserve"> modules t</w:t>
      </w:r>
      <w:r>
        <w:t>o send and receive information</w:t>
      </w:r>
      <w:r w:rsidRPr="006476FE">
        <w:t xml:space="preserve">. The results from each life </w:t>
      </w:r>
      <w:r>
        <w:t>step</w:t>
      </w:r>
      <w:r w:rsidRPr="006476FE">
        <w:t xml:space="preserve"> module are adjusted and combined in accord with the user</w:t>
      </w:r>
      <w:r w:rsidR="009A2EB5">
        <w:t>’</w:t>
      </w:r>
      <w:r w:rsidR="00D624C2">
        <w:t>s</w:t>
      </w:r>
      <w:r w:rsidRPr="006476FE">
        <w:t xml:space="preserve"> selections. </w:t>
      </w:r>
      <w:r w:rsidR="007D35E6">
        <w:t>Finally, t</w:t>
      </w:r>
      <w:r w:rsidRPr="006476FE">
        <w:t xml:space="preserve">he results are reported as output in </w:t>
      </w:r>
      <w:r w:rsidR="009A2EB5">
        <w:t xml:space="preserve">the </w:t>
      </w:r>
      <w:r w:rsidR="00407018">
        <w:t>d</w:t>
      </w:r>
      <w:r w:rsidR="005E6C00">
        <w:t>esired form and units</w:t>
      </w:r>
      <w:r w:rsidR="00D64CEA">
        <w:t>.</w:t>
      </w:r>
    </w:p>
    <w:p w14:paraId="45D76389" w14:textId="77777777" w:rsidR="00F747F9" w:rsidRDefault="00F747F9" w:rsidP="00373D43">
      <w:pPr>
        <w:pStyle w:val="Caption"/>
        <w:rPr>
          <w:b/>
        </w:rPr>
      </w:pPr>
      <w:bookmarkStart w:id="78" w:name="_Ref1304120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F747F9" w14:paraId="3BAE09AB" w14:textId="77777777" w:rsidTr="00F747F9">
        <w:tc>
          <w:tcPr>
            <w:tcW w:w="4675" w:type="dxa"/>
          </w:tcPr>
          <w:p w14:paraId="7312579F" w14:textId="77777777" w:rsidR="00F747F9" w:rsidRDefault="00F747F9" w:rsidP="00373D43">
            <w:pPr>
              <w:pStyle w:val="Caption"/>
              <w:rPr>
                <w:b/>
              </w:rPr>
            </w:pPr>
            <w:r w:rsidRPr="006476FE">
              <w:rPr>
                <w:noProof/>
              </w:rPr>
              <w:drawing>
                <wp:inline distT="0" distB="0" distL="0" distR="0" wp14:anchorId="1FA0A35E" wp14:editId="70A8100F">
                  <wp:extent cx="2062886" cy="2969582"/>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TLAB_Aspe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1339" cy="3039331"/>
                          </a:xfrm>
                          <a:prstGeom prst="rect">
                            <a:avLst/>
                          </a:prstGeom>
                        </pic:spPr>
                      </pic:pic>
                    </a:graphicData>
                  </a:graphic>
                </wp:inline>
              </w:drawing>
            </w:r>
          </w:p>
        </w:tc>
        <w:tc>
          <w:tcPr>
            <w:tcW w:w="4675" w:type="dxa"/>
          </w:tcPr>
          <w:p w14:paraId="21B87004" w14:textId="77777777" w:rsidR="00F747F9" w:rsidRDefault="00F747F9" w:rsidP="00373D43">
            <w:pPr>
              <w:pStyle w:val="Caption"/>
              <w:rPr>
                <w:b/>
              </w:rPr>
            </w:pPr>
            <w:r>
              <w:rPr>
                <w:rFonts w:cs="Times New Roman"/>
                <w:b/>
                <w:noProof/>
              </w:rPr>
              <w:drawing>
                <wp:inline distT="0" distB="0" distL="0" distR="0" wp14:anchorId="7A7CF127" wp14:editId="263C5FFA">
                  <wp:extent cx="2834640" cy="2863611"/>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4640" cy="2863611"/>
                          </a:xfrm>
                          <a:prstGeom prst="rect">
                            <a:avLst/>
                          </a:prstGeom>
                          <a:noFill/>
                        </pic:spPr>
                      </pic:pic>
                    </a:graphicData>
                  </a:graphic>
                </wp:inline>
              </w:drawing>
            </w:r>
          </w:p>
        </w:tc>
      </w:tr>
      <w:tr w:rsidR="00F747F9" w14:paraId="3F045EB8" w14:textId="77777777" w:rsidTr="00F747F9">
        <w:tc>
          <w:tcPr>
            <w:tcW w:w="4675" w:type="dxa"/>
          </w:tcPr>
          <w:p w14:paraId="1EB5B226" w14:textId="77777777" w:rsidR="00F747F9" w:rsidRDefault="00F747F9" w:rsidP="00373D43">
            <w:pPr>
              <w:pStyle w:val="Caption"/>
              <w:rPr>
                <w:b/>
              </w:rPr>
            </w:pPr>
            <w:r>
              <w:rPr>
                <w:b/>
              </w:rPr>
              <w:t>(a)</w:t>
            </w:r>
          </w:p>
        </w:tc>
        <w:tc>
          <w:tcPr>
            <w:tcW w:w="4675" w:type="dxa"/>
          </w:tcPr>
          <w:p w14:paraId="3B802B28" w14:textId="77777777" w:rsidR="00F747F9" w:rsidRDefault="00F747F9" w:rsidP="00373D43">
            <w:pPr>
              <w:pStyle w:val="Caption"/>
              <w:rPr>
                <w:b/>
              </w:rPr>
            </w:pPr>
            <w:r>
              <w:rPr>
                <w:b/>
              </w:rPr>
              <w:t>(b)</w:t>
            </w:r>
          </w:p>
        </w:tc>
      </w:tr>
    </w:tbl>
    <w:p w14:paraId="25B293BC" w14:textId="77777777" w:rsidR="00F747F9" w:rsidRDefault="008429E3" w:rsidP="00F747F9">
      <w:bookmarkStart w:id="79" w:name="_Ref13062303"/>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3</w:t>
      </w:r>
      <w:r w:rsidR="005F3F9E">
        <w:rPr>
          <w:b/>
        </w:rPr>
        <w:fldChar w:fldCharType="end"/>
      </w:r>
      <w:bookmarkEnd w:id="78"/>
      <w:bookmarkEnd w:id="79"/>
      <w:r w:rsidR="00373D43" w:rsidRPr="006476FE">
        <w:t xml:space="preserve"> </w:t>
      </w:r>
      <w:r w:rsidR="00F747F9">
        <w:t xml:space="preserve">(a) The communication between MATLAB Core Script and auxiliary components: MATLAB Models, Aspen Plus Models, and Excel models and databases are shown. (b) MATLAB is used to develop life step modules, each one of which has its unique structure. Each module is composed of numerous custom developed MATLAB functions. Functions are designed to minimize the repetition of same scripts and framed separate different tasks. </w:t>
      </w:r>
    </w:p>
    <w:p w14:paraId="4EDA536F" w14:textId="77777777" w:rsidR="00646788" w:rsidRDefault="00D7136D" w:rsidP="00646788">
      <w:pPr>
        <w:pStyle w:val="Heading1"/>
        <w:numPr>
          <w:ilvl w:val="0"/>
          <w:numId w:val="0"/>
        </w:numPr>
        <w:ind w:left="1152"/>
      </w:pPr>
      <w:r>
        <w:t>2.4</w:t>
      </w:r>
      <w:r w:rsidR="00646788">
        <w:t>. Data Sources</w:t>
      </w:r>
    </w:p>
    <w:p w14:paraId="28BFB5BF" w14:textId="77F4A82F" w:rsidR="00646788" w:rsidRDefault="00646788" w:rsidP="00646788">
      <w:r>
        <w:t xml:space="preserve">The life cycle inventory for SESAME was developed by </w:t>
      </w:r>
      <w:r w:rsidRPr="00DD49B4">
        <w:rPr>
          <w:highlight w:val="yellow"/>
          <w:rPrChange w:id="80" w:author="t_ghosh" w:date="2019-08-30T12:14:00Z">
            <w:rPr/>
          </w:rPrChange>
        </w:rPr>
        <w:t xml:space="preserve">using </w:t>
      </w:r>
      <w:proofErr w:type="spellStart"/>
      <w:r w:rsidRPr="00DD49B4">
        <w:rPr>
          <w:highlight w:val="yellow"/>
          <w:rPrChange w:id="81" w:author="t_ghosh" w:date="2019-08-30T12:14:00Z">
            <w:rPr/>
          </w:rPrChange>
        </w:rPr>
        <w:t>publically</w:t>
      </w:r>
      <w:proofErr w:type="spellEnd"/>
      <w:r w:rsidRPr="00DD49B4">
        <w:rPr>
          <w:highlight w:val="yellow"/>
          <w:rPrChange w:id="82" w:author="t_ghosh" w:date="2019-08-30T12:14:00Z">
            <w:rPr/>
          </w:rPrChange>
        </w:rPr>
        <w:t xml:space="preserve"> available</w:t>
      </w:r>
      <w:r w:rsidR="00774C55" w:rsidRPr="00DD49B4">
        <w:rPr>
          <w:highlight w:val="yellow"/>
          <w:rPrChange w:id="83" w:author="t_ghosh" w:date="2019-08-30T12:14:00Z">
            <w:rPr/>
          </w:rPrChange>
        </w:rPr>
        <w:t>, peer-</w:t>
      </w:r>
      <w:r w:rsidRPr="00DD49B4">
        <w:rPr>
          <w:highlight w:val="yellow"/>
          <w:rPrChange w:id="84" w:author="t_ghosh" w:date="2019-08-30T12:14:00Z">
            <w:rPr/>
          </w:rPrChange>
        </w:rPr>
        <w:t>reviewed</w:t>
      </w:r>
      <w:r>
        <w:t xml:space="preserve"> data. </w:t>
      </w:r>
      <w:r w:rsidR="00FC24B7">
        <w:t>A f</w:t>
      </w:r>
      <w:r>
        <w:t>ew examples of our</w:t>
      </w:r>
      <w:r w:rsidR="00635629">
        <w:t xml:space="preserve"> data sources </w:t>
      </w:r>
      <w:r w:rsidR="00FC24B7">
        <w:t>we</w:t>
      </w:r>
      <w:r w:rsidR="00635629">
        <w:t xml:space="preserve">re </w:t>
      </w:r>
      <w:r w:rsidR="00635629" w:rsidRPr="00DD49B4">
        <w:rPr>
          <w:highlight w:val="yellow"/>
          <w:rPrChange w:id="85" w:author="t_ghosh" w:date="2019-08-30T12:15:00Z">
            <w:rPr/>
          </w:rPrChange>
        </w:rPr>
        <w:t>PRELIM (</w:t>
      </w:r>
      <w:r w:rsidRPr="00DD49B4">
        <w:rPr>
          <w:highlight w:val="yellow"/>
          <w:rPrChange w:id="86" w:author="t_ghosh" w:date="2019-08-30T12:15:00Z">
            <w:rPr/>
          </w:rPrChange>
        </w:rPr>
        <w:t>for estimating r</w:t>
      </w:r>
      <w:r w:rsidR="00635629" w:rsidRPr="00DD49B4">
        <w:rPr>
          <w:highlight w:val="yellow"/>
          <w:rPrChange w:id="87" w:author="t_ghosh" w:date="2019-08-30T12:15:00Z">
            <w:rPr/>
          </w:rPrChange>
        </w:rPr>
        <w:t>efining GHG emissions</w:t>
      </w:r>
      <w:r w:rsidR="00635629">
        <w:t>)</w:t>
      </w:r>
      <w:r w:rsidR="007E2673">
        <w:t xml:space="preserve"> </w:t>
      </w:r>
      <w:r w:rsidR="007E2673">
        <w:fldChar w:fldCharType="begin" w:fldLock="1"/>
      </w:r>
      <w:r w:rsidR="00D04D12">
        <w:instrText>ADDIN CSL_CITATION {"citationItems":[{"id":"ITEM-1","itemData":{"DOI":"10.1021/acs.est.8b05572","ISSN":"0013-936X","abstract":"This study updates the Petroleum Refinery Life Cycle Inventory Model (PRELIM) to provide a more complete gate-to-gate life cycle inventory and to allow for the calculation of a full suite of impact potentials commonly used in life cycle assessment (LCA) studies. Prior to this update, PRELIM provided results for energy use and greenhouse gas emissions from petroleum refineries with a level of detail suitable for most LCA studies in support of policy decisions. We updated the model to add criteria air pollutants, hazardous air pollutants, releases to water, releases to land, and managed wastes reflecting 2014 reported releases and waste management practices using data from the U.S. Environmental Protection Agency Greenhouse Gas Reporting Program, National Emissions Inventory, Discharge Monitoring Reports, and Toxic Release Inventory together with process unit capacities and fuel consumption data from the U.S. Energy Information Administration (U.S. EIA). The variability of refinery subprocess release factor...","author":[{"dropping-particle":"","family":"Young","given":"Ben","non-dropping-particle":"","parse-names":false,"suffix":""},{"dropping-particle":"","family":"Hottle","given":"Troy","non-dropping-particle":"","parse-names":false,"suffix":""},{"dropping-particle":"","family":"Hawkins","given":"Troy","non-dropping-particle":"","parse-names":false,"suffix":""},{"dropping-particle":"","family":"Jamieson","given":"Matthew","non-dropping-particle":"","parse-names":false,"suffix":""},{"dropping-particle":"","family":"Cooney","given":"Gregory","non-dropping-particle":"","parse-names":false,"suffix":""},{"dropping-particle":"","family":"Motazedi","given":"Kavan","non-dropping-particle":"","parse-names":false,"suffix":""},{"dropping-particle":"","family":"Bergerson","given":"Joule","non-dropping-particle":"","parse-names":false,"suffix":""}],"container-title":"Environmental Science &amp; Technology","id":"ITEM-1","issue":"4","issued":{"date-parts":[["2019","2","19"]]},"page":"2238-2248","publisher":"American Chemical Society","title":"Expansion of the Petroleum Refinery Life Cycle Inventory Model to Support Characterization of a Full Suite of Commonly Tracked Impact Potentials","type":"article-journal","volume":"53"},"uris":["http://www.mendeley.com/documents/?uuid=6c105f94-f292-356d-87f0-ac553a316744"]}],"mendeley":{"formattedCitation":"[16]","plainTextFormattedCitation":"[16]","previouslyFormattedCitation":"[16]"},"properties":{"noteIndex":0},"schema":"https://github.com/citation-style-language/schema/raw/master/csl-citation.json"}</w:instrText>
      </w:r>
      <w:r w:rsidR="007E2673">
        <w:fldChar w:fldCharType="separate"/>
      </w:r>
      <w:r w:rsidR="00D04D12" w:rsidRPr="00D04D12">
        <w:rPr>
          <w:noProof/>
        </w:rPr>
        <w:t>[16]</w:t>
      </w:r>
      <w:r w:rsidR="007E2673">
        <w:fldChar w:fldCharType="end"/>
      </w:r>
      <w:r w:rsidR="00635629">
        <w:t>, GREET (</w:t>
      </w:r>
      <w:r>
        <w:t>for calculating mid-stream,</w:t>
      </w:r>
      <w:r w:rsidR="00635629">
        <w:t xml:space="preserve"> and</w:t>
      </w:r>
      <w:r>
        <w:t xml:space="preserve"> gate to user emissions, carbon footprint of chemicals used at biorefineries</w:t>
      </w:r>
      <w:r w:rsidR="00635629">
        <w:t xml:space="preserve">, </w:t>
      </w:r>
      <w:r w:rsidR="00635629">
        <w:lastRenderedPageBreak/>
        <w:t>etc.</w:t>
      </w:r>
      <w:r>
        <w:t>)</w:t>
      </w:r>
      <w:r w:rsidR="007E2673">
        <w:t xml:space="preserve"> </w:t>
      </w:r>
      <w:r w:rsidR="007E2673">
        <w:fldChar w:fldCharType="begin" w:fldLock="1"/>
      </w:r>
      <w:r w:rsidR="00D04D12">
        <w:instrText>ADDIN CSL_CITATION {"citationItems":[{"id":"ITEM-1","itemData":{"author":[{"dropping-particle":"","family":"Wang","given":"M.","non-dropping-particle":"","parse-names":false,"suffix":""},{"dropping-particle":"","family":"Elgowainy","given":"A.","non-dropping-particle":"","parse-names":false,"suffix":""},{"dropping-particle":"","family":"Benavides","given":"P. T.","non-dropping-particle":"","parse-names":false,"suffix":""},{"dropping-particle":"","family":"Burnham","given":"A.","non-dropping-particle":"","parse-names":false,"suffix":""},{"dropping-particle":"","family":"Cai","given":"H.","non-dropping-particle":"","parse-names":false,"suffix":""},{"dropping-particle":"","family":"Dai","given":"Q.","non-dropping-particle":"","parse-names":false,"suffix":""},{"dropping-particle":"","family":"Hawkins","given":"T. R.","non-dropping-particle":"","parse-names":false,"suffix":""},{"dropping-particle":"","family":"Kelly","given":"J. C.","non-dropping-particle":"","parse-names":false,"suffix":""},{"dropping-particle":"","family":"Kwon","given":"H.","non-dropping-particle":"","parse-names":false,"suffix":""},{"dropping-particle":"","family":"Lee","given":"D.","non-dropping-particle":"","parse-names":false,"suffix":""},{"dropping-particle":"","family":"Lee","given":"U.","non-dropping-particle":"","parse-names":false,"suffix":""},{"dropping-particle":"","family":"Lu","given":"Z.","non-dropping-particle":"","parse-names":false,"suffix":""},{"dropping-particle":"","family":"Ou","given":"L.","non-dropping-particle":"","parse-names":false,"suffix":""}],"id":"ITEM-1","issued":{"date-parts":[["2018"]]},"title":"Summary of Expansions and Updates in GREET","type":"article-journal"},"uris":["http://www.mendeley.com/documents/?uuid=fbee89ec-419f-41e1-99da-a5a8635408a8"]}],"mendeley":{"formattedCitation":"[17]","plainTextFormattedCitation":"[17]","previouslyFormattedCitation":"[17]"},"properties":{"noteIndex":0},"schema":"https://github.com/citation-style-language/schema/raw/master/csl-citation.json"}</w:instrText>
      </w:r>
      <w:r w:rsidR="007E2673">
        <w:fldChar w:fldCharType="separate"/>
      </w:r>
      <w:r w:rsidR="00D04D12" w:rsidRPr="00D04D12">
        <w:rPr>
          <w:noProof/>
        </w:rPr>
        <w:t>[17]</w:t>
      </w:r>
      <w:r w:rsidR="007E2673">
        <w:fldChar w:fldCharType="end"/>
      </w:r>
      <w:r>
        <w:t xml:space="preserve">, </w:t>
      </w:r>
      <w:r w:rsidRPr="00704BDE">
        <w:t>IEA’s 2015 Report “Life Cycle Inventories &amp; Life Cycle Assessments of PV Systems”</w:t>
      </w:r>
      <w:r>
        <w:t xml:space="preserve"> </w:t>
      </w:r>
      <w:r w:rsidR="007E2673">
        <w:fldChar w:fldCharType="begin" w:fldLock="1"/>
      </w:r>
      <w:r w:rsidR="00D04D12">
        <w:instrText>ADDIN CSL_CITATION {"citationItems":[{"id":"ITEM-1","itemData":{"author":[{"dropping-particle":"","family":"Frischknecht","given":"R","non-dropping-particle":"","parse-names":false,"suffix":""},{"dropping-particle":"","family":"Itten","given":"R","non-dropping-particle":"","parse-names":false,"suffix":""},{"dropping-particle":"","family":"Sinha","given":"P","non-dropping-particle":"","parse-names":false,"suffix":""},{"dropping-particle":"","family":"Wild-Scholten","given":"M","non-dropping-particle":"de","parse-names":false,"suffix":""},{"dropping-particle":"","family":"Zhang","given":"J","non-dropping-particle":"","parse-names":false,"suffix":""},{"dropping-particle":"","family":"Fthenakis","given":"Vasilis","non-dropping-particle":"","parse-names":false,"suffix":""}],"id":"ITEM-1","issued":{"date-parts":[["2015"]]},"publisher-place":"Paris, France","title":"Life cycle inventories and life cycle assessment of photovoltaic systems; Report IEA-PVPS T12-04:2015","type":"report"},"uris":["http://www.mendeley.com/documents/?uuid=f3c0823c-0223-41dc-bf00-643ecb82fa15"]}],"mendeley":{"formattedCitation":"[18]","plainTextFormattedCitation":"[18]","previouslyFormattedCitation":"[18]"},"properties":{"noteIndex":0},"schema":"https://github.com/citation-style-language/schema/raw/master/csl-citation.json"}</w:instrText>
      </w:r>
      <w:r w:rsidR="007E2673">
        <w:fldChar w:fldCharType="separate"/>
      </w:r>
      <w:r w:rsidR="00D04D12" w:rsidRPr="00D04D12">
        <w:rPr>
          <w:noProof/>
        </w:rPr>
        <w:t>[18]</w:t>
      </w:r>
      <w:r w:rsidR="007E2673">
        <w:fldChar w:fldCharType="end"/>
      </w:r>
      <w:r w:rsidR="007E2673">
        <w:t xml:space="preserve"> </w:t>
      </w:r>
      <w:r>
        <w:t xml:space="preserve">and </w:t>
      </w:r>
      <w:r w:rsidRPr="00704BDE">
        <w:t>ESU’s 2012 Report “Life Cycle Inventories of Photovoltaics”</w:t>
      </w:r>
      <w:r w:rsidR="007E2673">
        <w:t xml:space="preserve"> </w:t>
      </w:r>
      <w:r w:rsidR="007E2673">
        <w:fldChar w:fldCharType="begin" w:fldLock="1"/>
      </w:r>
      <w:r w:rsidR="00D04D12">
        <w:instrText>ADDIN CSL_CITATION {"citationItems":[{"id":"ITEM-1","itemData":{"ISBN":"Final report ecoinvent 2000 No. xx, in preparation","abstract":"Today, transportation relies almost entirely on oil-based fuels and is responsible for about 30% of the world’s fossil fuel consumption. According to the principles of sustainability, a modern society should preserve non-renewable energy sources and replace them with renewable energy. The depletion of fossil energy reserves and the associated environmental impacts are the two main reasons that lead to consider the use of alternative fuels in the sector of transportation. Fuels derived from biomass, also referred to as biofuels, are not only potentially renewable, but are also sufficiently similar to fossil fuels (which also have their origin in biomass) to provide direct substitution. It seems also to be a promising alternative to fossil fuels in the short term. The goal of this project, which has been initiated by the Swiss Federal authorities BFE, BLW and BAFU, is to investigate life cycle inventory data of several energy products from biomass. These data shall complement existing datasets in the ecoinvent database and should become available in a future version of this database. Therefore the same methodology is used as in the ecoinvent project (Frischknecht et al. 2007a). Some types of biomass and their energy products have already been investigated for the ecoinvent da- tabase, e.g. agricultural products (Nemecek et al. 2007), renewable materials (Althaus et al. 2007b) or wood products (Werner et al. 2007) as well as their use in combustion processes (Bauer 2007). Nevertheless many possible uses of biomass for energy purposes were so far not covered by the database.","author":[{"dropping-particle":"","family":"Jungbluth","given":"Niels","non-dropping-particle":"","parse-names":false,"suffix":""},{"dropping-particle":"","family":"Stucki","given":"Matthias","non-dropping-particle":"","parse-names":false,"suffix":""}],"container-title":"ESU-services Ltd., …","id":"ITEM-1","issue":"17","issued":{"date-parts":[["2012"]]},"page":"250","title":"Life cycle inventories of photovoltaics","type":"article-journal"},"uris":["http://www.mendeley.com/documents/?uuid=163a9a3c-a57e-417a-9d75-42ceaae60919"]}],"mendeley":{"formattedCitation":"[19]","plainTextFormattedCitation":"[19]","previouslyFormattedCitation":"[19]"},"properties":{"noteIndex":0},"schema":"https://github.com/citation-style-language/schema/raw/master/csl-citation.json"}</w:instrText>
      </w:r>
      <w:r w:rsidR="007E2673">
        <w:fldChar w:fldCharType="separate"/>
      </w:r>
      <w:r w:rsidR="00D04D12" w:rsidRPr="00D04D12">
        <w:rPr>
          <w:noProof/>
        </w:rPr>
        <w:t>[19]</w:t>
      </w:r>
      <w:r w:rsidR="007E2673">
        <w:fldChar w:fldCharType="end"/>
      </w:r>
      <w:r>
        <w:t xml:space="preserve"> (for developing an LCI for our PV solar LCA), NETL’s reports (for developing Aspen Simulation for calculating mass and energy balance at generic NG power plants)</w:t>
      </w:r>
      <w:r w:rsidR="007E2673">
        <w:t xml:space="preserve"> </w:t>
      </w:r>
      <w:r w:rsidR="007E2673">
        <w:fldChar w:fldCharType="begin" w:fldLock="1"/>
      </w:r>
      <w:r w:rsidR="00D04D12">
        <w:instrText>ADDIN CSL_CITATION {"citationItems":[{"id":"ITEM-1","itemData":{"author":[{"dropping-particle":"","family":"DOE NETL","given":"","non-dropping-particle":"","parse-names":false,"suffix":""}],"id":"ITEM-1","issued":{"date-parts":[["2015"]]},"title":"Cost and Performance Baseline for Fossil Energy Plants","type":"report","volume":"1a"},"uris":["http://www.mendeley.com/documents/?uuid=f339766a-dae6-4edb-a310-7f4aa6d670a0"]},{"id":"ITEM-2","itemData":{"author":[{"dropping-particle":"","family":"Coal","given":"Bituminous","non-dropping-particle":"","parse-names":false,"suffix":""},{"dropping-particle":"","family":"Gas","given":"Natural","non-dropping-particle":"","parse-names":false,"suffix":""},{"dropping-particle":"","family":"NETL","given":"","non-dropping-particle":"","parse-names":false,"suffix":""}],"id":"ITEM-2","issue":"November","issued":{"date-parts":[["2010"]]},"title":"Cost and Performance Baseline for Fossil Energy Plants Volume 1: Bituminous Coal and Natural Gas to Electricity Revision 2","type":"report","volume":"1"},"uris":["http://www.mendeley.com/documents/?uuid=39947874-bdbc-45b2-93c5-d2c107c45ed0"]},{"id":"ITEM-3","itemData":{"author":[{"dropping-particle":"","family":"Netl","given":"D O E","non-dropping-particle":"","parse-names":false,"suffix":""}],"id":"ITEM-3","issue":"May","issued":{"date-parts":[["2011"]]},"title":"Cost and Performance Baseline for Fossil Energy Plants Volume 3a : Low Rank Coal to Electricity : IGCC Cases","type":"article-journal","volume":"3"},"uris":["http://www.mendeley.com/documents/?uuid=7b9125c6-fec3-4361-84c7-d456ed79706f"]},{"id":"ITEM-4","itemData":{"author":[{"dropping-particle":"","family":"Netl","given":"D O E","non-dropping-particle":"","parse-names":false,"suffix":""}],"id":"ITEM-4","issue":"March","issued":{"date-parts":[["2011"]]},"title":"Cost and Performance Baseline for Fossil Energy Plants Volume 3c : Natural Gas Combined Cycle at Elevation","type":"article-journal","volume":"3"},"uris":["http://www.mendeley.com/documents/?uuid=8f93a1a6-0b5e-4667-bd2d-a1f4ee12231a"]}],"mendeley":{"formattedCitation":"[20–23]","plainTextFormattedCitation":"[20–23]","previouslyFormattedCitation":"[20–23]"},"properties":{"noteIndex":0},"schema":"https://github.com/citation-style-language/schema/raw/master/csl-citation.json"}</w:instrText>
      </w:r>
      <w:r w:rsidR="007E2673">
        <w:fldChar w:fldCharType="separate"/>
      </w:r>
      <w:r w:rsidR="00D04D12" w:rsidRPr="00D04D12">
        <w:rPr>
          <w:noProof/>
        </w:rPr>
        <w:t>[20–23]</w:t>
      </w:r>
      <w:r w:rsidR="007E2673">
        <w:fldChar w:fldCharType="end"/>
      </w:r>
      <w:r>
        <w:t>, NREL’s reports and Aspen Simulation</w:t>
      </w:r>
      <w:r w:rsidR="00FC24B7">
        <w:t>s</w:t>
      </w:r>
      <w:r>
        <w:t xml:space="preserve"> (for calculating mass and energy balance at a generic corn </w:t>
      </w:r>
      <w:proofErr w:type="spellStart"/>
      <w:r>
        <w:t>stover</w:t>
      </w:r>
      <w:proofErr w:type="spellEnd"/>
      <w:r>
        <w:t xml:space="preserve"> ethanol biorefinery)</w:t>
      </w:r>
      <w:r w:rsidR="003A2C0A">
        <w:t xml:space="preserve"> </w:t>
      </w:r>
      <w:r w:rsidR="003A2C0A">
        <w:fldChar w:fldCharType="begin" w:fldLock="1"/>
      </w:r>
      <w:r w:rsidR="00D04D12">
        <w:instrText>ADDIN CSL_CITATION {"citationItems":[{"id":"ITEM-1","itemData":{"DOI":"10.2172/966286","abstract":"Report of levelized cost in 2005 U.S. dollars, energy use, and GHG emission benefits of seven hydrogen production, delivery, and distribution pathways.","author":[{"dropping-particle":"","family":"Ruth","given":"M","non-dropping-particle":"","parse-names":false,"suffix":""},{"dropping-particle":"","family":"Laffen","given":"M","non-dropping-particle":"","parse-names":false,"suffix":""},{"dropping-particle":"","family":"Timbario","given":"T A","non-dropping-particle":"","parse-names":false,"suffix":""}],"id":"ITEM-1","issued":{"date-parts":[["2013"]]},"publisher":"National Renewable Energy Laboratory (NREL)","title":"Hydrogen Pathways: Cost, Well-to-Wheels Energy Use, and Emissions for the Current Technology Status of Seven Hydrogen Production, Delivery, and Distribution Scenarios","type":"report"},"uris":["http://www.mendeley.com/documents/?uuid=bea23cc6-d7fa-4f24-91ae-5f76e3774862"]},{"id":"ITEM-2","itemData":{"author":[{"dropping-particle":"","family":"Wooley","given":"R J","non-dropping-particle":"","parse-names":false,"suffix":""},{"dropping-particle":"","family":"Putsche","given":"V","non-dropping-particle":"","parse-names":false,"suffix":""}],"id":"ITEM-2","issue":"NREL/TP--425-20685","issued":{"date-parts":[["1996"]]},"title":"Development of an ASPEN PLUS physical property database for biofuels components","type":"report"},"uris":["http://www.mendeley.com/documents/?uuid=09f5d037-bb50-42c0-a34c-e4d0f04a1e10"]},{"id":"ITEM-3","itemData":{"abstract":"As clean energy increasingly becomes part of the national dialogue, lenders, utilities, and lawmakers need the most comprehensive and accurate information on GHG emissions from various sources of energy to inform policy, planning, and investment decisions. The National Renewable Energy Laboratory (NREL) recently led the Life Cycle Assessment (LCA) Harmonization Project, a study that gives decision makers and investors more precise estimates of life cycle GHG emissions for renewable and conventional generation, clarifying inconsistent and conflicting estimates in the published literature, and reducing uncertainty.","author":[{"dropping-particle":"","family":"(NREL)","given":"National Renewable Energy Laboratory","non-dropping-particle":"","parse-names":false,"suffix":""}],"container-title":"National Renewable Energy Laboratory","id":"ITEM-3","issued":{"date-parts":[["2013"]]},"title":"Life Cycle Greenhouse Gas Emissions from Electricity Generation","type":"article-journal"},"uris":["http://www.mendeley.com/documents/?uuid=26566023-0d36-478d-b9e2-0f41cf0ee0b3"]},{"id":"ITEM-4","itemData":{"abstract":"This report describes one potential biochemical ethanol conversion process, conceptually based upon core conversion and process integration research at NREL. The overarching process design converts corn stover to ethanol by dilute-acid pretreatment, enzymatic saccharification, and co-fermentation. Building on design reports published in 2002 and 1999, NREL, together with the subcontractor Harris Group Inc., performed a complete review of the process design and economic model for the biomass-to-ethanol process. This update reflects NREL's current vision of the biochemical ethanol process and includes the latest research in the conversion areas (pretreatment, conditioning, saccharification, and fermentation), optimizations in product recovery, and our latest understanding of the ethanol plant's back end (wastewater and utilities). The conceptual design presented here reports ethanol production economics as determined by 2012 conversion targets and 'nth-plant' project costs and financing. For the biorefinery described here, processing 2,205 dry ton/day at 76% theoretical ethanol yield (79 gal/dry ton), the ethanol selling price is $2.15/gal in 2007$.","author":[{"dropping-particle":"","family":"Humbird","given":"D.","non-dropping-particle":"","parse-names":false,"suffix":""},{"dropping-particle":"","family":"Davis","given":"R.","non-dropping-particle":"","parse-names":false,"suffix":""},{"dropping-particle":"","family":"Tao","given":"L.","non-dropping-particle":"","parse-names":false,"suffix":""},{"dropping-particle":"","family":"Kinchin","given":"C.","non-dropping-particle":"","parse-names":false,"suffix":""},{"dropping-particle":"","family":"Hsu","given":"D.","non-dropping-particle":"","parse-names":false,"suffix":""},{"dropping-particle":"","family":"Aden","given":"A.","non-dropping-particle":"","parse-names":false,"suffix":""},{"dropping-particle":"","family":"Schoen","given":"P.","non-dropping-particle":"","parse-names":false,"suffix":""},{"dropping-particle":"","family":"Lukas","given":"J.","non-dropping-particle":"","parse-names":false,"suffix":""},{"dropping-particle":"","family":"Olthof","given":"B.","non-dropping-particle":"","parse-names":false,"suffix":""},{"dropping-particle":"","family":"Worley","given":"M.","non-dropping-particle":"","parse-names":false,"suffix":""},{"dropping-particle":"","family":"Sexton","given":"D.","non-dropping-particle":"","parse-names":false,"suffix":""},{"dropping-particle":"","family":"Dudgeon","given":"D.","non-dropping-particle":"","parse-names":false,"suffix":""}],"id":"ITEM-4","issue":"May","issued":{"date-parts":[["2011"]]},"title":"Process Design and Economics for Biochemical Conversion of Lignocellulosic Biomass to Ethanol- Dilute-Acid Pretreatment and Enzymatic Hydrolysis of Corn Stover","type":"report"},"uris":["http://www.mendeley.com/documents/?uuid=e4acf38c-8225-438b-9b6c-c4d97427a882"]}],"mendeley":{"formattedCitation":"[24–27]","plainTextFormattedCitation":"[24–27]","previouslyFormattedCitation":"[24–27]"},"properties":{"noteIndex":0},"schema":"https://github.com/citation-style-language/schema/raw/master/csl-citation.json"}</w:instrText>
      </w:r>
      <w:r w:rsidR="003A2C0A">
        <w:fldChar w:fldCharType="separate"/>
      </w:r>
      <w:r w:rsidR="00D04D12" w:rsidRPr="00D04D12">
        <w:rPr>
          <w:noProof/>
        </w:rPr>
        <w:t>[24–27]</w:t>
      </w:r>
      <w:r w:rsidR="003A2C0A">
        <w:fldChar w:fldCharType="end"/>
      </w:r>
      <w:r w:rsidR="00A37ABA">
        <w:t>.</w:t>
      </w:r>
      <w:r>
        <w:t xml:space="preserve"> </w:t>
      </w:r>
      <w:r w:rsidR="00A37ABA">
        <w:t>V</w:t>
      </w:r>
      <w:r>
        <w:t>arious peer-reviewed publications</w:t>
      </w:r>
      <w:r w:rsidR="004140D7">
        <w:t xml:space="preserve"> </w:t>
      </w:r>
      <w:r w:rsidR="00FC24B7">
        <w:t xml:space="preserve">were utilized </w:t>
      </w:r>
      <w:r w:rsidR="004140D7">
        <w:t>for emission intensities of</w:t>
      </w:r>
      <w:r w:rsidR="00D10915">
        <w:t xml:space="preserve"> </w:t>
      </w:r>
      <w:r w:rsidR="002F09AC">
        <w:t xml:space="preserve">shale gas </w:t>
      </w:r>
      <w:r w:rsidR="004140D7">
        <w:t xml:space="preserve">production </w:t>
      </w:r>
      <w:r w:rsidR="002F09AC">
        <w:fldChar w:fldCharType="begin" w:fldLock="1"/>
      </w:r>
      <w:r w:rsidR="00D04D12">
        <w:instrText>ADDIN CSL_CITATION {"citationItems":[{"id":"ITEM-1","itemData":{"DOI":"10.1021/es305162w","ISBN":"0013-936X","ISSN":"1520-5851","PMID":"23548112","abstract":"We present results of a life cycle assessment (LCA) of Marcellus shale gas used for power generation. The analysis employs the most extensive data set of any LCA of shale gas to date, encompassing data from actual gas production and power generation operations. Results indicate that a typical Marcellus gas life cycle yields 466 kg CO2eq/MWh (80% confidence interval: 450-567 kg CO2eq/MWh) of greenhouse gas (GHG) emissions and 224 gal/MWh (80% CI: 185-305 gal/MWh) of freshwater consumption. Operations associated with hydraulic fracturing constitute only 1.2% of the life cycle GHG emissions, and 6.2% of the life cycle freshwater consumption. These results are influenced most strongly by the estimated ultimate recovery (EUR) of the well and the power plant efficiency: increase in either quantity will reduce both life cycle freshwater consumption and GHG emissions relative to power generated at the plant. We conclude by comparing the life cycle impacts of Marcellus gas and U.S. coal: The carbon footprint of Marcellus gas is 53% (80% CI: 44-61%) lower than coal, and its freshwater consumption is about 50% of coal. We conclude that substantial GHG reductions and freshwater savings may result from the replacement of coal-fired power generation with gas-fired power generation.","author":[{"dropping-particle":"","family":"Laurenzi","given":"Ian J","non-dropping-particle":"","parse-names":false,"suffix":""},{"dropping-particle":"","family":"Jersey","given":"Gilbert R","non-dropping-particle":"","parse-names":false,"suffix":""}],"container-title":"Environmental science &amp; technology","id":"ITEM-1","issue":"9","issued":{"date-parts":[["2013"]]},"page":"4896-903","title":"Life cycle greenhouse gas emissions and freshwater consumption of Marcellus shale gas.","type":"article-journal","volume":"47"},"uris":["http://www.mendeley.com/documents/?uuid=028f0beb-0ca8-4544-8692-80f3411e5337"]}],"mendeley":{"formattedCitation":"[28]","plainTextFormattedCitation":"[28]","previouslyFormattedCitation":"[28]"},"properties":{"noteIndex":0},"schema":"https://github.com/citation-style-language/schema/raw/master/csl-citation.json"}</w:instrText>
      </w:r>
      <w:r w:rsidR="002F09AC">
        <w:fldChar w:fldCharType="separate"/>
      </w:r>
      <w:r w:rsidR="00D04D12" w:rsidRPr="00D04D12">
        <w:rPr>
          <w:noProof/>
        </w:rPr>
        <w:t>[28]</w:t>
      </w:r>
      <w:r w:rsidR="002F09AC">
        <w:fldChar w:fldCharType="end"/>
      </w:r>
      <w:r w:rsidR="002F09AC">
        <w:t xml:space="preserve">, tight oil </w:t>
      </w:r>
      <w:r w:rsidR="004140D7">
        <w:t xml:space="preserve">production </w:t>
      </w:r>
      <w:r w:rsidR="002F09AC">
        <w:fldChar w:fldCharType="begin" w:fldLock="1"/>
      </w:r>
      <w:r w:rsidR="00D04D12">
        <w:instrText>ADDIN CSL_CITATION {"citationItems":[{"id":"ITEM-1","itemData":{"DOI":"10.1073/pnas.1607475113","ISSN":"0027-8424","abstract":"In recent years, hydraulic fracturing and horizontal drilling have been applied to extract crude oil from tight reservoirs, including the Bakken formation. There is growing interest in understanding the greenhouse gas (GHG) emissions associated with the development of tight oil. We conducted a life cycle assessment of Bakken crude using data from operations throughout the supply chain, including drilling and completion, refining, and use of refined products. If associated gas is gathered throughout the Bakken well life cycle, then the well to wheel GHG emissions are estimated to be 89 g CO2eq/MJ (80% CI, 87–94) of Bakken-derived gasoline and 90 g CO2eq/MJ (80% CI, 88–94) of diesel. If associated gas is flared for the first 12 mo of production, then life cycle GHG emissions increase by 5% on average. Regardless of the level of flaring, the Bakken life cycle GHG emissions are comparable to those of other crudes refined in the United States because flaring GHG emissions are largely offset at the refinery due to the physical properties of this tight oil. We also assessed the life cycle freshwater consumptions of Bakken-derived gasoline and diesel to be 1.14 (80% CI, 0.67–2.15) and 1.22 barrel/barrel (80% CI, 0.71–2.29), respectively, 13% of which is associated with hydraulic fracturing. ","author":[{"dropping-particle":"","family":"Laurenzi","given":"Ian J","non-dropping-particle":"","parse-names":false,"suffix":""},{"dropping-particle":"","family":"Bergerson","given":"Joule A","non-dropping-particle":"","parse-names":false,"suffix":""},{"dropping-particle":"","family":"Motazedi","given":"Kavan","non-dropping-particle":"","parse-names":false,"suffix":""}],"container-title":"Proceedings of the National Academy of Sciences ","id":"ITEM-1","issued":{"date-parts":[["2016"]]},"page":"7672-7680","title":"Life cycle greenhouse gas emissions and freshwater consumption associated with Bakken tight oil","type":"article-journal"},"uris":["http://www.mendeley.com/documents/?uuid=a70ae1f8-6f8d-4121-bb58-6dcf23b1c379"]}],"mendeley":{"formattedCitation":"[29]","plainTextFormattedCitation":"[29]","previouslyFormattedCitation":"[29]"},"properties":{"noteIndex":0},"schema":"https://github.com/citation-style-language/schema/raw/master/csl-citation.json"}</w:instrText>
      </w:r>
      <w:r w:rsidR="002F09AC">
        <w:fldChar w:fldCharType="separate"/>
      </w:r>
      <w:r w:rsidR="00D04D12" w:rsidRPr="00D04D12">
        <w:rPr>
          <w:noProof/>
        </w:rPr>
        <w:t>[29]</w:t>
      </w:r>
      <w:r w:rsidR="002F09AC">
        <w:fldChar w:fldCharType="end"/>
      </w:r>
      <w:r w:rsidR="002F09AC">
        <w:t xml:space="preserve">, corn </w:t>
      </w:r>
      <w:proofErr w:type="spellStart"/>
      <w:r w:rsidR="002F09AC">
        <w:t>stover</w:t>
      </w:r>
      <w:proofErr w:type="spellEnd"/>
      <w:r w:rsidR="002F09AC">
        <w:t xml:space="preserve"> </w:t>
      </w:r>
      <w:r w:rsidR="004140D7">
        <w:t xml:space="preserve">conversion </w:t>
      </w:r>
      <w:r w:rsidR="002F09AC">
        <w:fldChar w:fldCharType="begin" w:fldLock="1"/>
      </w:r>
      <w:r w:rsidR="00D04D12">
        <w:instrText xml:space="preserve">ADDIN CSL_CITATION {"citationItems":[{"id":"ITEM-1","itemData":{"DOI":"10.1016/J.JCLEPRO.2019.03.154","ISSN":"0959-6526","abstract":"Measured field data were used to compare two allocation methods on life cycle greenhouse gas emissions from corn (Zea mays L.) stover production in the Midwest U.S. We used publicly-available crop yield, nitrogen fertilizer, and direct soil nitrous oxide emissions data from the USDA-ARS Resilient Economic Agricultural Practices research program. Field data were aggregated from 9 locations across 26 site-years for 3 stover harvest rates (no removal; moderate removal – 3.1 Mg ha−1; high removal – 7.2 Mg ha−1) and 2 tillage practices (conventional; reduced/no-till). Net carbon uptake by crops was computed from measured plant carbon content. Monte Carlo simulations sampled input distributions to assess variability in farm-to-gate GHG emissions. The base analysis assumed no change in soil organic carbon stocks. In all cases, net CO2 uptake during crop growth and soil-respired CO2 dominated system emissions. Emissions were most sensitive to co-product accounting method, with system expansion emissions </w:instrText>
      </w:r>
      <w:r w:rsidR="00D04D12">
        <w:rPr>
          <w:rFonts w:ascii="Cambria Math" w:hAnsi="Cambria Math" w:cs="Cambria Math"/>
        </w:rPr>
        <w:instrText>∼</w:instrText>
      </w:r>
      <w:r w:rsidR="00D04D12">
        <w:instrText>15% lower than mass allocation. Regardless of accounting method, lowest emissions occurred for a moderate removal rate under reduced/no-till management. The absence of correlations between N fertilization rate and stover removal rate or soil N2O emissions in this study challenges the use of such assumptions typically employed in life cycle assessments Storage of all carbon retained on the field as SOC could reduce emissions by an additional 15%. Our results highlight how variability in GHG emissions due to location and weather can overshadow the impact of farm management practices on field-to-farm gate emissions.","author":[{"dropping-particle":"","family":"Locker","given":"C. Rebecca","non-dropping-particle":"","parse-names":false,"suffix":""},{"dropping-particle":"","family":"Torkamani","given":"Sarah","non-dropping-particle":"","parse-names":false,"suffix":""},{"dropping-particle":"","family":"Laurenzi","given":"Ian J.","non-dropping-particle":"","parse-names":false,"suffix":""},{"dropping-particle":"","family":"Jin","given":"Virginia L.","non-dropping-particle":"","parse-names":false,"suffix":""},{"dropping-particle":"","family":"Schmer","given":"Marty R.","non-dropping-particle":"","parse-names":false,"suffix":""},{"dropping-particle":"","family":"Karlen","given":"Douglas L.","non-dropping-particle":"","parse-names":false,"suffix":""}],"container-title":"Journal of Cleaner Production","id":"ITEM-1","issued":{"date-parts":[["2019","7","20"]]},"page":"1116-1127","publisher":"Elsevier","title":"Field-to-farm gate greenhouse gas emissions from corn stover production in the Midwestern U.S.","type":"article-journal","volume":"226"},"uris":["http://www.mendeley.com/documents/?uuid=9757781b-91ab-3caa-b901-112e6cc14cfb"]}],"mendeley":{"formattedCitation":"[30]","plainTextFormattedCitation":"[30]","previouslyFormattedCitation":"[30]"},"properties":{"noteIndex":0},"schema":"https://github.com/citation-style-language/schema/raw/master/csl-citation.json"}</w:instrText>
      </w:r>
      <w:r w:rsidR="002F09AC">
        <w:fldChar w:fldCharType="separate"/>
      </w:r>
      <w:r w:rsidR="00D04D12" w:rsidRPr="00D04D12">
        <w:rPr>
          <w:noProof/>
        </w:rPr>
        <w:t>[30]</w:t>
      </w:r>
      <w:r w:rsidR="002F09AC">
        <w:fldChar w:fldCharType="end"/>
      </w:r>
      <w:r w:rsidR="002F09AC">
        <w:t xml:space="preserve">, </w:t>
      </w:r>
      <w:r w:rsidR="00D04D12">
        <w:t xml:space="preserve">integrated biofuel production </w:t>
      </w:r>
      <w:r w:rsidR="00D04D12">
        <w:fldChar w:fldCharType="begin" w:fldLock="1"/>
      </w:r>
      <w:r w:rsidR="00E47A51">
        <w:instrText xml:space="preserve">ADDIN CSL_CITATION {"citationItems":[{"id":"ITEM-1","itemData":{"DOI":"http://dx.doi.org/10.1016/B978-0-444-63433-7.50072-9","ISSN":"1570-7946","abstract":"Towards reducing the CO 2 emissions associated with the transportation sector, we investigate the design of carbon and energy efficient processes for integrated biomass and natural gas (NG) conversion to liquid fuel. A process superstructure considering biomass conversion via gasification/Fischer-Tropsch (FT) synthesis and fast-hydropyrolsis/ hydrodeoxygenation, and NG conversion via reforming followed by FT synthesis is established. Subsequently, a mixed integer nonlinear programming model (MINLP) is formulated to identify the process configurations that maximize the energy output as liquid fuel for different ratios of NG to biomass carbon feeds (į ng). For 1 % </w:instrText>
      </w:r>
      <w:r w:rsidR="00E47A51">
        <w:rPr>
          <w:rFonts w:cs="Times New Roman"/>
        </w:rPr>
        <w:instrText></w:instrText>
      </w:r>
      <w:r w:rsidR="00E47A51">
        <w:instrText xml:space="preserve"> </w:instrText>
      </w:r>
      <w:r w:rsidR="00E47A51">
        <w:rPr>
          <w:rFonts w:cs="Times New Roman"/>
        </w:rPr>
        <w:instrText>į</w:instrText>
      </w:r>
      <w:r w:rsidR="00E47A51">
        <w:instrText xml:space="preserve"> ng </w:instrText>
      </w:r>
      <w:r w:rsidR="00E47A51">
        <w:rPr>
          <w:rFonts w:cs="Times New Roman"/>
        </w:rPr>
        <w:instrText></w:instrText>
      </w:r>
      <w:r w:rsidR="00E47A51">
        <w:instrText xml:space="preserve"> 150 %, the optimal process configurations are capable of producing ~5-14 % more liquid fuel output than the combined fuel output of individual standalone processes converting the same amount of biomass and NG. This synergy originates from synthesizing additional liquid fuel by combining the residual biomass carbon with the excess hydrogen per carbon available from the NG feed. These integrated processes are also estimated to achieve up to 80 % reductions in greenhouse gas (GHG) emissions relative to petroleum-based fuels.","author":[{"dropping-particle":"","family":"Gencer","given":"Emre","non-dropping-particle":"","parse-names":false,"suffix":""},{"dropping-particle":"","family":"Mallapragada","given":"Dharik S","non-dropping-particle":"","parse-names":false,"suffix":""},{"dropping-particle":"","family":"Tawarmalani","given":"Mohit","non-dropping-particle":"","parse-names":false,"suffix":""},{"dropping-particle":"","family":"Agrawal","given":"Rakesh","non-dropping-particle":"","parse-names":false,"suffix":""},{"dropping-particle":"","family":"Gençer","given":"Emre","non-dropping-particle":"","parse-names":false,"suffix":""},{"dropping-particle":"","family":"Mallapragada","given":"Dharik S","non-dropping-particle":"","parse-names":false,"suffix":""},{"dropping-particle":"","family":"Tawarmalani","given":"Mohit","non-dropping-particle":"","parse-names":false,"suffix":""},{"dropping-particle":"","family":"Agrawal","given":"Rakesh","non-dropping-particle":"","parse-names":false,"suffix":""},{"dropping-particle":"","family":"Eden","given":"Mario R","non-dropping-particle":"","parse-names":false,"suffix":""},{"dropping-particle":"","family":"Siirola","given":"John D","non-dropping-particle":"","parse-names":false,"suffix":""},{"dropping-particle":"","family":"Towler","given":"Gavin P","non-dropping-particle":"","parse-names":false,"suffix":""},{"dropping-particle":"","family":"Gencer","given":"Emre","non-dropping-particle":"","parse-names":false,"suffix":""},{"dropping-particle":"","family":"Mallapragada","given":"Dharik S","non-dropping-particle":"","parse-names":false,"suffix":""},{"dropping-particle":"","family":"Tawarmalani","given":"Mohit","non-dropping-particle":"","parse-names":false,"suffix":""},{"dropping-particle":"","family":"Agrawal","given":"Rakesh","non-dropping-particle":"","parse-names":false,"suffix":""}],"collection-title":"Computer Aided Chemical Engineering","container-title":"Computer Aided Chemical Engineering","id":"ITEM-1","issued":{"date-parts":[["2014"]]},"page":"525-530","publisher":"Elsevier","publisher-place":"Cle Elum, WA","title":"Synergistic Biomass and Natural Gas Conversion to Liquid Fuel with Reduced CO2 Emissions","type":"article-journal","volume":"34"},"uris":["http://www.mendeley.com/documents/?uuid=ce4d07ae-4505-4d52-bb8e-52800971216f"]}],"mendeley":{"formattedCitation":"[31]","plainTextFormattedCitation":"[31]","previouslyFormattedCitation":"[31]"},"properties":{"noteIndex":0},"schema":"https://github.com/citation-style-language/schema/raw/master/csl-citation.json"}</w:instrText>
      </w:r>
      <w:r w:rsidR="00D04D12">
        <w:fldChar w:fldCharType="separate"/>
      </w:r>
      <w:r w:rsidR="00D04D12" w:rsidRPr="00D04D12">
        <w:rPr>
          <w:noProof/>
        </w:rPr>
        <w:t>[31]</w:t>
      </w:r>
      <w:r w:rsidR="00D04D12">
        <w:fldChar w:fldCharType="end"/>
      </w:r>
      <w:r w:rsidR="00D04D12">
        <w:t xml:space="preserve">, </w:t>
      </w:r>
      <w:r w:rsidR="00F3569A">
        <w:t>solar PV</w:t>
      </w:r>
      <w:r w:rsidR="004140D7">
        <w:t xml:space="preserve"> manufacturing</w:t>
      </w:r>
      <w:r w:rsidR="00F3569A">
        <w:t xml:space="preserve"> </w:t>
      </w:r>
      <w:r w:rsidR="00F3569A">
        <w:fldChar w:fldCharType="begin" w:fldLock="1"/>
      </w:r>
      <w:r w:rsidR="00E47A51">
        <w:instrText>ADDIN CSL_CITATION {"citationItems":[{"id":"ITEM-1","itemData":{"DOI":"10.1016/j.apenergy.2019.01.012","ISSN":"03062619","author":[{"dropping-particle":"","family":"Miller","given":"Ian","non-dropping-particle":"","parse-names":false,"suffix":""},{"dropping-particle":"","family":"Gençer","given":"Emre","non-dropping-particle":"","parse-names":false,"suffix":""},{"dropping-particle":"","family":"Vogelbaum","given":"Hilary S","non-dropping-particle":"","parse-names":false,"suffix":""},{"dropping-particle":"","family":"Brown","given":"Patrick R","non-dropping-particle":"","parse-names":false,"suffix":""},{"dropping-particle":"","family":"Torkamani","given":"Sarah","non-dropping-particle":"","parse-names":false,"suffix":""},{"dropping-particle":"","family":"O'Sullivan","given":"Francis M.","non-dropping-particle":"","parse-names":false,"suffix":""}],"container-title":"Applied Energy","id":"ITEM-1","issue":"January","issued":{"date-parts":[["2019","3"]]},"page":"760-774","publisher":"Elsevier","title":"Parametric modeling of life cycle greenhouse gas emissions from photovoltaic power","type":"article-journal","volume":"238"},"uris":["http://www.mendeley.com/documents/?uuid=617d7a49-d9ee-4a29-8a7b-ac8343ceb381"]}],"mendeley":{"formattedCitation":"[32]","plainTextFormattedCitation":"[32]","previouslyFormattedCitation":"[32]"},"properties":{"noteIndex":0},"schema":"https://github.com/citation-style-language/schema/raw/master/csl-citation.json"}</w:instrText>
      </w:r>
      <w:r w:rsidR="00F3569A">
        <w:fldChar w:fldCharType="separate"/>
      </w:r>
      <w:r w:rsidR="00D04D12" w:rsidRPr="00D04D12">
        <w:rPr>
          <w:noProof/>
        </w:rPr>
        <w:t>[32]</w:t>
      </w:r>
      <w:r w:rsidR="00F3569A">
        <w:fldChar w:fldCharType="end"/>
      </w:r>
      <w:r w:rsidR="00F3569A">
        <w:t xml:space="preserve">, </w:t>
      </w:r>
      <w:r w:rsidR="004D74C8">
        <w:t xml:space="preserve">energy storage </w:t>
      </w:r>
      <w:r w:rsidR="004140D7">
        <w:t xml:space="preserve">integration </w:t>
      </w:r>
      <w:r w:rsidR="004D74C8">
        <w:fldChar w:fldCharType="begin" w:fldLock="1"/>
      </w:r>
      <w:r w:rsidR="00E47A51">
        <w:instrText>ADDIN CSL_CITATION {"citationItems":[{"id":"ITEM-1","itemData":{"DOI":"10.3390/pr6120267","ISSN":"2227-9717","abstract":"&lt;p&gt;The penetration of renewable power generation is increasing at an unprecedented pace. While the operating greenhouse gas (GHG) emissions of photovoltaic (PV) and wind power are negligible, their upstream emissions are not. The great challenge with the deployment of renewable power generators is their intermittent and variable nature. Current electric power systems balance these fluctuations primarily using natural gas fired power plants. Alternatively, these dynamics could be handled by the integration of energy storage technologies to store energy during renewable energy availability and discharge when needed. In this paper, we present a model for estimating emissions from integrated power generation and energy storage. The model applies to emissions of all pollutants, including greenhouse gases (GHGs), and to all storage technologies, including pumped hydroelectric and electrochemical storage. As a case study, the model is used to estimate the GHG emissions of electricity from systems that couple photovoltaic and wind generation with lithium-ion batteries (LBs) and vanadium redox flow batteries (VFBs). To facilitate the case study, we conducted a life cycle assessment (LCA) of photovoltaic (PV) power, as well as a synthesis of existing wind power LCAs. The PV LCA is also used to estimate the emissions impact of a common PV practice that has not been comprehensively analyzed by LCA—solar tracking. The case study of renewables and battery storage indicates that PV and wind power remain much less carbon intensive than fossil-based generation, even when coupled with large amounts of LBs or VFBs. Even the most carbon intensive renewable power analyzed still emits only ~25% of the GHGs of the least carbon intensive mainstream fossil power. Lastly, we find that the pathway to minimize the GHG emissions of power from a coupled system depends upon the generator. Given low-emission generation (&amp;lt;50 gCO2e/kWh), the minimizing pathway is the storage technology with lowest production emissions (VFBs over LBs for our case study). Given high-emission generation (&amp;gt;200 gCO2e/kWh), the minimizing pathway is the storage technology with highest round-trip efficiency (LBs over VFBs).&lt;/p&gt;","author":[{"dropping-particle":"","family":"Miller","given":"Ian","non-dropping-particle":"","parse-names":false,"suffix":""},{"dropping-particle":"","family":"Gençer","given":"Emre","non-dropping-particle":"","parse-names":false,"suffix":""},{"dropping-particle":"","family":"O’Sullivan","given":"Francis","non-dropping-particle":"","parse-names":false,"suffix":""}],"container-title":"Processes","id":"ITEM-1","issued":{"date-parts":[["2018"]]},"title":"A General Model for Estimating Emissions from Integrated Power Generation and Energy Storage. Case Study: Integration of Solar Photovoltaic Power and Wind Power with Batteries","type":"article-journal"},"uris":["http://www.mendeley.com/documents/?uuid=7a61c18f-6ccf-3335-b4bb-555b7b34bd95"]}],"mendeley":{"formattedCitation":"[33]","plainTextFormattedCitation":"[33]","previouslyFormattedCitation":"[33]"},"properties":{"noteIndex":0},"schema":"https://github.com/citation-style-language/schema/raw/master/csl-citation.json"}</w:instrText>
      </w:r>
      <w:r w:rsidR="004D74C8">
        <w:fldChar w:fldCharType="separate"/>
      </w:r>
      <w:r w:rsidR="00D04D12" w:rsidRPr="00D04D12">
        <w:rPr>
          <w:noProof/>
        </w:rPr>
        <w:t>[33]</w:t>
      </w:r>
      <w:r w:rsidR="004D74C8">
        <w:fldChar w:fldCharType="end"/>
      </w:r>
      <w:r w:rsidR="004140D7">
        <w:t>.</w:t>
      </w:r>
      <w:r w:rsidR="004D74C8">
        <w:t xml:space="preserve"> </w:t>
      </w:r>
      <w:r w:rsidR="00A37ABA">
        <w:t xml:space="preserve"> </w:t>
      </w:r>
      <w:r>
        <w:t xml:space="preserve">   </w:t>
      </w:r>
    </w:p>
    <w:p w14:paraId="5DAC33DB" w14:textId="77777777" w:rsidR="005E6C00" w:rsidRPr="00024115" w:rsidRDefault="00024115" w:rsidP="00024115">
      <w:pPr>
        <w:pStyle w:val="Heading1"/>
      </w:pPr>
      <w:r w:rsidRPr="00024115">
        <w:t>Modeling Details</w:t>
      </w:r>
    </w:p>
    <w:p w14:paraId="324E3FBC" w14:textId="77777777" w:rsidR="005E6C00" w:rsidRPr="00087744" w:rsidRDefault="005E6C00" w:rsidP="00024115">
      <w:pPr>
        <w:pStyle w:val="Heading2"/>
      </w:pPr>
      <w:bookmarkStart w:id="88" w:name="_Toc517105428"/>
      <w:r w:rsidRPr="00087744">
        <w:t>Communication between MATLAB and Aspen Plus</w:t>
      </w:r>
      <w:bookmarkEnd w:id="88"/>
    </w:p>
    <w:p w14:paraId="7EEFEDB4" w14:textId="77777777" w:rsidR="005E6C00" w:rsidRDefault="005E6C00" w:rsidP="005E6C00">
      <w:r>
        <w:t>The communication between MATLAB and Aspen Plus is</w:t>
      </w:r>
      <w:r w:rsidR="008E3751">
        <w:t xml:space="preserve"> </w:t>
      </w:r>
      <w:r>
        <w:t xml:space="preserve">established through </w:t>
      </w:r>
      <w:r w:rsidRPr="00DD49B4">
        <w:rPr>
          <w:highlight w:val="yellow"/>
          <w:rPrChange w:id="89" w:author="t_ghosh" w:date="2019-08-30T12:15:00Z">
            <w:rPr/>
          </w:rPrChange>
        </w:rPr>
        <w:t>Microsoft COM (Component Object Model) technology, which allows software components to communicate in the Microsoft Windows-family Operating Systems</w:t>
      </w:r>
      <w:r>
        <w:t xml:space="preserve">. </w:t>
      </w:r>
    </w:p>
    <w:p w14:paraId="557F0D7F" w14:textId="2F1487A2" w:rsidR="005E6C00" w:rsidRDefault="005E6C00" w:rsidP="005E6C00">
      <w:r>
        <w:t xml:space="preserve">h = </w:t>
      </w:r>
      <w:proofErr w:type="spellStart"/>
      <w:r>
        <w:t>actxserver</w:t>
      </w:r>
      <w:proofErr w:type="spellEnd"/>
      <w:r>
        <w:t>(‘</w:t>
      </w:r>
      <w:proofErr w:type="spellStart"/>
      <w:r>
        <w:t>progid</w:t>
      </w:r>
      <w:proofErr w:type="spellEnd"/>
      <w:r>
        <w:t xml:space="preserve">’) command in MATLAB creates a local OLE (Object Linking and Embedding) automation server, where </w:t>
      </w:r>
      <w:proofErr w:type="spellStart"/>
      <w:r>
        <w:t>progid</w:t>
      </w:r>
      <w:proofErr w:type="spellEnd"/>
      <w:r>
        <w:t xml:space="preserve"> is the programmatic identifier of an OLE-compliant COM server. </w:t>
      </w:r>
      <w:r w:rsidR="00FC24B7">
        <w:t>This r</w:t>
      </w:r>
      <w:r>
        <w:t xml:space="preserve">eturns h, a handle to the default interface of the server. The </w:t>
      </w:r>
      <w:r w:rsidRPr="00DD49B4">
        <w:rPr>
          <w:highlight w:val="yellow"/>
          <w:rPrChange w:id="90" w:author="t_ghosh" w:date="2019-08-30T12:15:00Z">
            <w:rPr/>
          </w:rPrChange>
        </w:rPr>
        <w:t xml:space="preserve">programmatic identifier of Aspen Plus, </w:t>
      </w:r>
      <w:proofErr w:type="spellStart"/>
      <w:r w:rsidRPr="00DD49B4">
        <w:rPr>
          <w:highlight w:val="yellow"/>
          <w:rPrChange w:id="91" w:author="t_ghosh" w:date="2019-08-30T12:15:00Z">
            <w:rPr/>
          </w:rPrChange>
        </w:rPr>
        <w:t>Apwn.Document</w:t>
      </w:r>
      <w:proofErr w:type="spellEnd"/>
      <w:r w:rsidRPr="00DD49B4">
        <w:rPr>
          <w:highlight w:val="yellow"/>
          <w:rPrChange w:id="92" w:author="t_ghosh" w:date="2019-08-30T12:15:00Z">
            <w:rPr/>
          </w:rPrChange>
        </w:rPr>
        <w:t>, is used for the connection</w:t>
      </w:r>
      <w:r>
        <w:t xml:space="preserve">. Once the connection is established, a path to the Aspen Plus file should be specified to read from, and write to the simulation file. A single or multiple Aspen Plus simulation files should be prepared beforehand. A variable can be defined for the path or it can be directly input to invoke the function that will open the simulation file.  The communication is two-way as shown in </w:t>
      </w:r>
      <w:r>
        <w:fldChar w:fldCharType="begin"/>
      </w:r>
      <w:r>
        <w:instrText xml:space="preserve"> REF _Ref13062303 \h </w:instrText>
      </w:r>
      <w:r>
        <w:fldChar w:fldCharType="separate"/>
      </w:r>
      <w:r w:rsidR="00D63170" w:rsidRPr="006F5C30">
        <w:rPr>
          <w:b/>
        </w:rPr>
        <w:t xml:space="preserve">Figure </w:t>
      </w:r>
      <w:r w:rsidR="00D63170">
        <w:rPr>
          <w:b/>
          <w:noProof/>
        </w:rPr>
        <w:t>3</w:t>
      </w:r>
      <w:r>
        <w:fldChar w:fldCharType="end"/>
      </w:r>
      <w:r>
        <w:t xml:space="preserve">. </w:t>
      </w:r>
    </w:p>
    <w:p w14:paraId="0635ABC3" w14:textId="77777777" w:rsidR="005E6C00" w:rsidRPr="004D1EAD" w:rsidRDefault="005E6C00" w:rsidP="005E6C00">
      <w:r>
        <w:t xml:space="preserve">The next step is to define </w:t>
      </w:r>
      <w:r w:rsidRPr="00227B36">
        <w:rPr>
          <w:highlight w:val="yellow"/>
          <w:rPrChange w:id="93" w:author="t_ghosh" w:date="2019-08-30T12:16:00Z">
            <w:rPr/>
          </w:rPrChange>
        </w:rPr>
        <w:t>input and output variables. T</w:t>
      </w:r>
      <w:r>
        <w:t xml:space="preserve">hese variables are used to assign values to the simulation file as well as to read values from the simulation. </w:t>
      </w:r>
      <w:r w:rsidRPr="00633A0B">
        <w:rPr>
          <w:highlight w:val="yellow"/>
          <w:rPrChange w:id="94" w:author="t_ghosh" w:date="2019-08-30T12:17:00Z">
            <w:rPr/>
          </w:rPrChange>
        </w:rPr>
        <w:t xml:space="preserve">Similarly, </w:t>
      </w:r>
      <w:r w:rsidR="00FC24B7" w:rsidRPr="00633A0B">
        <w:rPr>
          <w:highlight w:val="yellow"/>
          <w:rPrChange w:id="95" w:author="t_ghosh" w:date="2019-08-30T12:17:00Z">
            <w:rPr/>
          </w:rPrChange>
        </w:rPr>
        <w:t xml:space="preserve">the </w:t>
      </w:r>
      <w:r w:rsidRPr="00633A0B">
        <w:rPr>
          <w:highlight w:val="yellow"/>
          <w:rPrChange w:id="96" w:author="t_ghosh" w:date="2019-08-30T12:17:00Z">
            <w:rPr/>
          </w:rPrChange>
        </w:rPr>
        <w:t>simulation file variables are read and their values are assigned to local MATLAB variable</w:t>
      </w:r>
      <w:r w:rsidR="00FC24B7" w:rsidRPr="00633A0B">
        <w:rPr>
          <w:highlight w:val="yellow"/>
          <w:rPrChange w:id="97" w:author="t_ghosh" w:date="2019-08-30T12:17:00Z">
            <w:rPr/>
          </w:rPrChange>
        </w:rPr>
        <w:t>s</w:t>
      </w:r>
      <w:r>
        <w:t xml:space="preserve">. To read from a simulation file, the path to the backup file should be used since the backup file has the values of the simulation variables from the previous run. Once the value exchange between </w:t>
      </w:r>
      <w:r w:rsidRPr="00633A0B">
        <w:rPr>
          <w:highlight w:val="yellow"/>
          <w:rPrChange w:id="98" w:author="t_ghosh" w:date="2019-08-30T12:16:00Z">
            <w:rPr/>
          </w:rPrChange>
        </w:rPr>
        <w:t>Aspen Plus and MATLAB is complete, the simulation file can be run using a run command</w:t>
      </w:r>
      <w:r>
        <w:t xml:space="preserve">. The </w:t>
      </w:r>
      <w:r w:rsidRPr="00FB0DCB">
        <w:t>Run command will run the simulation file already opened before the command. The simulation results can be read and imported to MATLAB. The results of the performed run will not be saved to the backup file unless specified otherwise. However, to ensure the variables are back to the original</w:t>
      </w:r>
      <w:r>
        <w:t>,</w:t>
      </w:r>
      <w:r w:rsidRPr="00FB0DCB">
        <w:t xml:space="preserve"> </w:t>
      </w:r>
      <w:r w:rsidR="00FC24B7">
        <w:t xml:space="preserve">a </w:t>
      </w:r>
      <w:r w:rsidRPr="00FB0DCB">
        <w:t>close command can be used.</w:t>
      </w:r>
    </w:p>
    <w:p w14:paraId="540B1D86" w14:textId="77777777" w:rsidR="005E6C00" w:rsidRPr="0044034A" w:rsidRDefault="005E6C00" w:rsidP="00024115">
      <w:pPr>
        <w:pStyle w:val="Heading2"/>
      </w:pPr>
      <w:r>
        <w:lastRenderedPageBreak/>
        <w:t>Life Step Modules in SESAME</w:t>
      </w:r>
    </w:p>
    <w:p w14:paraId="497874AC" w14:textId="77777777" w:rsidR="005E6C00" w:rsidRPr="00AC20FF" w:rsidRDefault="005E6C00" w:rsidP="00024115">
      <w:pPr>
        <w:pStyle w:val="Heading3"/>
      </w:pPr>
      <w:r w:rsidRPr="00AC20FF">
        <w:t>Upstream Module</w:t>
      </w:r>
    </w:p>
    <w:p w14:paraId="2D20BFE7" w14:textId="5703D6B8" w:rsidR="005E6C00" w:rsidRPr="00E57875" w:rsidRDefault="005E6C00" w:rsidP="005E6C00">
      <w:r w:rsidRPr="0053068A">
        <w:rPr>
          <w:highlight w:val="yellow"/>
          <w:rPrChange w:id="99" w:author="t_ghosh" w:date="2019-08-30T12:18:00Z">
            <w:rPr/>
          </w:rPrChange>
        </w:rPr>
        <w:t>The upstream module is the first module called for cradle-to-grave pathway-</w:t>
      </w:r>
      <w:r w:rsidR="00D63170" w:rsidRPr="0053068A">
        <w:rPr>
          <w:highlight w:val="yellow"/>
          <w:rPrChange w:id="100" w:author="t_ghosh" w:date="2019-08-30T12:18:00Z">
            <w:rPr/>
          </w:rPrChange>
        </w:rPr>
        <w:t>level life cycle analysi</w:t>
      </w:r>
      <w:r w:rsidRPr="0053068A">
        <w:rPr>
          <w:highlight w:val="yellow"/>
          <w:rPrChange w:id="101" w:author="t_ghosh" w:date="2019-08-30T12:18:00Z">
            <w:rPr/>
          </w:rPrChange>
        </w:rPr>
        <w:t>s</w:t>
      </w:r>
      <w:r>
        <w:t xml:space="preserve">. The only input to initiate the module is </w:t>
      </w:r>
      <w:r w:rsidRPr="0053068A">
        <w:rPr>
          <w:highlight w:val="yellow"/>
          <w:rPrChange w:id="102" w:author="t_ghosh" w:date="2019-08-30T12:18:00Z">
            <w:rPr/>
          </w:rPrChange>
        </w:rPr>
        <w:t>the fuel name (</w:t>
      </w:r>
      <w:r w:rsidRPr="0053068A">
        <w:rPr>
          <w:i/>
          <w:highlight w:val="yellow"/>
          <w:rPrChange w:id="103" w:author="t_ghosh" w:date="2019-08-30T12:18:00Z">
            <w:rPr>
              <w:i/>
            </w:rPr>
          </w:rPrChange>
        </w:rPr>
        <w:t>fuel</w:t>
      </w:r>
      <w:r w:rsidRPr="0053068A">
        <w:rPr>
          <w:highlight w:val="yellow"/>
          <w:rPrChange w:id="104" w:author="t_ghosh" w:date="2019-08-30T12:18:00Z">
            <w:rPr/>
          </w:rPrChange>
        </w:rPr>
        <w:t>).</w:t>
      </w:r>
      <w:r>
        <w:t xml:space="preserve"> Upon completion, the upstream module returns the GHG emissions from upstream operations of </w:t>
      </w:r>
      <w:r w:rsidRPr="0053068A">
        <w:rPr>
          <w:i/>
          <w:highlight w:val="yellow"/>
          <w:rPrChange w:id="105" w:author="t_ghosh" w:date="2019-08-30T12:18:00Z">
            <w:rPr>
              <w:i/>
            </w:rPr>
          </w:rPrChange>
        </w:rPr>
        <w:t>fuel</w:t>
      </w:r>
      <w:r w:rsidRPr="0053068A">
        <w:rPr>
          <w:highlight w:val="yellow"/>
          <w:rPrChange w:id="106" w:author="t_ghosh" w:date="2019-08-30T12:18:00Z">
            <w:rPr/>
          </w:rPrChange>
        </w:rPr>
        <w:t xml:space="preserve"> per energy unit base</w:t>
      </w:r>
      <w:r w:rsidRPr="009C0EE8">
        <w:t>.</w:t>
      </w:r>
      <w:r>
        <w:rPr>
          <w:i/>
        </w:rPr>
        <w:t xml:space="preserve"> </w:t>
      </w:r>
      <w:r w:rsidR="00123F44" w:rsidRPr="00B91BC3">
        <w:t>The</w:t>
      </w:r>
      <w:r w:rsidR="00123F44">
        <w:rPr>
          <w:i/>
        </w:rPr>
        <w:t xml:space="preserve"> </w:t>
      </w:r>
      <w:r w:rsidR="00123F44">
        <w:t>u</w:t>
      </w:r>
      <w:r>
        <w:t xml:space="preserve">pstream function first accesses the properties of </w:t>
      </w:r>
      <w:r w:rsidRPr="0053068A">
        <w:rPr>
          <w:highlight w:val="yellow"/>
          <w:rPrChange w:id="107" w:author="t_ghosh" w:date="2019-08-30T12:18:00Z">
            <w:rPr/>
          </w:rPrChange>
        </w:rPr>
        <w:t xml:space="preserve">the </w:t>
      </w:r>
      <w:r w:rsidRPr="0053068A">
        <w:rPr>
          <w:i/>
          <w:highlight w:val="yellow"/>
          <w:rPrChange w:id="108" w:author="t_ghosh" w:date="2019-08-30T12:18:00Z">
            <w:rPr>
              <w:i/>
            </w:rPr>
          </w:rPrChange>
        </w:rPr>
        <w:t>fuel</w:t>
      </w:r>
      <w:r>
        <w:t xml:space="preserve"> and performs a logic check to </w:t>
      </w:r>
      <w:r w:rsidRPr="0053068A">
        <w:rPr>
          <w:highlight w:val="yellow"/>
          <w:rPrChange w:id="109" w:author="t_ghosh" w:date="2019-08-30T12:18:00Z">
            <w:rPr/>
          </w:rPrChange>
        </w:rPr>
        <w:t>identify its phase and condition</w:t>
      </w:r>
      <w:r>
        <w:t xml:space="preserve">. Once the characterization of the fuel is complete, </w:t>
      </w:r>
      <w:r w:rsidR="00123F44">
        <w:t xml:space="preserve">the </w:t>
      </w:r>
      <w:r>
        <w:t xml:space="preserve">Upstream function calls the exclusive upstream functions. </w:t>
      </w:r>
      <w:r w:rsidR="000E4110">
        <w:fldChar w:fldCharType="begin"/>
      </w:r>
      <w:r w:rsidR="000E4110">
        <w:instrText xml:space="preserve"> REF _Ref517105933 \h </w:instrText>
      </w:r>
      <w:r w:rsidR="000E4110">
        <w:fldChar w:fldCharType="separate"/>
      </w:r>
      <w:r w:rsidR="000E4110" w:rsidRPr="006F5C30">
        <w:rPr>
          <w:b/>
        </w:rPr>
        <w:t xml:space="preserve">Figure </w:t>
      </w:r>
      <w:r w:rsidR="000E4110">
        <w:rPr>
          <w:b/>
          <w:noProof/>
        </w:rPr>
        <w:t>4</w:t>
      </w:r>
      <w:r w:rsidR="000E4110">
        <w:fldChar w:fldCharType="end"/>
      </w:r>
      <w:r>
        <w:t xml:space="preserve"> demonstrates the information flow among sub-modules in the upstream module. The logic search launches the </w:t>
      </w:r>
      <w:proofErr w:type="spellStart"/>
      <w:r>
        <w:t>Crude_upstream</w:t>
      </w:r>
      <w:proofErr w:type="spellEnd"/>
      <w:r>
        <w:t xml:space="preserve">, </w:t>
      </w:r>
      <w:proofErr w:type="spellStart"/>
      <w:r>
        <w:t>NG_upstream</w:t>
      </w:r>
      <w:proofErr w:type="spellEnd"/>
      <w:r>
        <w:t xml:space="preserve">, </w:t>
      </w:r>
      <w:proofErr w:type="spellStart"/>
      <w:r>
        <w:t>Coal_upstream</w:t>
      </w:r>
      <w:proofErr w:type="spellEnd"/>
      <w:r>
        <w:t xml:space="preserve">, </w:t>
      </w:r>
      <w:proofErr w:type="spellStart"/>
      <w:r>
        <w:t>Nuc_upstream</w:t>
      </w:r>
      <w:proofErr w:type="spellEnd"/>
      <w:r>
        <w:t xml:space="preserve">, and </w:t>
      </w:r>
      <w:proofErr w:type="spellStart"/>
      <w:r>
        <w:t>Ren_upstream</w:t>
      </w:r>
      <w:proofErr w:type="spellEnd"/>
      <w:r>
        <w:t xml:space="preserve"> functions for liquid, gas, solid, nuclear, and non-biomass renewable energy sources, respectively. The differences among fuels/raw materials in the same first level classification </w:t>
      </w:r>
      <w:proofErr w:type="gramStart"/>
      <w:r>
        <w:t>are</w:t>
      </w:r>
      <w:proofErr w:type="gramEnd"/>
      <w:r>
        <w:t xml:space="preserve"> addressed in the submodule operation. Each submodule’s output is the GHG emissions, if available broken down into CO</w:t>
      </w:r>
      <w:r w:rsidRPr="00155F7C">
        <w:rPr>
          <w:vertAlign w:val="subscript"/>
        </w:rPr>
        <w:t>2</w:t>
      </w:r>
      <w:r>
        <w:t>, CH</w:t>
      </w:r>
      <w:r w:rsidRPr="00155F7C">
        <w:rPr>
          <w:vertAlign w:val="subscript"/>
        </w:rPr>
        <w:t>4</w:t>
      </w:r>
      <w:r>
        <w:t>, and N</w:t>
      </w:r>
      <w:r w:rsidRPr="00155F7C">
        <w:rPr>
          <w:vertAlign w:val="subscript"/>
        </w:rPr>
        <w:t>2</w:t>
      </w:r>
      <w:r>
        <w:t xml:space="preserve">O per energy unit base. Hence, the results are collected in the same common emissions unit.    </w:t>
      </w:r>
    </w:p>
    <w:p w14:paraId="5C6EDD74" w14:textId="77777777" w:rsidR="005E6C00" w:rsidRPr="006476FE" w:rsidRDefault="005E6C00" w:rsidP="005E6C00">
      <w:pPr>
        <w:keepNext/>
        <w:jc w:val="center"/>
      </w:pPr>
      <w:r w:rsidRPr="006476FE">
        <w:rPr>
          <w:rFonts w:cs="Times New Roman"/>
          <w:b/>
          <w:noProof/>
          <w:sz w:val="24"/>
          <w:szCs w:val="24"/>
        </w:rPr>
        <w:drawing>
          <wp:inline distT="0" distB="0" distL="0" distR="0" wp14:anchorId="753AC891" wp14:editId="6B2D5F34">
            <wp:extent cx="5201107" cy="425812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ingArchitecture_Upstre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04336" cy="4260772"/>
                    </a:xfrm>
                    <a:prstGeom prst="rect">
                      <a:avLst/>
                    </a:prstGeom>
                  </pic:spPr>
                </pic:pic>
              </a:graphicData>
            </a:graphic>
          </wp:inline>
        </w:drawing>
      </w:r>
    </w:p>
    <w:p w14:paraId="2432917F" w14:textId="77777777" w:rsidR="005E6C00" w:rsidRDefault="005E6C00" w:rsidP="005E6C00">
      <w:pPr>
        <w:pStyle w:val="Caption"/>
      </w:pPr>
      <w:bookmarkStart w:id="110" w:name="_Ref517105933"/>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4</w:t>
      </w:r>
      <w:r w:rsidR="005F3F9E">
        <w:rPr>
          <w:b/>
        </w:rPr>
        <w:fldChar w:fldCharType="end"/>
      </w:r>
      <w:bookmarkEnd w:id="110"/>
      <w:r w:rsidRPr="006476FE">
        <w:t xml:space="preserve"> Information Flow Diagram of Upstream Module</w:t>
      </w:r>
    </w:p>
    <w:p w14:paraId="43046D42" w14:textId="42D3E2DA" w:rsidR="005E6C00" w:rsidRDefault="005E6C00" w:rsidP="005E6C00">
      <w:r>
        <w:lastRenderedPageBreak/>
        <w:t xml:space="preserve">An example of the upstream sub-module is the </w:t>
      </w:r>
      <w:proofErr w:type="spellStart"/>
      <w:r>
        <w:t>NG_upstream</w:t>
      </w:r>
      <w:proofErr w:type="spellEnd"/>
      <w:r>
        <w:t xml:space="preserve"> sub-module, which first reads the various energy consumption values for operations involved in upstream and their associated fuels from </w:t>
      </w:r>
      <w:r w:rsidR="00123F44">
        <w:t xml:space="preserve">the </w:t>
      </w:r>
      <w:r>
        <w:t>Recovery database created using peer-reviewed articles and reports.</w:t>
      </w:r>
      <w:r>
        <w:fldChar w:fldCharType="begin" w:fldLock="1"/>
      </w:r>
      <w:r w:rsidR="00E47A51">
        <w:instrText>ADDIN CSL_CITATION {"citationItems":[{"id":"ITEM-1","itemData":{"author":[{"dropping-particle":"","family":"Wang","given":"Michael","non-dropping-particle":"","parse-names":false,"suffix":""}],"id":"ITEM-1","issued":{"date-parts":[["2011"]]},"title":"GREET Model: The Greenhouse Gases, Regulated Emissions, and Energy Use in Transportation Model","type":"report"},"uris":["http://www.mendeley.com/documents/?uuid=a4b90463-2161-4598-b67a-9222574a7ff6"]},{"id":"ITEM-2","itemData":{"DOI":"10.1021/es305162w","ISBN":"0013-936X","ISSN":"1520-5851","PMID":"23548112","abstract":"We present results of a life cycle assessment (LCA) of Marcellus shale gas used for power generation. The analysis employs the most extensive data set of any LCA of shale gas to date, encompassing data from actual gas production and power generation operations. Results indicate that a typical Marcellus gas life cycle yields 466 kg CO2eq/MWh (80% confidence interval: 450-567 kg CO2eq/MWh) of greenhouse gas (GHG) emissions and 224 gal/MWh (80% CI: 185-305 gal/MWh) of freshwater consumption. Operations associated with hydraulic fracturing constitute only 1.2% of the life cycle GHG emissions, and 6.2% of the life cycle freshwater consumption. These results are influenced most strongly by the estimated ultimate recovery (EUR) of the well and the power plant efficiency: increase in either quantity will reduce both life cycle freshwater consumption and GHG emissions relative to power generated at the plant. We conclude by comparing the life cycle impacts of Marcellus gas and U.S. coal: The carbon footprint of Marcellus gas is 53% (80% CI: 44-61%) lower than coal, and its freshwater consumption is about 50% of coal. We conclude that substantial GHG reductions and freshwater savings may result from the replacement of coal-fired power generation with gas-fired power generation.","author":[{"dropping-particle":"","family":"Laurenzi","given":"Ian J","non-dropping-particle":"","parse-names":false,"suffix":""},{"dropping-particle":"","family":"Jersey","given":"Gilbert R","non-dropping-particle":"","parse-names":false,"suffix":""}],"container-title":"Environmental science &amp; technology","id":"ITEM-2","issue":"9","issued":{"date-parts":[["2013"]]},"page":"4896-903","title":"Life cycle greenhouse gas emissions and freshwater consumption of Marcellus shale gas.","type":"article-journal","volume":"47"},"uris":["http://www.mendeley.com/documents/?uuid=028f0beb-0ca8-4544-8692-80f3411e5337"]}],"mendeley":{"formattedCitation":"[28,34]","plainTextFormattedCitation":"[28,34]","previouslyFormattedCitation":"[28,34]"},"properties":{"noteIndex":0},"schema":"https://github.com/citation-style-language/schema/raw/master/csl-citation.json"}</w:instrText>
      </w:r>
      <w:r>
        <w:fldChar w:fldCharType="separate"/>
      </w:r>
      <w:r w:rsidR="00D04D12" w:rsidRPr="00D04D12">
        <w:rPr>
          <w:noProof/>
        </w:rPr>
        <w:t>[28,34]</w:t>
      </w:r>
      <w:r>
        <w:fldChar w:fldCharType="end"/>
      </w:r>
      <w:r>
        <w:t xml:space="preserve"> </w:t>
      </w:r>
    </w:p>
    <w:p w14:paraId="1BE058B1" w14:textId="15FA9211" w:rsidR="005E6C00" w:rsidRDefault="005E6C00" w:rsidP="005E6C00">
      <w:r>
        <w:t>For each energy sourc</w:t>
      </w:r>
      <w:r w:rsidR="00123F44">
        <w:t>e</w:t>
      </w:r>
      <w:r>
        <w:t xml:space="preserve">, a subsequent search is performed to classify the type of energy source as primary or derived. For </w:t>
      </w:r>
      <w:r w:rsidRPr="0053068A">
        <w:rPr>
          <w:highlight w:val="yellow"/>
          <w:rPrChange w:id="111" w:author="t_ghosh" w:date="2019-08-30T12:19:00Z">
            <w:rPr/>
          </w:rPrChange>
        </w:rPr>
        <w:t>primary fuels such as natural gas, oil, and coal, there</w:t>
      </w:r>
      <w:r>
        <w:t xml:space="preserve"> is only </w:t>
      </w:r>
      <w:r w:rsidRPr="0053068A">
        <w:rPr>
          <w:highlight w:val="yellow"/>
          <w:rPrChange w:id="112" w:author="t_ghosh" w:date="2019-08-30T12:19:00Z">
            <w:rPr/>
          </w:rPrChange>
        </w:rPr>
        <w:t>raw fuel production energy and emission contribution</w:t>
      </w:r>
      <w:r w:rsidR="00123F44" w:rsidRPr="0053068A">
        <w:rPr>
          <w:highlight w:val="yellow"/>
          <w:rPrChange w:id="113" w:author="t_ghosh" w:date="2019-08-30T12:19:00Z">
            <w:rPr/>
          </w:rPrChange>
        </w:rPr>
        <w:t>s</w:t>
      </w:r>
      <w:r>
        <w:t xml:space="preserve">, whereas derived fuels such as gasoline and diesel, </w:t>
      </w:r>
      <w:r w:rsidRPr="0053068A">
        <w:rPr>
          <w:highlight w:val="yellow"/>
          <w:rPrChange w:id="114" w:author="t_ghosh" w:date="2019-08-30T12:19:00Z">
            <w:rPr/>
          </w:rPrChange>
        </w:rPr>
        <w:t>undergo a conversion step from their raw primary form</w:t>
      </w:r>
      <w:r>
        <w:t>. For derived fuel, in addition to the raw fuel production contribution, the additional energy and emission</w:t>
      </w:r>
      <w:r w:rsidR="00123F44">
        <w:t>s</w:t>
      </w:r>
      <w:r>
        <w:t xml:space="preserve"> from the conversion steps are also included. Once the total fuel consumption is determined, the </w:t>
      </w:r>
      <w:r w:rsidRPr="0053068A">
        <w:rPr>
          <w:highlight w:val="yellow"/>
          <w:rPrChange w:id="115" w:author="t_ghosh" w:date="2019-08-30T12:20:00Z">
            <w:rPr/>
          </w:rPrChange>
        </w:rPr>
        <w:t xml:space="preserve">characteristics of fuels are gathered from </w:t>
      </w:r>
      <w:r w:rsidR="00123F44" w:rsidRPr="0053068A">
        <w:rPr>
          <w:highlight w:val="yellow"/>
          <w:rPrChange w:id="116" w:author="t_ghosh" w:date="2019-08-30T12:20:00Z">
            <w:rPr/>
          </w:rPrChange>
        </w:rPr>
        <w:t xml:space="preserve">the </w:t>
      </w:r>
      <w:r w:rsidRPr="0053068A">
        <w:rPr>
          <w:highlight w:val="yellow"/>
          <w:rPrChange w:id="117" w:author="t_ghosh" w:date="2019-08-30T12:20:00Z">
            <w:rPr/>
          </w:rPrChange>
        </w:rPr>
        <w:t xml:space="preserve">Fuels database, and emissions are calculated in </w:t>
      </w:r>
      <w:proofErr w:type="spellStart"/>
      <w:r w:rsidRPr="0053068A">
        <w:rPr>
          <w:highlight w:val="yellow"/>
          <w:rPrChange w:id="118" w:author="t_ghosh" w:date="2019-08-30T12:20:00Z">
            <w:rPr/>
          </w:rPrChange>
        </w:rPr>
        <w:t>GHG_calc</w:t>
      </w:r>
      <w:proofErr w:type="spellEnd"/>
      <w:r w:rsidRPr="0053068A">
        <w:rPr>
          <w:highlight w:val="yellow"/>
          <w:rPrChange w:id="119" w:author="t_ghosh" w:date="2019-08-30T12:20:00Z">
            <w:rPr/>
          </w:rPrChange>
        </w:rPr>
        <w:t xml:space="preserve"> function</w:t>
      </w:r>
      <w:r>
        <w:t xml:space="preserve">. This function also incorporates the leaking and flaring emissions for gaseous fuels. Finally, the emissions from various sources are fed to </w:t>
      </w:r>
      <w:r w:rsidRPr="0053068A">
        <w:rPr>
          <w:highlight w:val="yellow"/>
          <w:rPrChange w:id="120" w:author="t_ghosh" w:date="2019-08-30T12:20:00Z">
            <w:rPr/>
          </w:rPrChange>
        </w:rPr>
        <w:t>the Combine function</w:t>
      </w:r>
      <w:r>
        <w:t xml:space="preserve">, which calculates the combined </w:t>
      </w:r>
      <w:r w:rsidRPr="0053068A">
        <w:rPr>
          <w:highlight w:val="yellow"/>
          <w:rPrChange w:id="121" w:author="t_ghosh" w:date="2019-08-30T12:20:00Z">
            <w:rPr/>
          </w:rPrChange>
        </w:rPr>
        <w:t>GHG emissions for the upstream process</w:t>
      </w:r>
      <w:r>
        <w:t xml:space="preserve">. The </w:t>
      </w:r>
      <w:proofErr w:type="spellStart"/>
      <w:r>
        <w:t>NG_upstream</w:t>
      </w:r>
      <w:proofErr w:type="spellEnd"/>
      <w:r>
        <w:t xml:space="preserve"> sub-module returns the gas upstream related emissions to the Upstream module. </w:t>
      </w:r>
      <w:r w:rsidR="00123F44">
        <w:t>An i</w:t>
      </w:r>
      <w:r w:rsidRPr="006476FE">
        <w:t xml:space="preserve">nformation </w:t>
      </w:r>
      <w:r>
        <w:t>f</w:t>
      </w:r>
      <w:r w:rsidRPr="006476FE">
        <w:t xml:space="preserve">low </w:t>
      </w:r>
      <w:r>
        <w:t>d</w:t>
      </w:r>
      <w:r w:rsidRPr="006476FE">
        <w:t xml:space="preserve">iagram for the </w:t>
      </w:r>
      <w:proofErr w:type="spellStart"/>
      <w:r>
        <w:t>NG_upstream</w:t>
      </w:r>
      <w:proofErr w:type="spellEnd"/>
      <w:r>
        <w:t xml:space="preserve"> sub-module is depicted in </w:t>
      </w:r>
      <w:r>
        <w:fldChar w:fldCharType="begin"/>
      </w:r>
      <w:r>
        <w:instrText xml:space="preserve"> REF _Ref13063565 \h </w:instrText>
      </w:r>
      <w:r>
        <w:fldChar w:fldCharType="separate"/>
      </w:r>
      <w:r w:rsidR="000E4110" w:rsidRPr="006F5C30">
        <w:rPr>
          <w:b/>
        </w:rPr>
        <w:t xml:space="preserve">Figure </w:t>
      </w:r>
      <w:r w:rsidR="000E4110">
        <w:rPr>
          <w:b/>
          <w:noProof/>
        </w:rPr>
        <w:t>5</w:t>
      </w:r>
      <w:r>
        <w:fldChar w:fldCharType="end"/>
      </w:r>
      <w:r>
        <w:t xml:space="preserve">. The design basis for other upstream sub-modules is similar to that of </w:t>
      </w:r>
      <w:r w:rsidR="00123F44">
        <w:t xml:space="preserve">the </w:t>
      </w:r>
      <w:proofErr w:type="spellStart"/>
      <w:r>
        <w:t>NG_upstream</w:t>
      </w:r>
      <w:proofErr w:type="spellEnd"/>
      <w:r>
        <w:t xml:space="preserve"> sub-module.</w:t>
      </w:r>
    </w:p>
    <w:p w14:paraId="08B73E5E" w14:textId="77777777" w:rsidR="005E6C00" w:rsidRPr="006476FE" w:rsidRDefault="005E6C00" w:rsidP="005E6C00">
      <w:pPr>
        <w:keepNext/>
        <w:jc w:val="center"/>
      </w:pPr>
      <w:r w:rsidRPr="006476FE">
        <w:rPr>
          <w:noProof/>
        </w:rPr>
        <w:drawing>
          <wp:inline distT="0" distB="0" distL="0" distR="0" wp14:anchorId="46AA49E6" wp14:editId="0DE1C7B6">
            <wp:extent cx="4999350" cy="3511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delingArchitecture_Upstream_Ga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1730" cy="3519991"/>
                    </a:xfrm>
                    <a:prstGeom prst="rect">
                      <a:avLst/>
                    </a:prstGeom>
                  </pic:spPr>
                </pic:pic>
              </a:graphicData>
            </a:graphic>
          </wp:inline>
        </w:drawing>
      </w:r>
    </w:p>
    <w:p w14:paraId="78E05B3C" w14:textId="77777777" w:rsidR="005E6C00" w:rsidRPr="006476FE" w:rsidRDefault="005E6C00" w:rsidP="005E6C00">
      <w:pPr>
        <w:pStyle w:val="Caption"/>
      </w:pPr>
      <w:bookmarkStart w:id="122" w:name="_Ref13063565"/>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5</w:t>
      </w:r>
      <w:r w:rsidR="005F3F9E">
        <w:rPr>
          <w:b/>
        </w:rPr>
        <w:fldChar w:fldCharType="end"/>
      </w:r>
      <w:bookmarkEnd w:id="122"/>
      <w:r w:rsidRPr="006476FE">
        <w:t xml:space="preserve"> Information Flow Diagram for the Natural Upstream </w:t>
      </w:r>
      <w:r>
        <w:t>Sub-m</w:t>
      </w:r>
      <w:r w:rsidRPr="006476FE">
        <w:rPr>
          <w:noProof/>
        </w:rPr>
        <w:t>odule</w:t>
      </w:r>
    </w:p>
    <w:p w14:paraId="52190AC0" w14:textId="77777777" w:rsidR="005E6C00" w:rsidRPr="00AC20FF" w:rsidRDefault="005E6C00" w:rsidP="00024115">
      <w:pPr>
        <w:pStyle w:val="Heading3"/>
      </w:pPr>
      <w:bookmarkStart w:id="123" w:name="_Toc517105432"/>
      <w:r w:rsidRPr="00AC20FF">
        <w:lastRenderedPageBreak/>
        <w:t>Midstream Module</w:t>
      </w:r>
      <w:bookmarkEnd w:id="123"/>
    </w:p>
    <w:p w14:paraId="25BE4EA1" w14:textId="73E84095" w:rsidR="005E6C00" w:rsidRDefault="005E6C00" w:rsidP="005E6C00">
      <w:r>
        <w:t xml:space="preserve">The midstream module calculates the emissions associated with the transport from the feedstock extraction location to </w:t>
      </w:r>
      <w:r w:rsidRPr="00842A34">
        <w:rPr>
          <w:highlight w:val="yellow"/>
          <w:rPrChange w:id="124" w:author="t_ghosh" w:date="2019-08-30T12:23:00Z">
            <w:rPr/>
          </w:rPrChange>
        </w:rPr>
        <w:t>the processing location and conditioning of feedstock</w:t>
      </w:r>
      <w:r>
        <w:t xml:space="preserve">. Input parameters in addition to the </w:t>
      </w:r>
      <w:r w:rsidRPr="006A2ED7">
        <w:rPr>
          <w:i/>
        </w:rPr>
        <w:t>fuel</w:t>
      </w:r>
      <w:r>
        <w:t xml:space="preserve"> include </w:t>
      </w:r>
      <w:r w:rsidRPr="00842A34">
        <w:rPr>
          <w:highlight w:val="yellow"/>
          <w:rPrChange w:id="125" w:author="t_ghosh" w:date="2019-08-30T12:23:00Z">
            <w:rPr/>
          </w:rPrChange>
        </w:rPr>
        <w:t>feedstock properties, and conditions (phase, pressure, and temperature), and the share of each available transportation mode</w:t>
      </w:r>
      <w:r>
        <w:t xml:space="preserve">. The operation of the module starts with a logic search to check the availability of data in </w:t>
      </w:r>
      <w:r w:rsidRPr="00842A34">
        <w:rPr>
          <w:highlight w:val="yellow"/>
          <w:rPrChange w:id="126" w:author="t_ghosh" w:date="2019-08-30T12:23:00Z">
            <w:rPr/>
          </w:rPrChange>
        </w:rPr>
        <w:t>Midstream-Transportation database in desired conditions</w:t>
      </w:r>
      <w:r>
        <w:t xml:space="preserve"> (</w:t>
      </w:r>
      <w:r>
        <w:fldChar w:fldCharType="begin"/>
      </w:r>
      <w:r>
        <w:instrText xml:space="preserve"> REF _Ref13063811 \h </w:instrText>
      </w:r>
      <w:r>
        <w:fldChar w:fldCharType="separate"/>
      </w:r>
      <w:r w:rsidR="000E4110" w:rsidRPr="006F5C30">
        <w:rPr>
          <w:b/>
        </w:rPr>
        <w:t xml:space="preserve">Figure </w:t>
      </w:r>
      <w:r w:rsidR="000E4110">
        <w:rPr>
          <w:b/>
          <w:noProof/>
        </w:rPr>
        <w:t>6</w:t>
      </w:r>
      <w:r>
        <w:fldChar w:fldCharType="end"/>
      </w:r>
      <w:r>
        <w:t xml:space="preserve">). At this step, if the relevant data is readily available, then it is read. If the base data is available but needs processing, then the Midstream-Processing database is checked and necessary information is collected if available. Once all the information is gathered, the emission values are calculated in </w:t>
      </w:r>
      <w:r w:rsidR="00260074">
        <w:t xml:space="preserve">the </w:t>
      </w:r>
      <w:proofErr w:type="spellStart"/>
      <w:r>
        <w:t>GHG_calc</w:t>
      </w:r>
      <w:proofErr w:type="spellEnd"/>
      <w:r>
        <w:t xml:space="preserve"> function. The Midstream module returns the </w:t>
      </w:r>
      <w:r w:rsidRPr="00842A34">
        <w:rPr>
          <w:highlight w:val="yellow"/>
          <w:rPrChange w:id="127" w:author="t_ghosh" w:date="2019-08-30T12:24:00Z">
            <w:rPr/>
          </w:rPrChange>
        </w:rPr>
        <w:t>midstream related emissions to the Control Panel.</w:t>
      </w:r>
      <w:r>
        <w:t xml:space="preserve">     </w:t>
      </w:r>
    </w:p>
    <w:p w14:paraId="10DB3907" w14:textId="77777777" w:rsidR="005E6C00" w:rsidRPr="0087480E" w:rsidRDefault="005E6C00" w:rsidP="005E6C00"/>
    <w:p w14:paraId="45278068" w14:textId="77777777" w:rsidR="005E6C00" w:rsidRPr="006476FE" w:rsidRDefault="005E6C00" w:rsidP="005E6C00">
      <w:pPr>
        <w:keepNext/>
        <w:jc w:val="center"/>
      </w:pPr>
      <w:r w:rsidRPr="006476FE">
        <w:rPr>
          <w:noProof/>
        </w:rPr>
        <w:drawing>
          <wp:inline distT="0" distB="0" distL="0" distR="0" wp14:anchorId="29B74BB6" wp14:editId="77E0609A">
            <wp:extent cx="5142585" cy="2033409"/>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delingArchitecture_Midstre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7515" cy="2043266"/>
                    </a:xfrm>
                    <a:prstGeom prst="rect">
                      <a:avLst/>
                    </a:prstGeom>
                  </pic:spPr>
                </pic:pic>
              </a:graphicData>
            </a:graphic>
          </wp:inline>
        </w:drawing>
      </w:r>
    </w:p>
    <w:p w14:paraId="1775FED5" w14:textId="77777777" w:rsidR="005E6C00" w:rsidRPr="006476FE" w:rsidRDefault="005E6C00" w:rsidP="005E6C00">
      <w:pPr>
        <w:pStyle w:val="Caption"/>
      </w:pPr>
      <w:bookmarkStart w:id="128" w:name="_Ref13063811"/>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6</w:t>
      </w:r>
      <w:r w:rsidR="005F3F9E">
        <w:rPr>
          <w:b/>
        </w:rPr>
        <w:fldChar w:fldCharType="end"/>
      </w:r>
      <w:bookmarkEnd w:id="128"/>
      <w:r w:rsidRPr="006476FE">
        <w:t xml:space="preserve"> Midstream Module Information Flow Diagram</w:t>
      </w:r>
    </w:p>
    <w:p w14:paraId="24BDFE2F" w14:textId="77777777" w:rsidR="005E6C00" w:rsidRDefault="005E6C00" w:rsidP="005E6C00">
      <w:r>
        <w:t xml:space="preserve"> </w:t>
      </w:r>
    </w:p>
    <w:p w14:paraId="27CD0B85" w14:textId="77777777" w:rsidR="005E6C00" w:rsidRDefault="005E6C00" w:rsidP="00024115">
      <w:pPr>
        <w:pStyle w:val="Heading3"/>
      </w:pPr>
      <w:r>
        <w:t>Process Module</w:t>
      </w:r>
    </w:p>
    <w:p w14:paraId="003FBADF" w14:textId="2ACFD361" w:rsidR="003C69FA" w:rsidRDefault="005E6C00" w:rsidP="003C69FA">
      <w:r>
        <w:t xml:space="preserve">The process module takes in the </w:t>
      </w:r>
      <w:r w:rsidRPr="00EB274F">
        <w:rPr>
          <w:i/>
          <w:highlight w:val="yellow"/>
          <w:rPrChange w:id="129" w:author="t_ghosh" w:date="2019-08-30T12:36:00Z">
            <w:rPr>
              <w:i/>
            </w:rPr>
          </w:rPrChange>
        </w:rPr>
        <w:t>fuel</w:t>
      </w:r>
      <w:r w:rsidRPr="00EB274F">
        <w:rPr>
          <w:highlight w:val="yellow"/>
          <w:rPrChange w:id="130" w:author="t_ghosh" w:date="2019-08-30T12:36:00Z">
            <w:rPr/>
          </w:rPrChange>
        </w:rPr>
        <w:t>, the process/end use information, and other relevant parameters to accurately calculate the emissions (</w:t>
      </w:r>
      <w:r w:rsidRPr="00EB274F">
        <w:rPr>
          <w:highlight w:val="yellow"/>
          <w:rPrChange w:id="131" w:author="t_ghosh" w:date="2019-08-30T12:36:00Z">
            <w:rPr/>
          </w:rPrChange>
        </w:rPr>
        <w:fldChar w:fldCharType="begin"/>
      </w:r>
      <w:r w:rsidRPr="00EB274F">
        <w:rPr>
          <w:highlight w:val="yellow"/>
          <w:rPrChange w:id="132" w:author="t_ghosh" w:date="2019-08-30T12:36:00Z">
            <w:rPr/>
          </w:rPrChange>
        </w:rPr>
        <w:instrText xml:space="preserve"> REF _Ref13063870 \h </w:instrText>
      </w:r>
      <w:r w:rsidRPr="00EB274F">
        <w:rPr>
          <w:highlight w:val="yellow"/>
          <w:rPrChange w:id="133" w:author="t_ghosh" w:date="2019-08-30T12:36:00Z">
            <w:rPr/>
          </w:rPrChange>
        </w:rPr>
      </w:r>
      <w:r w:rsidR="00EB274F">
        <w:rPr>
          <w:highlight w:val="yellow"/>
        </w:rPr>
        <w:instrText xml:space="preserve"> \* MERGEFORMAT </w:instrText>
      </w:r>
      <w:r w:rsidRPr="00EB274F">
        <w:rPr>
          <w:highlight w:val="yellow"/>
          <w:rPrChange w:id="134" w:author="t_ghosh" w:date="2019-08-30T12:36:00Z">
            <w:rPr/>
          </w:rPrChange>
        </w:rPr>
        <w:fldChar w:fldCharType="separate"/>
      </w:r>
      <w:r w:rsidR="000E4110" w:rsidRPr="00EB274F">
        <w:rPr>
          <w:b/>
          <w:highlight w:val="yellow"/>
          <w:rPrChange w:id="135" w:author="t_ghosh" w:date="2019-08-30T12:36:00Z">
            <w:rPr>
              <w:b/>
            </w:rPr>
          </w:rPrChange>
        </w:rPr>
        <w:t xml:space="preserve">Figure </w:t>
      </w:r>
      <w:r w:rsidR="000E4110" w:rsidRPr="00EB274F">
        <w:rPr>
          <w:b/>
          <w:noProof/>
          <w:highlight w:val="yellow"/>
          <w:rPrChange w:id="136" w:author="t_ghosh" w:date="2019-08-30T12:36:00Z">
            <w:rPr>
              <w:b/>
              <w:noProof/>
            </w:rPr>
          </w:rPrChange>
        </w:rPr>
        <w:t>7</w:t>
      </w:r>
      <w:r w:rsidRPr="00EB274F">
        <w:rPr>
          <w:highlight w:val="yellow"/>
          <w:rPrChange w:id="137" w:author="t_ghosh" w:date="2019-08-30T12:36:00Z">
            <w:rPr/>
          </w:rPrChange>
        </w:rPr>
        <w:fldChar w:fldCharType="end"/>
      </w:r>
      <w:r>
        <w:t xml:space="preserve">). The first step of the Process module’s operation is to query the </w:t>
      </w:r>
      <w:r w:rsidRPr="00EB274F">
        <w:rPr>
          <w:highlight w:val="yellow"/>
          <w:rPrChange w:id="138" w:author="t_ghosh" w:date="2019-08-30T12:36:00Z">
            <w:rPr/>
          </w:rPrChange>
        </w:rPr>
        <w:t>Process database for the input specification. If the exact match is found in the Process database, then the information required to calculate the emissions are read.</w:t>
      </w:r>
      <w:r>
        <w:t xml:space="preserve"> </w:t>
      </w:r>
    </w:p>
    <w:p w14:paraId="27F0B06A" w14:textId="66EEB1F6" w:rsidR="003C69FA" w:rsidRPr="006B2C96" w:rsidRDefault="003C69FA" w:rsidP="003C69FA">
      <w:r>
        <w:t xml:space="preserve">The second step, if the exact match is not present, is to perform a </w:t>
      </w:r>
      <w:r w:rsidRPr="00EB274F">
        <w:rPr>
          <w:highlight w:val="yellow"/>
          <w:rPrChange w:id="139" w:author="t_ghosh" w:date="2019-08-30T12:36:00Z">
            <w:rPr/>
          </w:rPrChange>
        </w:rPr>
        <w:t>simulation library database</w:t>
      </w:r>
      <w:r>
        <w:t>.</w:t>
      </w:r>
      <w:r w:rsidRPr="00896E44">
        <w:t xml:space="preserve"> </w:t>
      </w:r>
      <w:r>
        <w:t>Although process simulations are designed to cover a wide range of operating conditions, due to a rapid increase in the number of potential cases, it is not the best practice to include every possible combination. T</w:t>
      </w:r>
      <w:r w:rsidRPr="00EB274F">
        <w:rPr>
          <w:highlight w:val="yellow"/>
          <w:rPrChange w:id="140" w:author="t_ghosh" w:date="2019-08-30T12:35:00Z">
            <w:rPr/>
          </w:rPrChange>
        </w:rPr>
        <w:t>herefore, we created a process simulation library that stores the available Aspen Plus simulations</w:t>
      </w:r>
      <w:r>
        <w:t xml:space="preserve">. The results of the process </w:t>
      </w:r>
      <w:r w:rsidRPr="00EB274F">
        <w:rPr>
          <w:highlight w:val="yellow"/>
          <w:rPrChange w:id="141" w:author="t_ghosh" w:date="2019-08-30T12:36:00Z">
            <w:rPr/>
          </w:rPrChange>
        </w:rPr>
        <w:t>simulations built and run for the analysis are stored in the Process databa</w:t>
      </w:r>
      <w:r>
        <w:t xml:space="preserve">se. For the processes that </w:t>
      </w:r>
      <w:r>
        <w:lastRenderedPageBreak/>
        <w:t xml:space="preserve">exist in the process library with no results stored in the </w:t>
      </w:r>
      <w:r w:rsidRPr="00A73E13">
        <w:rPr>
          <w:highlight w:val="yellow"/>
          <w:rPrChange w:id="142" w:author="t_ghosh" w:date="2019-08-30T12:37:00Z">
            <w:rPr/>
          </w:rPrChange>
        </w:rPr>
        <w:t>Process database</w:t>
      </w:r>
      <w:r>
        <w:t xml:space="preserve">, users can select to access and run the </w:t>
      </w:r>
      <w:r w:rsidRPr="00A73E13">
        <w:rPr>
          <w:highlight w:val="yellow"/>
          <w:rPrChange w:id="143" w:author="t_ghosh" w:date="2019-08-30T12:37:00Z">
            <w:rPr/>
          </w:rPrChange>
        </w:rPr>
        <w:t>Aspen Plus simulations within the given process limits from the programming framework.</w:t>
      </w:r>
      <w:r>
        <w:t xml:space="preserve"> The results of the newly created run will then be added to the </w:t>
      </w:r>
      <w:r w:rsidRPr="00A73E13">
        <w:rPr>
          <w:highlight w:val="yellow"/>
          <w:rPrChange w:id="144" w:author="t_ghosh" w:date="2019-08-30T12:37:00Z">
            <w:rPr/>
          </w:rPrChange>
        </w:rPr>
        <w:t>Process database as a new entry</w:t>
      </w:r>
      <w:r>
        <w:t xml:space="preserve">. Hence, if the same conditions are called again, the results will be readily available instead of running a process simulation. Once this process is complete, the results are fed to the </w:t>
      </w:r>
      <w:proofErr w:type="spellStart"/>
      <w:r>
        <w:t>GHG_calc</w:t>
      </w:r>
      <w:proofErr w:type="spellEnd"/>
      <w:r>
        <w:t xml:space="preserve"> function to calculate the GHG emission from the process step. Finally, t</w:t>
      </w:r>
      <w:r w:rsidRPr="00DF0A71">
        <w:t xml:space="preserve">he </w:t>
      </w:r>
      <w:r>
        <w:t>Process</w:t>
      </w:r>
      <w:r w:rsidRPr="00DF0A71">
        <w:t xml:space="preserve"> module returns the </w:t>
      </w:r>
      <w:r>
        <w:t>process</w:t>
      </w:r>
      <w:r w:rsidRPr="00DF0A71">
        <w:t xml:space="preserve"> related emissions to the Control Panel.</w:t>
      </w:r>
      <w:r>
        <w:t xml:space="preserve"> Process modules are developed for power plants, refineries, bio-refineries, chemical production plants (polyethylene), </w:t>
      </w:r>
      <w:r w:rsidR="00DA391D">
        <w:t xml:space="preserve">and </w:t>
      </w:r>
      <w:r>
        <w:t>heavy industry (iron, steel, and cement, plants producing hydrogen, methanol, DME, etc.</w:t>
      </w:r>
      <w:r w:rsidR="00DA391D">
        <w:t>).</w:t>
      </w:r>
      <w:r>
        <w:t xml:space="preserve"> </w:t>
      </w:r>
      <w:r w:rsidRPr="00DF0A71">
        <w:t xml:space="preserve">   </w:t>
      </w:r>
    </w:p>
    <w:p w14:paraId="57AC9D36" w14:textId="77777777" w:rsidR="005E6C00" w:rsidRPr="00200EB8" w:rsidRDefault="005E6C00" w:rsidP="005E6C00"/>
    <w:p w14:paraId="14180C84" w14:textId="77777777" w:rsidR="005E6C00" w:rsidRPr="006476FE" w:rsidRDefault="005E6C00" w:rsidP="005E6C00">
      <w:pPr>
        <w:keepNext/>
        <w:jc w:val="center"/>
      </w:pPr>
      <w:r w:rsidRPr="006476FE">
        <w:rPr>
          <w:noProof/>
        </w:rPr>
        <w:drawing>
          <wp:inline distT="0" distB="0" distL="0" distR="0" wp14:anchorId="75E6EBD4" wp14:editId="36F215D5">
            <wp:extent cx="5282090" cy="4513478"/>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delingArchitecture_Proces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588" cy="4519031"/>
                    </a:xfrm>
                    <a:prstGeom prst="rect">
                      <a:avLst/>
                    </a:prstGeom>
                  </pic:spPr>
                </pic:pic>
              </a:graphicData>
            </a:graphic>
          </wp:inline>
        </w:drawing>
      </w:r>
    </w:p>
    <w:p w14:paraId="79A4ED01" w14:textId="77777777" w:rsidR="005E6C00" w:rsidRDefault="005E6C00" w:rsidP="005E6C00">
      <w:pPr>
        <w:pStyle w:val="Caption"/>
      </w:pPr>
      <w:bookmarkStart w:id="145" w:name="_Ref13063870"/>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7</w:t>
      </w:r>
      <w:r w:rsidR="005F3F9E">
        <w:rPr>
          <w:b/>
        </w:rPr>
        <w:fldChar w:fldCharType="end"/>
      </w:r>
      <w:bookmarkEnd w:id="145"/>
      <w:r w:rsidRPr="006476FE">
        <w:t xml:space="preserve"> Process Module Information Flow Diagram</w:t>
      </w:r>
    </w:p>
    <w:p w14:paraId="47254363" w14:textId="77777777" w:rsidR="005E6C00" w:rsidRPr="00AC20FF" w:rsidRDefault="005E6C00" w:rsidP="00024115">
      <w:pPr>
        <w:pStyle w:val="Heading3"/>
      </w:pPr>
      <w:bookmarkStart w:id="146" w:name="_Toc517105434"/>
      <w:r w:rsidRPr="00AC20FF">
        <w:lastRenderedPageBreak/>
        <w:t>Carbon Capture</w:t>
      </w:r>
      <w:r>
        <w:t>,</w:t>
      </w:r>
      <w:r w:rsidRPr="00AC20FF">
        <w:t xml:space="preserve"> Utilization</w:t>
      </w:r>
      <w:r>
        <w:t>,</w:t>
      </w:r>
      <w:r w:rsidRPr="00AC20FF">
        <w:t xml:space="preserve"> and Storage (CCUS) Module</w:t>
      </w:r>
      <w:bookmarkEnd w:id="146"/>
    </w:p>
    <w:p w14:paraId="7B9708E6" w14:textId="4343342E" w:rsidR="005E6C00" w:rsidRDefault="005E6C00" w:rsidP="005E6C00">
      <w:r>
        <w:t xml:space="preserve">The CCUS module is designed to account for the effect of CCUS integration. </w:t>
      </w:r>
      <w:r w:rsidR="00260074">
        <w:t>The c</w:t>
      </w:r>
      <w:r w:rsidR="00AB18B9">
        <w:t>urrent version include</w:t>
      </w:r>
      <w:r w:rsidR="00260074">
        <w:t>s</w:t>
      </w:r>
      <w:r w:rsidR="00AB18B9">
        <w:t xml:space="preserve"> the available capture percentages for different processes. For example, the inclusion of capture to coal power plants will assume an </w:t>
      </w:r>
      <w:proofErr w:type="gramStart"/>
      <w:r w:rsidR="00AB18B9">
        <w:t>amine based</w:t>
      </w:r>
      <w:proofErr w:type="gramEnd"/>
      <w:r w:rsidR="00AB18B9">
        <w:t xml:space="preserve"> capture process with 90% capture rate. The addition of </w:t>
      </w:r>
      <w:r w:rsidR="00260074">
        <w:t xml:space="preserve">the </w:t>
      </w:r>
      <w:r w:rsidR="00AB18B9">
        <w:t xml:space="preserve">capture option will </w:t>
      </w:r>
      <w:r w:rsidR="00260074">
        <w:t xml:space="preserve">also </w:t>
      </w:r>
      <w:r w:rsidR="00AB18B9">
        <w:t xml:space="preserve">increase the total coal input to the process to account for the capture plant energy demand. </w:t>
      </w:r>
      <w:r w:rsidR="00176D4D">
        <w:t>The submodules for the CCUS module to form different value chains are currently under construction. A more complex and detailed version of the module will be included in the following versions of SESAME.</w:t>
      </w:r>
    </w:p>
    <w:p w14:paraId="6C3D5AE2" w14:textId="77777777" w:rsidR="005E6C00" w:rsidRPr="000059E1" w:rsidRDefault="005E6C00" w:rsidP="00024115">
      <w:pPr>
        <w:pStyle w:val="Heading3"/>
      </w:pPr>
      <w:bookmarkStart w:id="147" w:name="_Toc517105435"/>
      <w:r w:rsidRPr="000059E1">
        <w:t>Gate-to-User Module</w:t>
      </w:r>
      <w:bookmarkEnd w:id="147"/>
    </w:p>
    <w:p w14:paraId="08D48FB5" w14:textId="77777777" w:rsidR="005E6C00" w:rsidRDefault="005E6C00" w:rsidP="005E6C00">
      <w:r>
        <w:t xml:space="preserve">The gate-to-user module calculates the emissions associated </w:t>
      </w:r>
      <w:r w:rsidRPr="00E0068D">
        <w:rPr>
          <w:highlight w:val="yellow"/>
          <w:rPrChange w:id="148" w:author="t_ghosh" w:date="2019-08-30T12:39:00Z">
            <w:rPr/>
          </w:rPrChange>
        </w:rPr>
        <w:t>with the product transport from the plant processing location to the end-use location. Input parameters</w:t>
      </w:r>
      <w:r w:rsidR="00260074" w:rsidRPr="00E0068D">
        <w:rPr>
          <w:highlight w:val="yellow"/>
          <w:rPrChange w:id="149" w:author="t_ghosh" w:date="2019-08-30T12:39:00Z">
            <w:rPr/>
          </w:rPrChange>
        </w:rPr>
        <w:t>,</w:t>
      </w:r>
      <w:r w:rsidRPr="00E0068D">
        <w:rPr>
          <w:highlight w:val="yellow"/>
          <w:rPrChange w:id="150" w:author="t_ghosh" w:date="2019-08-30T12:39:00Z">
            <w:rPr/>
          </w:rPrChange>
        </w:rPr>
        <w:t xml:space="preserve"> in addition to the </w:t>
      </w:r>
      <w:r w:rsidRPr="00E0068D">
        <w:rPr>
          <w:i/>
          <w:highlight w:val="yellow"/>
          <w:rPrChange w:id="151" w:author="t_ghosh" w:date="2019-08-30T12:39:00Z">
            <w:rPr>
              <w:i/>
            </w:rPr>
          </w:rPrChange>
        </w:rPr>
        <w:t>product</w:t>
      </w:r>
      <w:r w:rsidRPr="00E0068D">
        <w:rPr>
          <w:highlight w:val="yellow"/>
          <w:rPrChange w:id="152" w:author="t_ghosh" w:date="2019-08-30T12:39:00Z">
            <w:rPr/>
          </w:rPrChange>
        </w:rPr>
        <w:t xml:space="preserve"> type</w:t>
      </w:r>
      <w:r w:rsidR="00260074" w:rsidRPr="00E0068D">
        <w:rPr>
          <w:highlight w:val="yellow"/>
          <w:rPrChange w:id="153" w:author="t_ghosh" w:date="2019-08-30T12:39:00Z">
            <w:rPr/>
          </w:rPrChange>
        </w:rPr>
        <w:t>,</w:t>
      </w:r>
      <w:r w:rsidRPr="00E0068D">
        <w:rPr>
          <w:highlight w:val="yellow"/>
          <w:rPrChange w:id="154" w:author="t_ghosh" w:date="2019-08-30T12:39:00Z">
            <w:rPr/>
          </w:rPrChange>
        </w:rPr>
        <w:t xml:space="preserve"> include </w:t>
      </w:r>
      <w:r w:rsidR="00260074" w:rsidRPr="00E0068D">
        <w:rPr>
          <w:highlight w:val="yellow"/>
          <w:rPrChange w:id="155" w:author="t_ghosh" w:date="2019-08-30T12:39:00Z">
            <w:rPr/>
          </w:rPrChange>
        </w:rPr>
        <w:t xml:space="preserve">a </w:t>
      </w:r>
      <w:r w:rsidRPr="00E0068D">
        <w:rPr>
          <w:highlight w:val="yellow"/>
          <w:rPrChange w:id="156" w:author="t_ghosh" w:date="2019-08-30T12:39:00Z">
            <w:rPr/>
          </w:rPrChange>
        </w:rPr>
        <w:t xml:space="preserve">product’s properties and </w:t>
      </w:r>
      <w:r w:rsidR="00260074" w:rsidRPr="00E0068D">
        <w:rPr>
          <w:highlight w:val="yellow"/>
          <w:rPrChange w:id="157" w:author="t_ghosh" w:date="2019-08-30T12:39:00Z">
            <w:rPr/>
          </w:rPrChange>
        </w:rPr>
        <w:t xml:space="preserve">physical </w:t>
      </w:r>
      <w:r w:rsidRPr="00E0068D">
        <w:rPr>
          <w:highlight w:val="yellow"/>
          <w:rPrChange w:id="158" w:author="t_ghosh" w:date="2019-08-30T12:39:00Z">
            <w:rPr/>
          </w:rPrChange>
        </w:rPr>
        <w:t>conditions (phase, pressure, and temperature), and the share of each available transportation mode.</w:t>
      </w:r>
      <w:r>
        <w:t xml:space="preserve"> The operation of the module starts with a logic search to check the availability of data in </w:t>
      </w:r>
      <w:r w:rsidR="00260074">
        <w:t xml:space="preserve">the </w:t>
      </w:r>
      <w:r>
        <w:t xml:space="preserve">Gate-to-user-Transportation database in desired conditions. At this step, if the relevant data is readily available, then it is read. If the base data is available but needs processing, the Gate-to-user-Processing database is checked, and the necessary information is collected if available. Once all the information is gathered, the emission values are calculated in </w:t>
      </w:r>
      <w:proofErr w:type="spellStart"/>
      <w:r>
        <w:t>GHG_calc</w:t>
      </w:r>
      <w:proofErr w:type="spellEnd"/>
      <w:r>
        <w:t xml:space="preserve"> function. The Gate-to-user module returns the transportation related emissions of the</w:t>
      </w:r>
      <w:r w:rsidRPr="003F03F6">
        <w:rPr>
          <w:i/>
        </w:rPr>
        <w:t xml:space="preserve"> product</w:t>
      </w:r>
      <w:r>
        <w:t xml:space="preserve"> to the Control Panel. </w:t>
      </w:r>
    </w:p>
    <w:p w14:paraId="5D99D31E" w14:textId="77777777" w:rsidR="005E6C00" w:rsidRPr="00AC20FF" w:rsidRDefault="005E6C00" w:rsidP="00024115">
      <w:pPr>
        <w:pStyle w:val="Heading3"/>
      </w:pPr>
      <w:bookmarkStart w:id="159" w:name="_Toc517105436"/>
      <w:r w:rsidRPr="00AC20FF">
        <w:t>End Use Module</w:t>
      </w:r>
      <w:bookmarkEnd w:id="159"/>
    </w:p>
    <w:p w14:paraId="714500DC" w14:textId="3ED58C86" w:rsidR="005E6C00" w:rsidRPr="00402AB7" w:rsidRDefault="005E6C00" w:rsidP="005E6C00">
      <w:r>
        <w:t xml:space="preserve">The end use module fulfills two tasks; </w:t>
      </w:r>
      <w:proofErr w:type="spellStart"/>
      <w:r>
        <w:t>i</w:t>
      </w:r>
      <w:proofErr w:type="spellEnd"/>
      <w:r>
        <w:t xml:space="preserve">) </w:t>
      </w:r>
      <w:r w:rsidRPr="00E0068D">
        <w:rPr>
          <w:highlight w:val="yellow"/>
          <w:rPrChange w:id="160" w:author="t_ghosh" w:date="2019-08-30T12:40:00Z">
            <w:rPr/>
          </w:rPrChange>
        </w:rPr>
        <w:t>scale the total emissions</w:t>
      </w:r>
      <w:r>
        <w:t xml:space="preserve"> (by providing the adjustment factor to Control Panel module that will affect all life step emissions), ii) calculate the </w:t>
      </w:r>
      <w:proofErr w:type="gramStart"/>
      <w:r w:rsidRPr="00E0068D">
        <w:rPr>
          <w:highlight w:val="yellow"/>
          <w:rPrChange w:id="161" w:author="t_ghosh" w:date="2019-08-30T12:40:00Z">
            <w:rPr/>
          </w:rPrChange>
        </w:rPr>
        <w:t>end use</w:t>
      </w:r>
      <w:proofErr w:type="gramEnd"/>
      <w:r w:rsidRPr="00E0068D">
        <w:rPr>
          <w:highlight w:val="yellow"/>
          <w:rPrChange w:id="162" w:author="t_ghosh" w:date="2019-08-30T12:40:00Z">
            <w:rPr/>
          </w:rPrChange>
        </w:rPr>
        <w:t xml:space="preserve"> related emissions for options that ha</w:t>
      </w:r>
      <w:r w:rsidR="00497753" w:rsidRPr="00E0068D">
        <w:rPr>
          <w:highlight w:val="yellow"/>
          <w:rPrChange w:id="163" w:author="t_ghosh" w:date="2019-08-30T12:40:00Z">
            <w:rPr/>
          </w:rPrChange>
        </w:rPr>
        <w:t>ve</w:t>
      </w:r>
      <w:r w:rsidRPr="00E0068D">
        <w:rPr>
          <w:highlight w:val="yellow"/>
          <w:rPrChange w:id="164" w:author="t_ghosh" w:date="2019-08-30T12:40:00Z">
            <w:rPr/>
          </w:rPrChange>
        </w:rPr>
        <w:t xml:space="preserve"> utilization related emissions</w:t>
      </w:r>
      <w:r>
        <w:t xml:space="preserve">. The End use module plays a </w:t>
      </w:r>
      <w:r w:rsidRPr="00E0068D">
        <w:rPr>
          <w:highlight w:val="yellow"/>
          <w:rPrChange w:id="165" w:author="t_ghosh" w:date="2019-08-30T12:40:00Z">
            <w:rPr/>
          </w:rPrChange>
        </w:rPr>
        <w:t>critical role in linking the systems-level analysis capabilities with pathway-level analysis</w:t>
      </w:r>
      <w:r>
        <w:t xml:space="preserve">. The vehicle and power fleet models included in the tool provide a list of pathways, each one of which is a component of the overall system. The </w:t>
      </w:r>
      <w:r w:rsidRPr="00E0068D">
        <w:rPr>
          <w:highlight w:val="yellow"/>
          <w:rPrChange w:id="166" w:author="t_ghosh" w:date="2019-08-30T12:40:00Z">
            <w:rPr/>
          </w:rPrChange>
        </w:rPr>
        <w:t>aggregate effect of a system-level scenario is calculated based on the contribution of each pathway.</w:t>
      </w:r>
      <w:r>
        <w:t xml:space="preserve">    </w:t>
      </w:r>
    </w:p>
    <w:p w14:paraId="7F3EE563" w14:textId="77777777" w:rsidR="00930011" w:rsidRPr="004C321C" w:rsidRDefault="00ED6343" w:rsidP="00930011">
      <w:pPr>
        <w:pStyle w:val="Heading1"/>
      </w:pPr>
      <w:r w:rsidRPr="004C321C">
        <w:t xml:space="preserve">Results and </w:t>
      </w:r>
      <w:r w:rsidR="00FB4CD5" w:rsidRPr="004C321C">
        <w:t xml:space="preserve">Discussion </w:t>
      </w:r>
    </w:p>
    <w:p w14:paraId="2AF315B4" w14:textId="77777777" w:rsidR="00ED6343" w:rsidRPr="004C321C" w:rsidRDefault="007C5704" w:rsidP="007C5704">
      <w:pPr>
        <w:pStyle w:val="Heading2"/>
      </w:pPr>
      <w:r w:rsidRPr="004C321C">
        <w:t>System-level LCA Results</w:t>
      </w:r>
    </w:p>
    <w:p w14:paraId="4A947547" w14:textId="77777777" w:rsidR="00601142" w:rsidRPr="004C321C" w:rsidRDefault="00601142" w:rsidP="00601142">
      <w:pPr>
        <w:pStyle w:val="Heading3"/>
      </w:pPr>
      <w:r w:rsidRPr="00601142">
        <w:t xml:space="preserve"> </w:t>
      </w:r>
      <w:r w:rsidRPr="004C321C">
        <w:t xml:space="preserve">GHG </w:t>
      </w:r>
      <w:r w:rsidRPr="004C321C">
        <w:rPr>
          <w:lang w:val="en-GB"/>
        </w:rPr>
        <w:t>emissions of the U.S. energy system</w:t>
      </w:r>
    </w:p>
    <w:p w14:paraId="3C640B4C" w14:textId="6E2E0BEC" w:rsidR="00ED6343" w:rsidRPr="00BB6BD8" w:rsidRDefault="00227548" w:rsidP="00ED6343">
      <w:r>
        <w:rPr>
          <w:lang w:val="en-GB"/>
        </w:rPr>
        <w:t xml:space="preserve">Using our system-level assessment methodology, we screened more than </w:t>
      </w:r>
      <w:r w:rsidRPr="009549C2">
        <w:rPr>
          <w:highlight w:val="yellow"/>
          <w:lang w:val="en-GB"/>
          <w:rPrChange w:id="167" w:author="t_ghosh" w:date="2019-08-30T12:49:00Z">
            <w:rPr>
              <w:lang w:val="en-GB"/>
            </w:rPr>
          </w:rPrChange>
        </w:rPr>
        <w:t>80% of the GHG emissions</w:t>
      </w:r>
      <w:r>
        <w:rPr>
          <w:lang w:val="en-GB"/>
        </w:rPr>
        <w:t xml:space="preserve"> in the U.S. energy system (in 2018)</w:t>
      </w:r>
      <w:r w:rsidR="00EB12CF">
        <w:rPr>
          <w:lang w:val="en-GB"/>
        </w:rPr>
        <w:t xml:space="preserve">. It was </w:t>
      </w:r>
      <w:r w:rsidR="00FF26B7">
        <w:rPr>
          <w:lang w:val="en-GB"/>
        </w:rPr>
        <w:t>performed</w:t>
      </w:r>
      <w:r>
        <w:rPr>
          <w:lang w:val="en-GB"/>
        </w:rPr>
        <w:t xml:space="preserve"> by calculating </w:t>
      </w:r>
      <w:r w:rsidR="00EB12CF">
        <w:rPr>
          <w:lang w:val="en-GB"/>
        </w:rPr>
        <w:t xml:space="preserve">and summing up GHG </w:t>
      </w:r>
      <w:r>
        <w:rPr>
          <w:lang w:val="en-GB"/>
        </w:rPr>
        <w:t xml:space="preserve">emissions from all the modules (dashed red boxes in Figure 1) listed in each life cycle step (dashed blue columns in </w:t>
      </w:r>
      <w:r w:rsidR="008429E3">
        <w:rPr>
          <w:lang w:val="en-GB"/>
        </w:rPr>
        <w:fldChar w:fldCharType="begin"/>
      </w:r>
      <w:r w:rsidR="008429E3">
        <w:rPr>
          <w:lang w:val="en-GB"/>
        </w:rPr>
        <w:instrText xml:space="preserve"> REF _Ref5094514 \h </w:instrText>
      </w:r>
      <w:r w:rsidR="008429E3">
        <w:rPr>
          <w:lang w:val="en-GB"/>
        </w:rPr>
      </w:r>
      <w:r w:rsidR="008429E3">
        <w:rPr>
          <w:lang w:val="en-GB"/>
        </w:rPr>
        <w:fldChar w:fldCharType="separate"/>
      </w:r>
      <w:r w:rsidR="000E4110" w:rsidRPr="006F5C30">
        <w:rPr>
          <w:b/>
        </w:rPr>
        <w:t xml:space="preserve">Figure </w:t>
      </w:r>
      <w:r w:rsidR="000E4110">
        <w:rPr>
          <w:b/>
          <w:noProof/>
        </w:rPr>
        <w:t>2</w:t>
      </w:r>
      <w:r w:rsidR="008429E3">
        <w:rPr>
          <w:lang w:val="en-GB"/>
        </w:rPr>
        <w:fldChar w:fldCharType="end"/>
      </w:r>
      <w:r>
        <w:rPr>
          <w:lang w:val="en-GB"/>
        </w:rPr>
        <w:t xml:space="preserve">) using </w:t>
      </w:r>
      <w:proofErr w:type="spellStart"/>
      <w:r w:rsidR="00EF2E38">
        <w:rPr>
          <w:lang w:val="en-GB"/>
        </w:rPr>
        <w:t>publically</w:t>
      </w:r>
      <w:proofErr w:type="spellEnd"/>
      <w:r w:rsidR="00EF2E38">
        <w:rPr>
          <w:lang w:val="en-GB"/>
        </w:rPr>
        <w:t xml:space="preserve"> </w:t>
      </w:r>
      <w:r w:rsidR="00EF2E38" w:rsidRPr="00FF26B7">
        <w:rPr>
          <w:lang w:val="en-GB"/>
        </w:rPr>
        <w:t xml:space="preserve">available </w:t>
      </w:r>
      <w:r w:rsidRPr="00FF26B7">
        <w:rPr>
          <w:lang w:val="en-GB"/>
        </w:rPr>
        <w:t>data from</w:t>
      </w:r>
      <w:r w:rsidR="00DA391D">
        <w:rPr>
          <w:lang w:val="en-GB"/>
        </w:rPr>
        <w:t xml:space="preserve"> the US</w:t>
      </w:r>
      <w:r w:rsidRPr="00FF26B7">
        <w:rPr>
          <w:lang w:val="en-GB"/>
        </w:rPr>
        <w:t xml:space="preserve"> EPA </w:t>
      </w:r>
      <w:r w:rsidR="00FF26B7">
        <w:rPr>
          <w:lang w:val="en-GB"/>
        </w:rPr>
        <w:fldChar w:fldCharType="begin" w:fldLock="1"/>
      </w:r>
      <w:r w:rsidR="00E47A51">
        <w:rPr>
          <w:lang w:val="en-GB"/>
        </w:rPr>
        <w:instrText>ADDIN CSL_CITATION {"citationItems":[{"id":"ITEM-1","itemData":{"author":[{"dropping-particle":"","family":"US EPA","given":"","non-dropping-particle":"","parse-names":false,"suffix":""}],"id":"ITEM-1","issued":{"date-parts":[["2018"]]},"title":"Inventory of U.S. Greenhouse Gas Emissions and Sinks 1990-2017: Updates Under Consideration for Incorporating GHGRP Data","type":"report"},"uris":["http://www.mendeley.com/documents/?uuid=453cc80b-bb19-4580-89fc-44bf6846b31c"]}],"mendeley":{"formattedCitation":"[35]","plainTextFormattedCitation":"[35]","previouslyFormattedCitation":"[35]"},"properties":{"noteIndex":0},"schema":"https://github.com/citation-style-language/schema/raw/master/csl-citation.json"}</w:instrText>
      </w:r>
      <w:r w:rsidR="00FF26B7">
        <w:rPr>
          <w:lang w:val="en-GB"/>
        </w:rPr>
        <w:fldChar w:fldCharType="separate"/>
      </w:r>
      <w:r w:rsidR="00D04D12" w:rsidRPr="00D04D12">
        <w:rPr>
          <w:noProof/>
          <w:lang w:val="en-GB"/>
        </w:rPr>
        <w:t>[35]</w:t>
      </w:r>
      <w:r w:rsidR="00FF26B7">
        <w:rPr>
          <w:lang w:val="en-GB"/>
        </w:rPr>
        <w:fldChar w:fldCharType="end"/>
      </w:r>
      <w:r w:rsidR="00FF26B7">
        <w:rPr>
          <w:lang w:val="en-GB"/>
        </w:rPr>
        <w:t xml:space="preserve">. </w:t>
      </w:r>
      <w:r>
        <w:rPr>
          <w:lang w:val="en-GB"/>
        </w:rPr>
        <w:t xml:space="preserve">Our results show that </w:t>
      </w:r>
      <w:r w:rsidRPr="009549C2">
        <w:rPr>
          <w:highlight w:val="yellow"/>
          <w:lang w:val="en-GB"/>
          <w:rPrChange w:id="168" w:author="t_ghosh" w:date="2019-08-30T12:49:00Z">
            <w:rPr>
              <w:lang w:val="en-GB"/>
            </w:rPr>
          </w:rPrChange>
        </w:rPr>
        <w:t xml:space="preserve">process and end use steps </w:t>
      </w:r>
      <w:r w:rsidR="00EB12CF" w:rsidRPr="009549C2">
        <w:rPr>
          <w:highlight w:val="yellow"/>
          <w:lang w:val="en-GB"/>
          <w:rPrChange w:id="169" w:author="t_ghosh" w:date="2019-08-30T12:49:00Z">
            <w:rPr>
              <w:lang w:val="en-GB"/>
            </w:rPr>
          </w:rPrChange>
        </w:rPr>
        <w:t>represent</w:t>
      </w:r>
      <w:r w:rsidRPr="009549C2">
        <w:rPr>
          <w:highlight w:val="yellow"/>
          <w:lang w:val="en-GB"/>
          <w:rPrChange w:id="170" w:author="t_ghosh" w:date="2019-08-30T12:49:00Z">
            <w:rPr>
              <w:lang w:val="en-GB"/>
            </w:rPr>
          </w:rPrChange>
        </w:rPr>
        <w:t xml:space="preserve"> a significant fraction of overall GHG emissions from </w:t>
      </w:r>
      <w:r w:rsidR="00EB12CF" w:rsidRPr="009549C2">
        <w:rPr>
          <w:highlight w:val="yellow"/>
          <w:lang w:val="en-GB"/>
          <w:rPrChange w:id="171" w:author="t_ghosh" w:date="2019-08-30T12:49:00Z">
            <w:rPr>
              <w:lang w:val="en-GB"/>
            </w:rPr>
          </w:rPrChange>
        </w:rPr>
        <w:t xml:space="preserve">the U.S. </w:t>
      </w:r>
      <w:r w:rsidRPr="009549C2">
        <w:rPr>
          <w:highlight w:val="yellow"/>
          <w:lang w:val="en-GB"/>
          <w:rPrChange w:id="172" w:author="t_ghosh" w:date="2019-08-30T12:49:00Z">
            <w:rPr>
              <w:lang w:val="en-GB"/>
            </w:rPr>
          </w:rPrChange>
        </w:rPr>
        <w:t>energy system</w:t>
      </w:r>
      <w:r w:rsidR="004C6E4E">
        <w:rPr>
          <w:lang w:val="en-GB"/>
        </w:rPr>
        <w:t>,</w:t>
      </w:r>
      <w:r>
        <w:rPr>
          <w:lang w:val="en-GB"/>
        </w:rPr>
        <w:t xml:space="preserve"> as shown in </w:t>
      </w:r>
      <w:r w:rsidR="008429E3">
        <w:rPr>
          <w:highlight w:val="yellow"/>
          <w:lang w:val="en-GB"/>
        </w:rPr>
        <w:fldChar w:fldCharType="begin"/>
      </w:r>
      <w:r w:rsidR="008429E3">
        <w:rPr>
          <w:lang w:val="en-GB"/>
        </w:rPr>
        <w:instrText xml:space="preserve"> REF _Ref13041338 \h </w:instrText>
      </w:r>
      <w:r w:rsidR="008429E3">
        <w:rPr>
          <w:highlight w:val="yellow"/>
          <w:lang w:val="en-GB"/>
        </w:rPr>
      </w:r>
      <w:r w:rsidR="008429E3">
        <w:rPr>
          <w:highlight w:val="yellow"/>
          <w:lang w:val="en-GB"/>
        </w:rPr>
        <w:fldChar w:fldCharType="separate"/>
      </w:r>
      <w:r w:rsidR="000E4110" w:rsidRPr="006F5C30">
        <w:rPr>
          <w:b/>
        </w:rPr>
        <w:t xml:space="preserve">Figure </w:t>
      </w:r>
      <w:r w:rsidR="000E4110">
        <w:rPr>
          <w:b/>
          <w:noProof/>
        </w:rPr>
        <w:lastRenderedPageBreak/>
        <w:t>8</w:t>
      </w:r>
      <w:r w:rsidR="008429E3">
        <w:rPr>
          <w:highlight w:val="yellow"/>
          <w:lang w:val="en-GB"/>
        </w:rPr>
        <w:fldChar w:fldCharType="end"/>
      </w:r>
      <w:r>
        <w:rPr>
          <w:lang w:val="en-GB"/>
        </w:rPr>
        <w:t xml:space="preserve">. Depending on the selected pathway, </w:t>
      </w:r>
      <w:r w:rsidR="00497753">
        <w:rPr>
          <w:lang w:val="en-GB"/>
        </w:rPr>
        <w:t xml:space="preserve">the </w:t>
      </w:r>
      <w:r>
        <w:rPr>
          <w:lang w:val="en-GB"/>
        </w:rPr>
        <w:t xml:space="preserve">process step could be the </w:t>
      </w:r>
      <w:r w:rsidR="00497753" w:rsidRPr="009549C2">
        <w:rPr>
          <w:highlight w:val="yellow"/>
          <w:lang w:val="en-GB"/>
          <w:rPrChange w:id="173" w:author="t_ghosh" w:date="2019-08-30T12:50:00Z">
            <w:rPr>
              <w:lang w:val="en-GB"/>
            </w:rPr>
          </w:rPrChange>
        </w:rPr>
        <w:t xml:space="preserve">most </w:t>
      </w:r>
      <w:r w:rsidRPr="009549C2">
        <w:rPr>
          <w:highlight w:val="yellow"/>
          <w:lang w:val="en-GB"/>
          <w:rPrChange w:id="174" w:author="t_ghosh" w:date="2019-08-30T12:50:00Z">
            <w:rPr>
              <w:lang w:val="en-GB"/>
            </w:rPr>
          </w:rPrChange>
        </w:rPr>
        <w:t xml:space="preserve">GHG </w:t>
      </w:r>
      <w:r w:rsidR="00497753" w:rsidRPr="009549C2">
        <w:rPr>
          <w:highlight w:val="yellow"/>
          <w:lang w:val="en-GB"/>
          <w:rPrChange w:id="175" w:author="t_ghosh" w:date="2019-08-30T12:50:00Z">
            <w:rPr>
              <w:lang w:val="en-GB"/>
            </w:rPr>
          </w:rPrChange>
        </w:rPr>
        <w:t>intensive</w:t>
      </w:r>
      <w:r w:rsidRPr="009549C2">
        <w:rPr>
          <w:highlight w:val="yellow"/>
          <w:lang w:val="en-GB"/>
          <w:rPrChange w:id="176" w:author="t_ghosh" w:date="2019-08-30T12:50:00Z">
            <w:rPr>
              <w:lang w:val="en-GB"/>
            </w:rPr>
          </w:rPrChange>
        </w:rPr>
        <w:t xml:space="preserve"> such as in power generation from fossil fuels pathways</w:t>
      </w:r>
      <w:r w:rsidR="00497753" w:rsidRPr="009549C2">
        <w:rPr>
          <w:highlight w:val="yellow"/>
          <w:lang w:val="en-GB"/>
          <w:rPrChange w:id="177" w:author="t_ghosh" w:date="2019-08-30T12:50:00Z">
            <w:rPr>
              <w:lang w:val="en-GB"/>
            </w:rPr>
          </w:rPrChange>
        </w:rPr>
        <w:t>;</w:t>
      </w:r>
      <w:r>
        <w:rPr>
          <w:lang w:val="en-GB"/>
        </w:rPr>
        <w:t xml:space="preserve"> the power generation process is the highest GHG emitter among </w:t>
      </w:r>
      <w:r w:rsidR="00497753">
        <w:rPr>
          <w:lang w:val="en-GB"/>
        </w:rPr>
        <w:t xml:space="preserve">all </w:t>
      </w:r>
      <w:r>
        <w:rPr>
          <w:lang w:val="en-GB"/>
        </w:rPr>
        <w:t xml:space="preserve">life cycle steps. </w:t>
      </w:r>
      <w:r w:rsidR="00497753">
        <w:rPr>
          <w:lang w:val="en-GB"/>
        </w:rPr>
        <w:t>F</w:t>
      </w:r>
      <w:r>
        <w:rPr>
          <w:lang w:val="en-GB"/>
        </w:rPr>
        <w:t xml:space="preserve">or some other pathways, such as gasoline production from crude oil, the major GHG emitter is the end use (the vehicle </w:t>
      </w:r>
      <w:r w:rsidR="00FF26B7">
        <w:rPr>
          <w:lang w:val="en-GB"/>
        </w:rPr>
        <w:t>tailpipe emissions</w:t>
      </w:r>
      <w:r>
        <w:rPr>
          <w:lang w:val="en-GB"/>
        </w:rPr>
        <w:t xml:space="preserve">). </w:t>
      </w:r>
      <w:r w:rsidR="004A0466">
        <w:rPr>
          <w:lang w:val="en-GB"/>
        </w:rPr>
        <w:t>This high-level estimation demonstrates the emission hotspots</w:t>
      </w:r>
      <w:r w:rsidR="00497753">
        <w:rPr>
          <w:lang w:val="en-GB"/>
        </w:rPr>
        <w:t xml:space="preserve"> in an overall pathway</w:t>
      </w:r>
      <w:r w:rsidR="004A0466">
        <w:rPr>
          <w:lang w:val="en-GB"/>
        </w:rPr>
        <w:t>.</w:t>
      </w:r>
    </w:p>
    <w:p w14:paraId="651228AA" w14:textId="77777777" w:rsidR="00ED6343" w:rsidRDefault="00321148" w:rsidP="00ED6343">
      <w:pPr>
        <w:rPr>
          <w:highlight w:val="yellow"/>
        </w:rPr>
      </w:pPr>
      <w:r>
        <w:rPr>
          <w:noProof/>
        </w:rPr>
        <w:drawing>
          <wp:inline distT="0" distB="0" distL="0" distR="0" wp14:anchorId="003C62ED" wp14:editId="27ABC9B5">
            <wp:extent cx="5943174" cy="421049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41"/>
                    <a:stretch/>
                  </pic:blipFill>
                  <pic:spPr bwMode="auto">
                    <a:xfrm>
                      <a:off x="0" y="0"/>
                      <a:ext cx="5943600" cy="4210799"/>
                    </a:xfrm>
                    <a:prstGeom prst="rect">
                      <a:avLst/>
                    </a:prstGeom>
                    <a:noFill/>
                    <a:ln>
                      <a:noFill/>
                    </a:ln>
                    <a:extLst>
                      <a:ext uri="{53640926-AAD7-44D8-BBD7-CCE9431645EC}">
                        <a14:shadowObscured xmlns:a14="http://schemas.microsoft.com/office/drawing/2010/main"/>
                      </a:ext>
                    </a:extLst>
                  </pic:spPr>
                </pic:pic>
              </a:graphicData>
            </a:graphic>
          </wp:inline>
        </w:drawing>
      </w:r>
    </w:p>
    <w:p w14:paraId="04AEFB98" w14:textId="77777777" w:rsidR="00321148" w:rsidRDefault="008429E3" w:rsidP="00321148">
      <w:pPr>
        <w:pStyle w:val="Caption"/>
        <w:jc w:val="left"/>
      </w:pPr>
      <w:bookmarkStart w:id="178" w:name="_Ref13041338"/>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8</w:t>
      </w:r>
      <w:r w:rsidR="005F3F9E">
        <w:rPr>
          <w:b/>
        </w:rPr>
        <w:fldChar w:fldCharType="end"/>
      </w:r>
      <w:bookmarkEnd w:id="178"/>
      <w:r w:rsidR="00321148">
        <w:t xml:space="preserve"> The U.S. energy system analysis was conducted by SESAME. All the GHG emissions (million tons of CO</w:t>
      </w:r>
      <w:r w:rsidR="00321148" w:rsidRPr="003518C7">
        <w:rPr>
          <w:vertAlign w:val="subscript"/>
        </w:rPr>
        <w:t>2</w:t>
      </w:r>
      <w:r w:rsidR="00321148">
        <w:t xml:space="preserve"> equivalent) from all the modules listed in each life cycle step (in each column) were summed up. </w:t>
      </w:r>
      <w:r w:rsidR="00321148" w:rsidRPr="003518C7">
        <w:t>The</w:t>
      </w:r>
      <w:r w:rsidR="00321148">
        <w:t xml:space="preserve"> current</w:t>
      </w:r>
      <w:r w:rsidR="00321148" w:rsidRPr="003518C7">
        <w:t xml:space="preserve"> </w:t>
      </w:r>
      <w:r w:rsidR="00321148">
        <w:t xml:space="preserve">modules in the </w:t>
      </w:r>
      <w:r w:rsidR="00321148" w:rsidRPr="003518C7">
        <w:t xml:space="preserve">tool </w:t>
      </w:r>
      <w:r w:rsidR="004D3F0E">
        <w:t>capture</w:t>
      </w:r>
      <w:r w:rsidR="00321148" w:rsidRPr="003518C7">
        <w:t xml:space="preserve"> 80% of the </w:t>
      </w:r>
      <w:r w:rsidR="00321148">
        <w:t xml:space="preserve">overall </w:t>
      </w:r>
      <w:r w:rsidR="00321148" w:rsidRPr="003518C7">
        <w:t>GHG emissions from the entire U.S. economy</w:t>
      </w:r>
      <w:r w:rsidR="00321148">
        <w:t>. The results show that</w:t>
      </w:r>
      <w:r w:rsidR="00321148" w:rsidRPr="003518C7">
        <w:t xml:space="preserve"> process &amp; end use</w:t>
      </w:r>
      <w:r w:rsidR="00321148">
        <w:t xml:space="preserve"> are GHG hotspots, emitting 60% and 33% of the total emissions respectively. </w:t>
      </w:r>
      <w:r w:rsidR="003C58C2">
        <w:t xml:space="preserve"> </w:t>
      </w:r>
    </w:p>
    <w:p w14:paraId="47F6B708" w14:textId="77777777" w:rsidR="00601142" w:rsidRPr="004C321C" w:rsidRDefault="00601142" w:rsidP="00601142">
      <w:pPr>
        <w:pStyle w:val="Heading3"/>
        <w:numPr>
          <w:ilvl w:val="2"/>
          <w:numId w:val="34"/>
        </w:numPr>
      </w:pPr>
      <w:r w:rsidRPr="004C321C">
        <w:t>System-level LCA analysis for transportation sector</w:t>
      </w:r>
    </w:p>
    <w:p w14:paraId="5ED88C50" w14:textId="12F86768" w:rsidR="000E6DE6" w:rsidRPr="000E6DE6" w:rsidRDefault="007801E6" w:rsidP="000E6DE6">
      <w:r>
        <w:t xml:space="preserve">For a transportation case study, we estimated future </w:t>
      </w:r>
      <w:r w:rsidR="0076288C">
        <w:t>GHG</w:t>
      </w:r>
      <w:r>
        <w:t xml:space="preserve"> emissions from the U.S. passenger vehicle fleet, </w:t>
      </w:r>
      <w:r w:rsidRPr="009549C2">
        <w:rPr>
          <w:highlight w:val="yellow"/>
          <w:rPrChange w:id="179" w:author="t_ghosh" w:date="2019-08-30T12:50:00Z">
            <w:rPr/>
          </w:rPrChange>
        </w:rPr>
        <w:t>given car sales projections from the EIA</w:t>
      </w:r>
      <w:r>
        <w:t xml:space="preserve"> </w:t>
      </w:r>
      <w:r w:rsidR="00E47A51">
        <w:fldChar w:fldCharType="begin" w:fldLock="1"/>
      </w:r>
      <w:r w:rsidR="00316C3E">
        <w:instrText>ADDIN CSL_CITATION {"citationItems":[{"id":"ITEM-1","itemData":{"DOI":"DOE/EIA-0383(2012) U.S.","ISBN":"2025869592","ISSN":"1387-1811","PMID":"24439530","abstract":"The Annual Energy Outlook provides modeled projections of domestic energy markets through 2050, and includes cases with different assumptions of macroeconomic growth, world oil prices, technological progress, and energy policies. With strong domestic production and relatively flat demand, the United States becomes a net energy exporter over the projection period in most cases","author":[{"dropping-particle":"","family":"U.S. EIA","given":"","non-dropping-particle":"","parse-names":false,"suffix":""}],"container-title":"Annual Energy Outlook 2019 with projections to 2050","id":"ITEM-1","issue":"8","issued":{"date-parts":[["2019"]]},"page":"1-64","title":"Annual Energy Outlook 2019 with projections to 2050","type":"article-journal","volume":"44"},"uris":["http://www.mendeley.com/documents/?uuid=298b0973-c5e7-4cbe-a895-4a72326fc390"]}],"mendeley":{"formattedCitation":"[36]","plainTextFormattedCitation":"[36]","previouslyFormattedCitation":"[36]"},"properties":{"noteIndex":0},"schema":"https://github.com/citation-style-language/schema/raw/master/csl-citation.json"}</w:instrText>
      </w:r>
      <w:r w:rsidR="00E47A51">
        <w:fldChar w:fldCharType="separate"/>
      </w:r>
      <w:r w:rsidR="00E47A51" w:rsidRPr="00E47A51">
        <w:rPr>
          <w:noProof/>
        </w:rPr>
        <w:t>[36]</w:t>
      </w:r>
      <w:r w:rsidR="00E47A51">
        <w:fldChar w:fldCharType="end"/>
      </w:r>
      <w:r>
        <w:t xml:space="preserve">. </w:t>
      </w:r>
      <w:r w:rsidRPr="00CC342E">
        <w:t>Figure 9</w:t>
      </w:r>
      <w:r>
        <w:t>(</w:t>
      </w:r>
      <w:r w:rsidRPr="00CC342E">
        <w:t>b</w:t>
      </w:r>
      <w:r>
        <w:t>)</w:t>
      </w:r>
      <w:r w:rsidRPr="00CC342E">
        <w:t xml:space="preserve"> and </w:t>
      </w:r>
      <w:r>
        <w:t>(</w:t>
      </w:r>
      <w:r w:rsidRPr="00CC342E">
        <w:t>c</w:t>
      </w:r>
      <w:r>
        <w:t>)</w:t>
      </w:r>
      <w:r w:rsidRPr="00CC342E">
        <w:t xml:space="preserve"> show that, even as the operating fleet grows </w:t>
      </w:r>
      <w:r w:rsidRPr="009549C2">
        <w:rPr>
          <w:highlight w:val="yellow"/>
          <w:rPrChange w:id="180" w:author="t_ghosh" w:date="2019-08-30T12:50:00Z">
            <w:rPr/>
          </w:rPrChange>
        </w:rPr>
        <w:t xml:space="preserve">~15% from today to 2050, fleet </w:t>
      </w:r>
      <w:r w:rsidR="009477C3" w:rsidRPr="009549C2">
        <w:rPr>
          <w:highlight w:val="yellow"/>
          <w:rPrChange w:id="181" w:author="t_ghosh" w:date="2019-08-30T12:50:00Z">
            <w:rPr/>
          </w:rPrChange>
        </w:rPr>
        <w:t>GHG</w:t>
      </w:r>
      <w:r w:rsidRPr="009549C2">
        <w:rPr>
          <w:highlight w:val="yellow"/>
          <w:rPrChange w:id="182" w:author="t_ghosh" w:date="2019-08-30T12:50:00Z">
            <w:rPr/>
          </w:rPrChange>
        </w:rPr>
        <w:t xml:space="preserve"> emissions decline by ~23%.</w:t>
      </w:r>
      <w:r w:rsidRPr="00CC342E">
        <w:t xml:space="preserve"> This is due primarily to</w:t>
      </w:r>
      <w:r>
        <w:t xml:space="preserve"> projected </w:t>
      </w:r>
      <w:r w:rsidR="00F869A7">
        <w:t xml:space="preserve">improvements </w:t>
      </w:r>
      <w:r>
        <w:t xml:space="preserve">in car </w:t>
      </w:r>
      <w:r w:rsidRPr="00CC342E">
        <w:t>fuel</w:t>
      </w:r>
      <w:r>
        <w:t xml:space="preserve"> economies (increased MPGs) </w:t>
      </w:r>
      <w:r w:rsidRPr="00CC342E">
        <w:t xml:space="preserve">and </w:t>
      </w:r>
      <w:r>
        <w:t>the carbon intensity of electricity</w:t>
      </w:r>
      <w:r w:rsidRPr="00CC342E">
        <w:t xml:space="preserve">. Lower-carbon electricity </w:t>
      </w:r>
      <w:r w:rsidRPr="009549C2">
        <w:rPr>
          <w:highlight w:val="yellow"/>
          <w:rPrChange w:id="183" w:author="t_ghosh" w:date="2019-08-30T12:50:00Z">
            <w:rPr/>
          </w:rPrChange>
        </w:rPr>
        <w:t>means lower-carbon car production</w:t>
      </w:r>
      <w:r w:rsidRPr="00CC342E">
        <w:t xml:space="preserve"> and EV operation.</w:t>
      </w:r>
      <w:r>
        <w:t xml:space="preserve"> EIA’s sales projections are shown in Figure 9(a). Car sales are a key input to </w:t>
      </w:r>
      <w:r w:rsidRPr="009549C2">
        <w:rPr>
          <w:highlight w:val="yellow"/>
          <w:rPrChange w:id="184" w:author="t_ghosh" w:date="2019-08-30T12:51:00Z">
            <w:rPr/>
          </w:rPrChange>
        </w:rPr>
        <w:t>SESAME’s fleet emissions module</w:t>
      </w:r>
      <w:r>
        <w:t xml:space="preserve">. The module utilizes Argonne </w:t>
      </w:r>
      <w:r>
        <w:lastRenderedPageBreak/>
        <w:t xml:space="preserve">National Laboratory’s </w:t>
      </w:r>
      <w:r w:rsidRPr="009549C2">
        <w:rPr>
          <w:highlight w:val="yellow"/>
          <w:rPrChange w:id="185" w:author="t_ghosh" w:date="2019-08-30T12:51:00Z">
            <w:rPr/>
          </w:rPrChange>
        </w:rPr>
        <w:t>VISION model</w:t>
      </w:r>
      <w:r w:rsidR="00316C3E" w:rsidRPr="009549C2">
        <w:rPr>
          <w:highlight w:val="yellow"/>
          <w:rPrChange w:id="186" w:author="t_ghosh" w:date="2019-08-30T12:51:00Z">
            <w:rPr/>
          </w:rPrChange>
        </w:rPr>
        <w:t xml:space="preserve"> </w:t>
      </w:r>
      <w:r w:rsidR="00316C3E" w:rsidRPr="009549C2">
        <w:rPr>
          <w:highlight w:val="yellow"/>
          <w:rPrChange w:id="187" w:author="t_ghosh" w:date="2019-08-30T12:51:00Z">
            <w:rPr/>
          </w:rPrChange>
        </w:rPr>
        <w:fldChar w:fldCharType="begin" w:fldLock="1"/>
      </w:r>
      <w:r w:rsidR="005B1EE6" w:rsidRPr="009549C2">
        <w:rPr>
          <w:highlight w:val="yellow"/>
          <w:rPrChange w:id="188" w:author="t_ghosh" w:date="2019-08-30T12:51:00Z">
            <w:rPr/>
          </w:rPrChange>
        </w:rPr>
        <w:instrText>ADDIN CSL_CITATION {"citationItems":[{"id":"ITEM-1","itemData":{"DOI":"10.2172/822561","author":[{"dropping-particle":"","family":"Singh","given":"M","non-dropping-particle":"","parse-names":false,"suffix":""},{"dropping-particle":"","family":"Vyas","given":"A","non-dropping-particle":"","parse-names":false,"suffix":""},{"dropping-particle":"","family":"Steiner","given":"E","non-dropping-particle":"","parse-names":false,"suffix":""}],"id":"ITEM-1","issued":{"date-parts":[["2004"]]},"title":"VISION Model: description of model used to estimate the impact of highway vehicle technologies and fuels on energy use and carbon emissions to 2050.","type":"article-journal"},"uris":["http://www.mendeley.com/documents/?uuid=f9de5c8b-ef5e-47cc-bbe1-35bfdfe3e048"]}],"mendeley":{"formattedCitation":"[37]","plainTextFormattedCitation":"[37]","previouslyFormattedCitation":"[37]"},"properties":{"noteIndex":0},"schema":"https://github.com/citation-style-language/schema/raw/master/csl-citation.json"}</w:instrText>
      </w:r>
      <w:r w:rsidR="00316C3E" w:rsidRPr="009549C2">
        <w:rPr>
          <w:highlight w:val="yellow"/>
          <w:rPrChange w:id="189" w:author="t_ghosh" w:date="2019-08-30T12:51:00Z">
            <w:rPr/>
          </w:rPrChange>
        </w:rPr>
        <w:fldChar w:fldCharType="separate"/>
      </w:r>
      <w:r w:rsidR="00316C3E" w:rsidRPr="009549C2">
        <w:rPr>
          <w:noProof/>
          <w:highlight w:val="yellow"/>
          <w:rPrChange w:id="190" w:author="t_ghosh" w:date="2019-08-30T12:51:00Z">
            <w:rPr>
              <w:noProof/>
            </w:rPr>
          </w:rPrChange>
        </w:rPr>
        <w:t>[37]</w:t>
      </w:r>
      <w:r w:rsidR="00316C3E" w:rsidRPr="009549C2">
        <w:rPr>
          <w:highlight w:val="yellow"/>
          <w:rPrChange w:id="191" w:author="t_ghosh" w:date="2019-08-30T12:51:00Z">
            <w:rPr/>
          </w:rPrChange>
        </w:rPr>
        <w:fldChar w:fldCharType="end"/>
      </w:r>
      <w:r w:rsidRPr="009549C2">
        <w:rPr>
          <w:highlight w:val="yellow"/>
          <w:rPrChange w:id="192" w:author="t_ghosh" w:date="2019-08-30T12:51:00Z">
            <w:rPr/>
          </w:rPrChange>
        </w:rPr>
        <w:t>, with</w:t>
      </w:r>
      <w:r>
        <w:t xml:space="preserve"> several important adjustments, including: car production </w:t>
      </w:r>
      <w:r w:rsidRPr="009549C2">
        <w:rPr>
          <w:highlight w:val="yellow"/>
          <w:rPrChange w:id="193" w:author="t_ghosh" w:date="2019-08-30T12:51:00Z">
            <w:rPr/>
          </w:rPrChange>
        </w:rPr>
        <w:t>emissions are included, and fuel production emissions (what VISION labels “fuel carbon coefficients</w:t>
      </w:r>
      <w:r>
        <w:t xml:space="preserve">”) are based on our LCAs of transportation fuels (gasoline, diesel, electricity, hydrogen, etc.), described below in section 4.2.1. Car production is included because it is an important part of the vehicle travel lifecycle and contributes </w:t>
      </w:r>
      <w:r w:rsidRPr="009549C2">
        <w:rPr>
          <w:highlight w:val="yellow"/>
          <w:rPrChange w:id="194" w:author="t_ghosh" w:date="2019-08-30T12:51:00Z">
            <w:rPr/>
          </w:rPrChange>
        </w:rPr>
        <w:t>non-trivial</w:t>
      </w:r>
      <w:r w:rsidR="00F869A7" w:rsidRPr="009549C2">
        <w:rPr>
          <w:highlight w:val="yellow"/>
          <w:rPrChange w:id="195" w:author="t_ghosh" w:date="2019-08-30T12:51:00Z">
            <w:rPr/>
          </w:rPrChange>
        </w:rPr>
        <w:t>ly to the</w:t>
      </w:r>
      <w:r w:rsidRPr="009549C2">
        <w:rPr>
          <w:highlight w:val="yellow"/>
          <w:rPrChange w:id="196" w:author="t_ghosh" w:date="2019-08-30T12:51:00Z">
            <w:rPr/>
          </w:rPrChange>
        </w:rPr>
        <w:t xml:space="preserve"> emissions </w:t>
      </w:r>
      <w:r w:rsidR="00F869A7" w:rsidRPr="009549C2">
        <w:rPr>
          <w:highlight w:val="yellow"/>
          <w:rPrChange w:id="197" w:author="t_ghosh" w:date="2019-08-30T12:51:00Z">
            <w:rPr/>
          </w:rPrChange>
        </w:rPr>
        <w:t>with respect to</w:t>
      </w:r>
      <w:r w:rsidRPr="009549C2">
        <w:rPr>
          <w:highlight w:val="yellow"/>
          <w:rPrChange w:id="198" w:author="t_ghosh" w:date="2019-08-30T12:51:00Z">
            <w:rPr/>
          </w:rPrChange>
        </w:rPr>
        <w:t xml:space="preserve"> operation</w:t>
      </w:r>
      <w:r>
        <w:t xml:space="preserve"> (~15% of total fleet emissions between today and 2050). In addition to car sales, other important inputs to the fleet emissions module include car fuel economies (MPGs) and a car lifetime distribution that assumes the average car lasts approximately </w:t>
      </w:r>
      <w:r w:rsidRPr="009549C2">
        <w:rPr>
          <w:highlight w:val="yellow"/>
          <w:rPrChange w:id="199" w:author="t_ghosh" w:date="2019-08-30T12:51:00Z">
            <w:rPr/>
          </w:rPrChange>
        </w:rPr>
        <w:t>180,000 miles</w:t>
      </w:r>
      <w:r w:rsidR="003D2506" w:rsidRPr="009549C2">
        <w:rPr>
          <w:highlight w:val="yellow"/>
          <w:rPrChange w:id="200" w:author="t_ghosh" w:date="2019-08-30T12:51:00Z">
            <w:rPr/>
          </w:rPrChange>
        </w:rPr>
        <w:t xml:space="preserve"> </w:t>
      </w:r>
      <w:r w:rsidR="003D2506" w:rsidRPr="009549C2">
        <w:rPr>
          <w:highlight w:val="yellow"/>
          <w:rPrChange w:id="201" w:author="t_ghosh" w:date="2019-08-30T12:51:00Z">
            <w:rPr/>
          </w:rPrChange>
        </w:rPr>
        <w:fldChar w:fldCharType="begin" w:fldLock="1"/>
      </w:r>
      <w:r w:rsidR="001C4AB5" w:rsidRPr="009549C2">
        <w:rPr>
          <w:highlight w:val="yellow"/>
          <w:rPrChange w:id="202" w:author="t_ghosh" w:date="2019-08-30T12:51:00Z">
            <w:rPr/>
          </w:rPrChange>
        </w:rPr>
        <w:instrText>ADDIN CSL_CITATION {"citationItems":[{"id":"ITEM-1","itemData":{"author":[{"dropping-particle":"","family":"Federal Highway Administration (FHWA)","given":"","non-dropping-particle":"","parse-names":false,"suffix":""}],"id":"ITEM-1","issued":{"date-parts":[["2009"]]},"publisher-place":"Washington, DC","title":"National household travel survey","type":"report"},"uris":["http://www.mendeley.com/documents/?uuid=89faf823-b72b-4c0b-9661-ff5e2b841943"]}],"mendeley":{"formattedCitation":"[38]","plainTextFormattedCitation":"[38]","previouslyFormattedCitation":"[38]"},"properties":{"noteIndex":0},"schema":"https://github.com/citation-style-language/schema/raw/master/csl-citation.json"}</w:instrText>
      </w:r>
      <w:r w:rsidR="003D2506" w:rsidRPr="009549C2">
        <w:rPr>
          <w:highlight w:val="yellow"/>
          <w:rPrChange w:id="203" w:author="t_ghosh" w:date="2019-08-30T12:51:00Z">
            <w:rPr/>
          </w:rPrChange>
        </w:rPr>
        <w:fldChar w:fldCharType="separate"/>
      </w:r>
      <w:r w:rsidR="003D2506" w:rsidRPr="009549C2">
        <w:rPr>
          <w:noProof/>
          <w:highlight w:val="yellow"/>
          <w:rPrChange w:id="204" w:author="t_ghosh" w:date="2019-08-30T12:51:00Z">
            <w:rPr>
              <w:noProof/>
            </w:rPr>
          </w:rPrChange>
        </w:rPr>
        <w:t>[38]</w:t>
      </w:r>
      <w:r w:rsidR="003D2506" w:rsidRPr="009549C2">
        <w:rPr>
          <w:highlight w:val="yellow"/>
          <w:rPrChange w:id="205" w:author="t_ghosh" w:date="2019-08-30T12:51:00Z">
            <w:rPr/>
          </w:rPrChange>
        </w:rPr>
        <w:fldChar w:fldCharType="end"/>
      </w:r>
      <w:r>
        <w:t xml:space="preserve">. It should be emphasized that this example is provided to (a) demonstrate the </w:t>
      </w:r>
      <w:r w:rsidRPr="009549C2">
        <w:rPr>
          <w:highlight w:val="yellow"/>
          <w:rPrChange w:id="206" w:author="t_ghosh" w:date="2019-08-30T12:51:00Z">
            <w:rPr/>
          </w:rPrChange>
        </w:rPr>
        <w:t>analytical power of SESAME</w:t>
      </w:r>
      <w:r>
        <w:t xml:space="preserve"> in converting fleet characteristics (such as EV market share) into resulting emissions.</w:t>
      </w:r>
    </w:p>
    <w:tbl>
      <w:tblPr>
        <w:tblStyle w:val="TableGrid"/>
        <w:tblW w:w="0" w:type="auto"/>
        <w:jc w:val="center"/>
        <w:tblLook w:val="04A0" w:firstRow="1" w:lastRow="0" w:firstColumn="1" w:lastColumn="0" w:noHBand="0" w:noVBand="1"/>
      </w:tblPr>
      <w:tblGrid>
        <w:gridCol w:w="805"/>
        <w:gridCol w:w="6390"/>
      </w:tblGrid>
      <w:tr w:rsidR="00BB533C" w:rsidRPr="00BB533C" w14:paraId="7A1136B2" w14:textId="77777777" w:rsidTr="004942C7">
        <w:trPr>
          <w:trHeight w:val="3590"/>
          <w:jc w:val="center"/>
        </w:trPr>
        <w:tc>
          <w:tcPr>
            <w:tcW w:w="805" w:type="dxa"/>
          </w:tcPr>
          <w:p w14:paraId="348BD42C" w14:textId="77777777" w:rsidR="00BB533C" w:rsidRPr="000E6DE6" w:rsidRDefault="000E6DE6" w:rsidP="00ED6343">
            <w:pPr>
              <w:rPr>
                <w:rFonts w:ascii="Arial" w:hAnsi="Arial" w:cs="Arial"/>
                <w:b/>
                <w:sz w:val="20"/>
              </w:rPr>
            </w:pPr>
            <w:r w:rsidRPr="000E6DE6">
              <w:rPr>
                <w:rFonts w:ascii="Arial" w:hAnsi="Arial" w:cs="Arial"/>
                <w:b/>
                <w:sz w:val="20"/>
              </w:rPr>
              <w:t>(a)</w:t>
            </w:r>
          </w:p>
        </w:tc>
        <w:tc>
          <w:tcPr>
            <w:tcW w:w="6390" w:type="dxa"/>
          </w:tcPr>
          <w:p w14:paraId="7357602B" w14:textId="77777777" w:rsidR="00BB533C" w:rsidRPr="00BB533C" w:rsidRDefault="00BB533C" w:rsidP="00ED6343">
            <w:pPr>
              <w:rPr>
                <w:rFonts w:ascii="Arial" w:hAnsi="Arial" w:cs="Arial"/>
                <w:highlight w:val="yellow"/>
              </w:rPr>
            </w:pPr>
            <w:r w:rsidRPr="00BB533C">
              <w:rPr>
                <w:rFonts w:ascii="Arial" w:hAnsi="Arial" w:cs="Arial"/>
                <w:noProof/>
                <w:highlight w:val="yellow"/>
              </w:rPr>
              <w:drawing>
                <wp:anchor distT="0" distB="0" distL="114300" distR="114300" simplePos="0" relativeHeight="251659264" behindDoc="0" locked="0" layoutInCell="1" allowOverlap="1" wp14:anchorId="0465F3A9" wp14:editId="56414028">
                  <wp:simplePos x="0" y="0"/>
                  <wp:positionH relativeFrom="column">
                    <wp:posOffset>-2540</wp:posOffset>
                  </wp:positionH>
                  <wp:positionV relativeFrom="paragraph">
                    <wp:posOffset>64770</wp:posOffset>
                  </wp:positionV>
                  <wp:extent cx="3860165" cy="2205990"/>
                  <wp:effectExtent l="0" t="0" r="6985" b="3810"/>
                  <wp:wrapTopAndBottom/>
                  <wp:docPr id="7" name="Chart 7">
                    <a:extLst xmlns:a="http://schemas.openxmlformats.org/drawingml/2006/main">
                      <a:ext uri="{FF2B5EF4-FFF2-40B4-BE49-F238E27FC236}">
                        <a16:creationId xmlns:a16="http://schemas.microsoft.com/office/drawing/2014/main" id="{A315CC85-032E-3E4E-A905-4910E1E995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tc>
      </w:tr>
      <w:tr w:rsidR="00BB533C" w:rsidRPr="00BB533C" w14:paraId="59B98D15" w14:textId="77777777" w:rsidTr="004942C7">
        <w:trPr>
          <w:jc w:val="center"/>
        </w:trPr>
        <w:tc>
          <w:tcPr>
            <w:tcW w:w="805" w:type="dxa"/>
          </w:tcPr>
          <w:p w14:paraId="016C4C38" w14:textId="77777777" w:rsidR="00BB533C" w:rsidRPr="000E6DE6" w:rsidRDefault="000E6DE6" w:rsidP="00ED6343">
            <w:pPr>
              <w:rPr>
                <w:rFonts w:ascii="Arial" w:hAnsi="Arial" w:cs="Arial"/>
                <w:b/>
                <w:sz w:val="20"/>
              </w:rPr>
            </w:pPr>
            <w:r w:rsidRPr="000E6DE6">
              <w:rPr>
                <w:rFonts w:ascii="Arial" w:hAnsi="Arial" w:cs="Arial"/>
                <w:b/>
                <w:sz w:val="20"/>
              </w:rPr>
              <w:t>(b)</w:t>
            </w:r>
          </w:p>
        </w:tc>
        <w:tc>
          <w:tcPr>
            <w:tcW w:w="6390" w:type="dxa"/>
          </w:tcPr>
          <w:p w14:paraId="32B4B612" w14:textId="77777777" w:rsidR="00BB533C" w:rsidRPr="00BB533C" w:rsidRDefault="00BB533C" w:rsidP="00ED6343">
            <w:pPr>
              <w:rPr>
                <w:rFonts w:ascii="Arial" w:hAnsi="Arial" w:cs="Arial"/>
                <w:highlight w:val="yellow"/>
              </w:rPr>
            </w:pPr>
            <w:r w:rsidRPr="00BB533C">
              <w:rPr>
                <w:rFonts w:ascii="Arial" w:hAnsi="Arial" w:cs="Arial"/>
                <w:noProof/>
                <w:highlight w:val="yellow"/>
              </w:rPr>
              <w:drawing>
                <wp:anchor distT="0" distB="0" distL="114300" distR="114300" simplePos="0" relativeHeight="251661312" behindDoc="0" locked="0" layoutInCell="1" allowOverlap="1" wp14:anchorId="20472D5A" wp14:editId="65A3A1F8">
                  <wp:simplePos x="0" y="0"/>
                  <wp:positionH relativeFrom="column">
                    <wp:posOffset>-2540</wp:posOffset>
                  </wp:positionH>
                  <wp:positionV relativeFrom="paragraph">
                    <wp:posOffset>57785</wp:posOffset>
                  </wp:positionV>
                  <wp:extent cx="3860165" cy="2265680"/>
                  <wp:effectExtent l="0" t="0" r="6985" b="1270"/>
                  <wp:wrapTopAndBottom/>
                  <wp:docPr id="9" name="Chart 9">
                    <a:extLst xmlns:a="http://schemas.openxmlformats.org/drawingml/2006/main">
                      <a:ext uri="{FF2B5EF4-FFF2-40B4-BE49-F238E27FC236}">
                        <a16:creationId xmlns:a16="http://schemas.microsoft.com/office/drawing/2014/main" id="{F12C6DE0-3C01-6848-9953-25E1758334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tc>
      </w:tr>
      <w:tr w:rsidR="00BB533C" w14:paraId="3387C65E" w14:textId="77777777" w:rsidTr="004942C7">
        <w:trPr>
          <w:trHeight w:val="4184"/>
          <w:jc w:val="center"/>
        </w:trPr>
        <w:tc>
          <w:tcPr>
            <w:tcW w:w="805" w:type="dxa"/>
          </w:tcPr>
          <w:p w14:paraId="3E663AFA" w14:textId="77777777" w:rsidR="00BB533C" w:rsidRPr="000E6DE6" w:rsidRDefault="000E6DE6" w:rsidP="00ED6343">
            <w:pPr>
              <w:rPr>
                <w:rFonts w:ascii="Arial" w:hAnsi="Arial" w:cs="Arial"/>
                <w:b/>
                <w:sz w:val="20"/>
              </w:rPr>
            </w:pPr>
            <w:r w:rsidRPr="000E6DE6">
              <w:rPr>
                <w:rFonts w:ascii="Arial" w:hAnsi="Arial" w:cs="Arial"/>
                <w:b/>
                <w:sz w:val="20"/>
              </w:rPr>
              <w:lastRenderedPageBreak/>
              <w:t>(c)</w:t>
            </w:r>
          </w:p>
        </w:tc>
        <w:tc>
          <w:tcPr>
            <w:tcW w:w="6390" w:type="dxa"/>
          </w:tcPr>
          <w:p w14:paraId="72F170F8" w14:textId="77777777" w:rsidR="00BB533C" w:rsidRDefault="007801E6" w:rsidP="009C4602">
            <w:pPr>
              <w:keepNext/>
              <w:rPr>
                <w:highlight w:val="yellow"/>
              </w:rPr>
            </w:pPr>
            <w:r>
              <w:rPr>
                <w:noProof/>
              </w:rPr>
              <w:drawing>
                <wp:inline distT="0" distB="0" distL="0" distR="0" wp14:anchorId="5189A3D9" wp14:editId="285FA63B">
                  <wp:extent cx="3886200" cy="2370455"/>
                  <wp:effectExtent l="0" t="0" r="0" b="4445"/>
                  <wp:docPr id="4" name="Chart 4">
                    <a:extLst xmlns:a="http://schemas.openxmlformats.org/drawingml/2006/main">
                      <a:ext uri="{FF2B5EF4-FFF2-40B4-BE49-F238E27FC236}">
                        <a16:creationId xmlns:a16="http://schemas.microsoft.com/office/drawing/2014/main" id="{06C96339-C50F-5D47-98F1-6D71AD4589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7AD1C9C1" w14:textId="77777777" w:rsidR="008429E3" w:rsidRDefault="009C4602" w:rsidP="004942C7">
      <w:pPr>
        <w:pStyle w:val="Caption"/>
        <w:jc w:val="both"/>
        <w:rPr>
          <w:lang w:val="en-GB"/>
        </w:rPr>
      </w:pPr>
      <w:bookmarkStart w:id="207" w:name="_Ref15561696"/>
      <w:r w:rsidRPr="009C4602">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9</w:t>
      </w:r>
      <w:r w:rsidR="005F3F9E">
        <w:rPr>
          <w:b/>
        </w:rPr>
        <w:fldChar w:fldCharType="end"/>
      </w:r>
      <w:bookmarkEnd w:id="207"/>
      <w:r>
        <w:t xml:space="preserve"> </w:t>
      </w:r>
      <w:r w:rsidR="00EC41CD">
        <w:t>SESAME’s vehicle fleet</w:t>
      </w:r>
      <w:r>
        <w:t xml:space="preserve"> results</w:t>
      </w:r>
      <w:r w:rsidR="00EC41CD">
        <w:t xml:space="preserve"> for EIA Outlook 2019 baseline case. (a) LDV Sales (million), (b) Total LDV fleet</w:t>
      </w:r>
      <w:r>
        <w:t xml:space="preserve"> </w:t>
      </w:r>
      <w:r w:rsidR="00EC41CD">
        <w:t>(million), (c) GHG emissions (</w:t>
      </w:r>
      <w:proofErr w:type="spellStart"/>
      <w:r w:rsidR="00EC41CD">
        <w:t>MMtons</w:t>
      </w:r>
      <w:proofErr w:type="spellEnd"/>
      <w:r w:rsidR="00EC41CD">
        <w:t xml:space="preserve"> CO</w:t>
      </w:r>
      <w:r w:rsidR="00EC41CD" w:rsidRPr="00EC41CD">
        <w:rPr>
          <w:vertAlign w:val="subscript"/>
        </w:rPr>
        <w:t>2</w:t>
      </w:r>
      <w:r w:rsidR="00EC41CD">
        <w:t>e).</w:t>
      </w:r>
    </w:p>
    <w:p w14:paraId="5D35E780" w14:textId="77777777" w:rsidR="008429E3" w:rsidRDefault="008429E3" w:rsidP="008429E3">
      <w:pPr>
        <w:rPr>
          <w:lang w:val="en-GB"/>
        </w:rPr>
      </w:pPr>
      <w:r>
        <w:rPr>
          <w:noProof/>
        </w:rPr>
        <w:drawing>
          <wp:inline distT="0" distB="0" distL="0" distR="0" wp14:anchorId="7878FC92" wp14:editId="547E76C2">
            <wp:extent cx="5943600" cy="471853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718535"/>
                    </a:xfrm>
                    <a:prstGeom prst="rect">
                      <a:avLst/>
                    </a:prstGeom>
                    <a:noFill/>
                  </pic:spPr>
                </pic:pic>
              </a:graphicData>
            </a:graphic>
          </wp:inline>
        </w:drawing>
      </w:r>
    </w:p>
    <w:p w14:paraId="77FEF309" w14:textId="77777777" w:rsidR="008429E3" w:rsidRPr="00EE2C4F" w:rsidRDefault="008429E3" w:rsidP="00EE2C4F">
      <w:pPr>
        <w:pStyle w:val="Caption"/>
      </w:pPr>
      <w:bookmarkStart w:id="208" w:name="_Ref13041433"/>
      <w:r w:rsidRPr="006F5C30">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10</w:t>
      </w:r>
      <w:r w:rsidR="005F3F9E">
        <w:rPr>
          <w:b/>
        </w:rPr>
        <w:fldChar w:fldCharType="end"/>
      </w:r>
      <w:bookmarkEnd w:id="208"/>
      <w:r w:rsidRPr="00F5034D">
        <w:rPr>
          <w:b/>
        </w:rPr>
        <w:t xml:space="preserve"> </w:t>
      </w:r>
      <w:r w:rsidRPr="00395783">
        <w:t xml:space="preserve">An example of a transportation system studied </w:t>
      </w:r>
      <w:r w:rsidR="003C58C2" w:rsidRPr="00395783">
        <w:t>by SESAME (</w:t>
      </w:r>
      <w:r w:rsidRPr="00395783">
        <w:t>system-level LCA</w:t>
      </w:r>
      <w:r w:rsidR="00EE2C4F">
        <w:t>)</w:t>
      </w:r>
    </w:p>
    <w:p w14:paraId="0ABEA2CC" w14:textId="77777777" w:rsidR="003352CB" w:rsidRPr="004C321C" w:rsidRDefault="003352CB" w:rsidP="003352CB">
      <w:pPr>
        <w:pStyle w:val="Heading3"/>
        <w:numPr>
          <w:ilvl w:val="2"/>
          <w:numId w:val="34"/>
        </w:numPr>
      </w:pPr>
      <w:r w:rsidRPr="004C321C">
        <w:lastRenderedPageBreak/>
        <w:t xml:space="preserve">System-level LCA analysis for </w:t>
      </w:r>
      <w:r>
        <w:t>power</w:t>
      </w:r>
      <w:r w:rsidRPr="004C321C">
        <w:t xml:space="preserve"> sector</w:t>
      </w:r>
    </w:p>
    <w:p w14:paraId="4E782FC5" w14:textId="66715402" w:rsidR="003352CB" w:rsidRDefault="005B1EE6" w:rsidP="00E0787C">
      <w:pPr>
        <w:rPr>
          <w:sz w:val="26"/>
          <w:szCs w:val="26"/>
        </w:rPr>
      </w:pPr>
      <w:r>
        <w:rPr>
          <w:noProof/>
        </w:rPr>
        <mc:AlternateContent>
          <mc:Choice Requires="wps">
            <w:drawing>
              <wp:anchor distT="0" distB="0" distL="114300" distR="114300" simplePos="0" relativeHeight="251706368" behindDoc="0" locked="0" layoutInCell="1" allowOverlap="1" wp14:anchorId="129EC4ED" wp14:editId="6FF56068">
                <wp:simplePos x="0" y="0"/>
                <wp:positionH relativeFrom="column">
                  <wp:posOffset>-95250</wp:posOffset>
                </wp:positionH>
                <wp:positionV relativeFrom="paragraph">
                  <wp:posOffset>6754495</wp:posOffset>
                </wp:positionV>
                <wp:extent cx="5943600" cy="635"/>
                <wp:effectExtent l="0" t="0" r="0" b="6350"/>
                <wp:wrapTopAndBottom/>
                <wp:docPr id="77" name="Text Box 7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07DA920" w14:textId="77777777" w:rsidR="00227B36" w:rsidRPr="002663F8" w:rsidRDefault="00227B36" w:rsidP="00E0787C">
                            <w:pPr>
                              <w:pStyle w:val="Caption"/>
                              <w:rPr>
                                <w:noProof/>
                              </w:rPr>
                            </w:pPr>
                            <w:bookmarkStart w:id="209" w:name="_Ref15561101"/>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bookmarkEnd w:id="209"/>
                            <w:r>
                              <w:t xml:space="preserve"> LCA Results at hourly resolution </w:t>
                            </w:r>
                            <w:r w:rsidRPr="009103B2">
                              <w:rPr>
                                <w:highlight w:val="yellow"/>
                                <w:rPrChange w:id="210" w:author="t_ghosh" w:date="2019-08-30T13:04:00Z">
                                  <w:rPr/>
                                </w:rPrChange>
                              </w:rPr>
                              <w:t>from El Segundo combined cycle power plant unit 5 is estimated using SESAME’s power system database</w:t>
                            </w:r>
                            <w:r>
                              <w:t xml:space="preserve">. The analysis is performed via the </w:t>
                            </w:r>
                            <w:r w:rsidRPr="009103B2">
                              <w:rPr>
                                <w:highlight w:val="yellow"/>
                                <w:rPrChange w:id="211" w:author="t_ghosh" w:date="2019-08-30T13:04:00Z">
                                  <w:rPr/>
                                </w:rPrChange>
                              </w:rPr>
                              <w:t>Power Grid Systems Analysis tab of the user interface.</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9EC4ED" id="_x0000_t202" coordsize="21600,21600" o:spt="202" path="m,l,21600r21600,l21600,xe">
                <v:stroke joinstyle="miter"/>
                <v:path gradientshapeok="t" o:connecttype="rect"/>
              </v:shapetype>
              <v:shape id="Text Box 77" o:spid="_x0000_s1026" type="#_x0000_t202" style="position:absolute;left:0;text-align:left;margin-left:-7.5pt;margin-top:531.85pt;width:46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" stroked="f">
                <v:textbox style="mso-fit-shape-to-text:t" inset="0,0,0,0">
                  <w:txbxContent>
                    <w:p w14:paraId="007DA920" w14:textId="77777777" w:rsidR="00227B36" w:rsidRPr="002663F8" w:rsidRDefault="00227B36" w:rsidP="00E0787C">
                      <w:pPr>
                        <w:pStyle w:val="Caption"/>
                        <w:rPr>
                          <w:noProof/>
                        </w:rPr>
                      </w:pPr>
                      <w:bookmarkStart w:id="212" w:name="_Ref15561101"/>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bookmarkEnd w:id="212"/>
                      <w:r>
                        <w:t xml:space="preserve"> LCA Results at hourly resolution </w:t>
                      </w:r>
                      <w:r w:rsidRPr="009103B2">
                        <w:rPr>
                          <w:highlight w:val="yellow"/>
                          <w:rPrChange w:id="213" w:author="t_ghosh" w:date="2019-08-30T13:04:00Z">
                            <w:rPr/>
                          </w:rPrChange>
                        </w:rPr>
                        <w:t>from El Segundo combined cycle power plant unit 5 is estimated using SESAME’s power system database</w:t>
                      </w:r>
                      <w:r>
                        <w:t xml:space="preserve">. The analysis is performed via the </w:t>
                      </w:r>
                      <w:r w:rsidRPr="009103B2">
                        <w:rPr>
                          <w:highlight w:val="yellow"/>
                          <w:rPrChange w:id="214" w:author="t_ghosh" w:date="2019-08-30T13:04:00Z">
                            <w:rPr/>
                          </w:rPrChange>
                        </w:rPr>
                        <w:t>Power Grid Systems Analysis tab of the user interface.</w:t>
                      </w:r>
                      <w:r>
                        <w:t xml:space="preserve"> </w:t>
                      </w:r>
                    </w:p>
                  </w:txbxContent>
                </v:textbox>
                <w10:wrap type="topAndBottom"/>
              </v:shape>
            </w:pict>
          </mc:Fallback>
        </mc:AlternateContent>
      </w:r>
      <w:r>
        <w:rPr>
          <w:noProof/>
        </w:rPr>
        <w:drawing>
          <wp:anchor distT="0" distB="0" distL="114300" distR="114300" simplePos="0" relativeHeight="251704320" behindDoc="0" locked="0" layoutInCell="1" allowOverlap="1" wp14:anchorId="33806B58" wp14:editId="60A2E8A8">
            <wp:simplePos x="0" y="0"/>
            <wp:positionH relativeFrom="column">
              <wp:posOffset>-95250</wp:posOffset>
            </wp:positionH>
            <wp:positionV relativeFrom="paragraph">
              <wp:posOffset>2444722</wp:posOffset>
            </wp:positionV>
            <wp:extent cx="5943600" cy="4259580"/>
            <wp:effectExtent l="0" t="0" r="0" b="7620"/>
            <wp:wrapTopAndBottom/>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owerSyste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59580"/>
                    </a:xfrm>
                    <a:prstGeom prst="rect">
                      <a:avLst/>
                    </a:prstGeom>
                  </pic:spPr>
                </pic:pic>
              </a:graphicData>
            </a:graphic>
          </wp:anchor>
        </w:drawing>
      </w:r>
      <w:r>
        <w:t xml:space="preserve">To represent </w:t>
      </w:r>
      <w:r w:rsidR="00AC46D5">
        <w:t xml:space="preserve">the </w:t>
      </w:r>
      <w:r>
        <w:t xml:space="preserve">electric power system, we have included historic hourly generation profiles of every generator in the US </w:t>
      </w:r>
      <w:r>
        <w:fldChar w:fldCharType="begin" w:fldLock="1"/>
      </w:r>
      <w:r w:rsidR="001C4AB5">
        <w:instrText>ADDIN CSL_CITATION {"citationItems":[{"id":"ITEM-1","itemData":{"author":[{"dropping-particle":"","family":"U.S. EPA","given":"","non-dropping-particle":"","parse-names":false,"suffix":""}],"id":"ITEM-1","issued":{"date-parts":[["2018"]]},"title":"Air Markets Program Data","type":"webpage"},"uris":["http://www.mendeley.com/documents/?uuid=8675a5f5-eb1b-4442-b415-8fd2f922469b"]}],"mendeley":{"formattedCitation":"[39]","plainTextFormattedCitation":"[39]","previouslyFormattedCitation":"[39]"},"properties":{"noteIndex":0},"schema":"https://github.com/citation-style-language/schema/raw/master/csl-citation.json"}</w:instrText>
      </w:r>
      <w:r>
        <w:fldChar w:fldCharType="separate"/>
      </w:r>
      <w:r w:rsidR="003D2506" w:rsidRPr="003D2506">
        <w:rPr>
          <w:noProof/>
        </w:rPr>
        <w:t>[39]</w:t>
      </w:r>
      <w:r>
        <w:fldChar w:fldCharType="end"/>
      </w:r>
      <w:r w:rsidR="00611812">
        <w:t xml:space="preserve"> from 2004-2017</w:t>
      </w:r>
      <w:r>
        <w:t xml:space="preserve">. SESAME’s user interface allows users to display each unit’s hourly load profiles and important statistics such as annual capacity factor and coefficient of variance of different power generation technologies. Additionally, </w:t>
      </w:r>
      <w:r w:rsidR="00611812">
        <w:t xml:space="preserve">hourly life cycle analysis can be performed </w:t>
      </w:r>
      <w:r>
        <w:t xml:space="preserve">based on historic observations. As a case study, </w:t>
      </w:r>
      <w:r w:rsidR="00611812" w:rsidRPr="00E0787C">
        <w:t>life cycle emiss</w:t>
      </w:r>
      <w:r w:rsidR="00611812">
        <w:t>ions of generators in the US have</w:t>
      </w:r>
      <w:r w:rsidR="00611812" w:rsidRPr="00E0787C">
        <w:t xml:space="preserve"> been calculated</w:t>
      </w:r>
      <w:r w:rsidR="00611812">
        <w:t xml:space="preserve"> </w:t>
      </w:r>
      <w:r>
        <w:t>u</w:t>
      </w:r>
      <w:r w:rsidR="00E0787C" w:rsidRPr="00E0787C">
        <w:t xml:space="preserve">sing the embedded hourly generation profiles of thermal generation units. </w:t>
      </w:r>
      <w:r w:rsidR="00E0787C" w:rsidRPr="009103B2">
        <w:rPr>
          <w:highlight w:val="yellow"/>
          <w:rPrChange w:id="215" w:author="t_ghosh" w:date="2019-08-30T13:03:00Z">
            <w:rPr/>
          </w:rPrChange>
        </w:rPr>
        <w:t xml:space="preserve">Results for a combined cycle </w:t>
      </w:r>
      <w:r w:rsidR="00611812" w:rsidRPr="009103B2">
        <w:rPr>
          <w:highlight w:val="yellow"/>
          <w:rPrChange w:id="216" w:author="t_ghosh" w:date="2019-08-30T13:03:00Z">
            <w:rPr/>
          </w:rPrChange>
        </w:rPr>
        <w:t xml:space="preserve">gas turbine </w:t>
      </w:r>
      <w:r w:rsidR="00E0787C" w:rsidRPr="009103B2">
        <w:rPr>
          <w:highlight w:val="yellow"/>
          <w:rPrChange w:id="217" w:author="t_ghosh" w:date="2019-08-30T13:03:00Z">
            <w:rPr/>
          </w:rPrChange>
        </w:rPr>
        <w:t>unit in California (</w:t>
      </w:r>
      <w:r w:rsidR="00FA6998" w:rsidRPr="009103B2">
        <w:rPr>
          <w:highlight w:val="yellow"/>
          <w:rPrChange w:id="218" w:author="t_ghosh" w:date="2019-08-30T13:03:00Z">
            <w:rPr/>
          </w:rPrChange>
        </w:rPr>
        <w:t>El Segundo</w:t>
      </w:r>
      <w:r w:rsidR="00E0787C" w:rsidRPr="009103B2">
        <w:rPr>
          <w:highlight w:val="yellow"/>
          <w:rPrChange w:id="219" w:author="t_ghosh" w:date="2019-08-30T13:03:00Z">
            <w:rPr/>
          </w:rPrChange>
        </w:rPr>
        <w:t xml:space="preserve"> Power Plant Unit </w:t>
      </w:r>
      <w:r w:rsidR="00FA6998" w:rsidRPr="009103B2">
        <w:rPr>
          <w:highlight w:val="yellow"/>
          <w:rPrChange w:id="220" w:author="t_ghosh" w:date="2019-08-30T13:03:00Z">
            <w:rPr/>
          </w:rPrChange>
        </w:rPr>
        <w:t>5</w:t>
      </w:r>
      <w:r w:rsidR="00E0787C" w:rsidRPr="009103B2">
        <w:rPr>
          <w:highlight w:val="yellow"/>
          <w:rPrChange w:id="221" w:author="t_ghosh" w:date="2019-08-30T13:03:00Z">
            <w:rPr/>
          </w:rPrChange>
        </w:rPr>
        <w:t xml:space="preserve">) </w:t>
      </w:r>
      <w:r w:rsidR="00611812" w:rsidRPr="009103B2">
        <w:rPr>
          <w:highlight w:val="yellow"/>
          <w:rPrChange w:id="222" w:author="t_ghosh" w:date="2019-08-30T13:03:00Z">
            <w:rPr/>
          </w:rPrChange>
        </w:rPr>
        <w:t>are</w:t>
      </w:r>
      <w:r w:rsidR="00E0787C" w:rsidRPr="009103B2">
        <w:rPr>
          <w:highlight w:val="yellow"/>
          <w:rPrChange w:id="223" w:author="t_ghosh" w:date="2019-08-30T13:03:00Z">
            <w:rPr/>
          </w:rPrChange>
        </w:rPr>
        <w:t xml:space="preserve"> shown in </w:t>
      </w:r>
      <w:r w:rsidR="00360DCC" w:rsidRPr="009103B2">
        <w:rPr>
          <w:highlight w:val="yellow"/>
          <w:rPrChange w:id="224" w:author="t_ghosh" w:date="2019-08-30T13:03:00Z">
            <w:rPr/>
          </w:rPrChange>
        </w:rPr>
        <w:fldChar w:fldCharType="begin"/>
      </w:r>
      <w:r w:rsidR="00360DCC" w:rsidRPr="009103B2">
        <w:rPr>
          <w:highlight w:val="yellow"/>
          <w:rPrChange w:id="225" w:author="t_ghosh" w:date="2019-08-30T13:03:00Z">
            <w:rPr/>
          </w:rPrChange>
        </w:rPr>
        <w:instrText xml:space="preserve"> REF _Ref15561101 \h </w:instrText>
      </w:r>
      <w:r w:rsidR="00360DCC" w:rsidRPr="009103B2">
        <w:rPr>
          <w:highlight w:val="yellow"/>
          <w:rPrChange w:id="226" w:author="t_ghosh" w:date="2019-08-30T13:03:00Z">
            <w:rPr/>
          </w:rPrChange>
        </w:rPr>
      </w:r>
      <w:r w:rsidR="009103B2">
        <w:rPr>
          <w:highlight w:val="yellow"/>
        </w:rPr>
        <w:instrText xml:space="preserve"> \* MERGEFORMAT </w:instrText>
      </w:r>
      <w:r w:rsidR="00360DCC" w:rsidRPr="009103B2">
        <w:rPr>
          <w:highlight w:val="yellow"/>
          <w:rPrChange w:id="227" w:author="t_ghosh" w:date="2019-08-30T13:03:00Z">
            <w:rPr/>
          </w:rPrChange>
        </w:rPr>
        <w:fldChar w:fldCharType="separate"/>
      </w:r>
      <w:r w:rsidR="00360DCC" w:rsidRPr="009103B2">
        <w:rPr>
          <w:highlight w:val="yellow"/>
          <w:rPrChange w:id="228" w:author="t_ghosh" w:date="2019-08-30T13:03:00Z">
            <w:rPr/>
          </w:rPrChange>
        </w:rPr>
        <w:t xml:space="preserve">Figure </w:t>
      </w:r>
      <w:r w:rsidR="00360DCC" w:rsidRPr="009103B2">
        <w:rPr>
          <w:noProof/>
          <w:highlight w:val="yellow"/>
          <w:rPrChange w:id="229" w:author="t_ghosh" w:date="2019-08-30T13:03:00Z">
            <w:rPr>
              <w:noProof/>
            </w:rPr>
          </w:rPrChange>
        </w:rPr>
        <w:t>11</w:t>
      </w:r>
      <w:r w:rsidR="00360DCC" w:rsidRPr="009103B2">
        <w:rPr>
          <w:highlight w:val="yellow"/>
          <w:rPrChange w:id="230" w:author="t_ghosh" w:date="2019-08-30T13:03:00Z">
            <w:rPr/>
          </w:rPrChange>
        </w:rPr>
        <w:fldChar w:fldCharType="end"/>
      </w:r>
      <w:r w:rsidR="00611812">
        <w:t>.</w:t>
      </w:r>
      <w:r w:rsidR="00E0787C" w:rsidRPr="00E0787C">
        <w:t xml:space="preserve"> </w:t>
      </w:r>
      <w:r w:rsidR="00611812">
        <w:t>T</w:t>
      </w:r>
      <w:r w:rsidR="00E0787C" w:rsidRPr="00E0787C">
        <w:t xml:space="preserve">he </w:t>
      </w:r>
      <w:r w:rsidR="00611812">
        <w:t>lower</w:t>
      </w:r>
      <w:r w:rsidR="00E0787C" w:rsidRPr="00E0787C">
        <w:t xml:space="preserve"> graph shows the hourly electricity generation and dots are the </w:t>
      </w:r>
      <w:r w:rsidR="00E0787C" w:rsidRPr="009103B2">
        <w:rPr>
          <w:highlight w:val="yellow"/>
          <w:rPrChange w:id="231" w:author="t_ghosh" w:date="2019-08-30T13:03:00Z">
            <w:rPr/>
          </w:rPrChange>
        </w:rPr>
        <w:t>calculated full life cycle emissions in tCO</w:t>
      </w:r>
      <w:r w:rsidR="00E0787C" w:rsidRPr="009103B2">
        <w:rPr>
          <w:highlight w:val="yellow"/>
          <w:vertAlign w:val="subscript"/>
          <w:rPrChange w:id="232" w:author="t_ghosh" w:date="2019-08-30T13:03:00Z">
            <w:rPr>
              <w:vertAlign w:val="subscript"/>
            </w:rPr>
          </w:rPrChange>
        </w:rPr>
        <w:t>2</w:t>
      </w:r>
      <w:r w:rsidR="00E0787C" w:rsidRPr="009103B2">
        <w:rPr>
          <w:highlight w:val="yellow"/>
          <w:rPrChange w:id="233" w:author="t_ghosh" w:date="2019-08-30T13:03:00Z">
            <w:rPr/>
          </w:rPrChange>
        </w:rPr>
        <w:t>e</w:t>
      </w:r>
      <w:r w:rsidR="00E0787C" w:rsidRPr="00E0787C">
        <w:t xml:space="preserve">. For this particular unit, we observe more than </w:t>
      </w:r>
      <w:r w:rsidR="00E0787C" w:rsidRPr="009103B2">
        <w:rPr>
          <w:highlight w:val="yellow"/>
          <w:rPrChange w:id="234" w:author="t_ghosh" w:date="2019-08-30T13:03:00Z">
            <w:rPr/>
          </w:rPrChange>
        </w:rPr>
        <w:t>40% fluctuations in total emissions</w:t>
      </w:r>
      <w:r w:rsidR="00E0787C" w:rsidRPr="00E0787C">
        <w:t xml:space="preserve">. While one reason for this change is the </w:t>
      </w:r>
      <w:r w:rsidR="00E0787C" w:rsidRPr="009103B2">
        <w:rPr>
          <w:highlight w:val="yellow"/>
          <w:rPrChange w:id="235" w:author="t_ghosh" w:date="2019-08-30T13:03:00Z">
            <w:rPr/>
          </w:rPrChange>
        </w:rPr>
        <w:t>lower net generation</w:t>
      </w:r>
      <w:r w:rsidR="00E0787C" w:rsidRPr="00E0787C">
        <w:t xml:space="preserve">, the other reason is higher </w:t>
      </w:r>
      <w:r w:rsidR="00E0787C" w:rsidRPr="009103B2">
        <w:rPr>
          <w:highlight w:val="yellow"/>
          <w:rPrChange w:id="236" w:author="t_ghosh" w:date="2019-08-30T13:03:00Z">
            <w:rPr/>
          </w:rPrChange>
        </w:rPr>
        <w:t>emission intensity operation due to operation</w:t>
      </w:r>
      <w:r w:rsidR="00E0787C" w:rsidRPr="00E0787C">
        <w:t xml:space="preserve"> at off peak mode.</w:t>
      </w:r>
      <w:r w:rsidR="00E0787C" w:rsidRPr="00E0787C">
        <w:rPr>
          <w:sz w:val="26"/>
          <w:szCs w:val="26"/>
        </w:rPr>
        <w:t xml:space="preserve"> </w:t>
      </w:r>
    </w:p>
    <w:p w14:paraId="73CD733A" w14:textId="77777777" w:rsidR="00B2605A" w:rsidRPr="004C321C" w:rsidRDefault="007C5704" w:rsidP="00B2605A">
      <w:pPr>
        <w:pStyle w:val="Heading2"/>
      </w:pPr>
      <w:r w:rsidRPr="004C321C">
        <w:lastRenderedPageBreak/>
        <w:t>Pathway-level LCA Results</w:t>
      </w:r>
    </w:p>
    <w:p w14:paraId="2BCA7008" w14:textId="77777777" w:rsidR="00B2605A" w:rsidRPr="004C321C" w:rsidRDefault="00B2605A" w:rsidP="00B2605A">
      <w:pPr>
        <w:pStyle w:val="Heading3"/>
        <w:numPr>
          <w:ilvl w:val="2"/>
          <w:numId w:val="32"/>
        </w:numPr>
      </w:pPr>
      <w:r w:rsidRPr="004C321C">
        <w:t xml:space="preserve">Comparison of </w:t>
      </w:r>
      <w:r w:rsidR="00BF70E5" w:rsidRPr="004C321C">
        <w:t xml:space="preserve">life cycle carbon footprint of </w:t>
      </w:r>
      <w:r w:rsidRPr="004C321C">
        <w:t>various transportation fuel options</w:t>
      </w:r>
    </w:p>
    <w:p w14:paraId="1038B568" w14:textId="77777777" w:rsidR="003D2506" w:rsidRDefault="00E47A51" w:rsidP="00E47A51">
      <w:r w:rsidRPr="00412BCB">
        <w:t>System-level transportation results, like those i</w:t>
      </w:r>
      <w:r w:rsidRPr="00FE0EA5">
        <w:t xml:space="preserve">n </w:t>
      </w:r>
      <w:r w:rsidR="00FE0EA5" w:rsidRPr="00FE0EA5">
        <w:fldChar w:fldCharType="begin"/>
      </w:r>
      <w:r w:rsidR="00FE0EA5" w:rsidRPr="00FE0EA5">
        <w:instrText xml:space="preserve"> REF _Ref15561696 \h  \* MERGEFORMAT </w:instrText>
      </w:r>
      <w:r w:rsidR="00FE0EA5" w:rsidRPr="00FE0EA5">
        <w:fldChar w:fldCharType="separate"/>
      </w:r>
      <w:r w:rsidR="00FE0EA5" w:rsidRPr="00FE0EA5">
        <w:t xml:space="preserve">Figure </w:t>
      </w:r>
      <w:r w:rsidR="00FE0EA5" w:rsidRPr="00FE0EA5">
        <w:rPr>
          <w:noProof/>
        </w:rPr>
        <w:t>9</w:t>
      </w:r>
      <w:r w:rsidR="00FE0EA5" w:rsidRPr="00FE0EA5">
        <w:fldChar w:fldCharType="end"/>
      </w:r>
      <w:r w:rsidRPr="00FE0EA5">
        <w:t xml:space="preserve">, are built upon pathway-level LCAs of different fuels and vehicle types, as shown in </w:t>
      </w:r>
      <w:r w:rsidR="00FE0EA5" w:rsidRPr="00FE0EA5">
        <w:fldChar w:fldCharType="begin"/>
      </w:r>
      <w:r w:rsidR="00FE0EA5" w:rsidRPr="00FE0EA5">
        <w:instrText xml:space="preserve"> REF _Ref13041433 \h  \* MERGEFORMAT </w:instrText>
      </w:r>
      <w:r w:rsidR="00FE0EA5" w:rsidRPr="00FE0EA5">
        <w:fldChar w:fldCharType="separate"/>
      </w:r>
      <w:r w:rsidR="00FE0EA5" w:rsidRPr="00FE0EA5">
        <w:t xml:space="preserve">Figure </w:t>
      </w:r>
      <w:r w:rsidR="00FE0EA5" w:rsidRPr="00FE0EA5">
        <w:rPr>
          <w:noProof/>
        </w:rPr>
        <w:t>10</w:t>
      </w:r>
      <w:r w:rsidR="00FE0EA5" w:rsidRPr="00FE0EA5">
        <w:fldChar w:fldCharType="end"/>
      </w:r>
      <w:r w:rsidRPr="00FE0EA5">
        <w:t xml:space="preserve">. </w:t>
      </w:r>
      <w:r w:rsidR="00FE0EA5" w:rsidRPr="00FE0EA5">
        <w:fldChar w:fldCharType="begin"/>
      </w:r>
      <w:r w:rsidR="00FE0EA5" w:rsidRPr="00FE0EA5">
        <w:instrText xml:space="preserve"> REF _Ref15561668 \h  \* MERGEFORMAT </w:instrText>
      </w:r>
      <w:r w:rsidR="00FE0EA5" w:rsidRPr="00FE0EA5">
        <w:fldChar w:fldCharType="separate"/>
      </w:r>
      <w:r w:rsidR="00FE0EA5" w:rsidRPr="00FE0EA5">
        <w:rPr>
          <w:iCs/>
          <w:sz w:val="20"/>
          <w:szCs w:val="18"/>
        </w:rPr>
        <w:t xml:space="preserve">Figure </w:t>
      </w:r>
      <w:r w:rsidR="00FE0EA5" w:rsidRPr="00FE0EA5">
        <w:rPr>
          <w:noProof/>
        </w:rPr>
        <w:t>12</w:t>
      </w:r>
      <w:r w:rsidR="00FE0EA5" w:rsidRPr="00FE0EA5">
        <w:fldChar w:fldCharType="end"/>
      </w:r>
      <w:r w:rsidRPr="00412BCB">
        <w:t xml:space="preserve"> shows the pathway-level LCAs for a range of transportation fuels.</w:t>
      </w:r>
      <w:r>
        <w:t xml:space="preserve"> “</w:t>
      </w:r>
      <w:r w:rsidRPr="009103B2">
        <w:rPr>
          <w:highlight w:val="yellow"/>
          <w:rPrChange w:id="237" w:author="t_ghosh" w:date="2019-08-30T13:05:00Z">
            <w:rPr/>
          </w:rPrChange>
        </w:rPr>
        <w:t>Fuel” here refers to any energy carrier that powers a vehicle, a</w:t>
      </w:r>
      <w:r>
        <w:t xml:space="preserve">nd thus includes liquid fuels and electricity. </w:t>
      </w:r>
      <w:r w:rsidRPr="00412BCB">
        <w:t>Emissions are divided into those from</w:t>
      </w:r>
      <w:r>
        <w:t xml:space="preserve"> </w:t>
      </w:r>
      <w:r w:rsidRPr="009103B2">
        <w:rPr>
          <w:highlight w:val="yellow"/>
          <w:rPrChange w:id="238" w:author="t_ghosh" w:date="2019-08-30T13:05:00Z">
            <w:rPr/>
          </w:rPrChange>
        </w:rPr>
        <w:t>fuel production</w:t>
      </w:r>
      <w:r>
        <w:t xml:space="preserve"> (</w:t>
      </w:r>
      <w:r w:rsidR="009477C3">
        <w:t>well-to-tank, e.g., fossil fuel extraction</w:t>
      </w:r>
      <w:r>
        <w:t xml:space="preserve">, power plant operation) and </w:t>
      </w:r>
      <w:r w:rsidRPr="009103B2">
        <w:rPr>
          <w:highlight w:val="yellow"/>
          <w:rPrChange w:id="239" w:author="t_ghosh" w:date="2019-08-30T13:05:00Z">
            <w:rPr/>
          </w:rPrChange>
        </w:rPr>
        <w:t>fuel consumption (</w:t>
      </w:r>
      <w:r w:rsidR="009477C3" w:rsidRPr="009103B2">
        <w:rPr>
          <w:highlight w:val="yellow"/>
          <w:rPrChange w:id="240" w:author="t_ghosh" w:date="2019-08-30T13:05:00Z">
            <w:rPr/>
          </w:rPrChange>
        </w:rPr>
        <w:t>tank-to-wheel</w:t>
      </w:r>
      <w:r w:rsidR="009477C3">
        <w:t xml:space="preserve">, </w:t>
      </w:r>
      <w:r>
        <w:t>e.g., burning gasoline in a car engine)</w:t>
      </w:r>
      <w:r w:rsidRPr="00412BCB">
        <w:t xml:space="preserve">. </w:t>
      </w:r>
      <w:r w:rsidR="00B01863">
        <w:t xml:space="preserve">Average emissions for different fuel types are </w:t>
      </w:r>
      <w:r w:rsidR="00B01863" w:rsidRPr="009103B2">
        <w:rPr>
          <w:highlight w:val="yellow"/>
          <w:rPrChange w:id="241" w:author="t_ghosh" w:date="2019-08-30T13:05:00Z">
            <w:rPr/>
          </w:rPrChange>
        </w:rPr>
        <w:t xml:space="preserve">shown in </w:t>
      </w:r>
      <w:r w:rsidR="00B01863" w:rsidRPr="009103B2">
        <w:rPr>
          <w:highlight w:val="yellow"/>
          <w:rPrChange w:id="242" w:author="t_ghosh" w:date="2019-08-30T13:05:00Z">
            <w:rPr/>
          </w:rPrChange>
        </w:rPr>
        <w:fldChar w:fldCharType="begin"/>
      </w:r>
      <w:r w:rsidR="00B01863" w:rsidRPr="009103B2">
        <w:rPr>
          <w:highlight w:val="yellow"/>
          <w:rPrChange w:id="243" w:author="t_ghosh" w:date="2019-08-30T13:05:00Z">
            <w:rPr/>
          </w:rPrChange>
        </w:rPr>
        <w:instrText xml:space="preserve"> REF _Ref15561668 \h  \* MERGEFORMAT </w:instrText>
      </w:r>
      <w:r w:rsidR="00B01863" w:rsidRPr="009103B2">
        <w:rPr>
          <w:highlight w:val="yellow"/>
          <w:rPrChange w:id="244" w:author="t_ghosh" w:date="2019-08-30T13:05:00Z">
            <w:rPr/>
          </w:rPrChange>
        </w:rPr>
      </w:r>
      <w:r w:rsidR="00B01863" w:rsidRPr="009103B2">
        <w:rPr>
          <w:highlight w:val="yellow"/>
          <w:rPrChange w:id="245" w:author="t_ghosh" w:date="2019-08-30T13:05:00Z">
            <w:rPr/>
          </w:rPrChange>
        </w:rPr>
        <w:fldChar w:fldCharType="separate"/>
      </w:r>
      <w:r w:rsidR="00B01863" w:rsidRPr="009103B2">
        <w:rPr>
          <w:highlight w:val="yellow"/>
          <w:rPrChange w:id="246" w:author="t_ghosh" w:date="2019-08-30T13:05:00Z">
            <w:rPr/>
          </w:rPrChange>
        </w:rPr>
        <w:t>Figure 12</w:t>
      </w:r>
      <w:r w:rsidR="00B01863" w:rsidRPr="009103B2">
        <w:rPr>
          <w:highlight w:val="yellow"/>
          <w:rPrChange w:id="247" w:author="t_ghosh" w:date="2019-08-30T13:05:00Z">
            <w:rPr/>
          </w:rPrChange>
        </w:rPr>
        <w:fldChar w:fldCharType="end"/>
      </w:r>
      <w:r w:rsidR="00B01863" w:rsidRPr="00B01863">
        <w:t>.</w:t>
      </w:r>
      <w:r w:rsidR="00B01863">
        <w:t xml:space="preserve"> </w:t>
      </w:r>
    </w:p>
    <w:p w14:paraId="6A9409BB" w14:textId="0F7E4C4F" w:rsidR="003D2506" w:rsidRDefault="003D2506" w:rsidP="003D2506">
      <w:r w:rsidRPr="00287CF4">
        <w:t>As</w:t>
      </w:r>
      <w:r w:rsidRPr="003D2506">
        <w:t xml:space="preserve"> </w:t>
      </w:r>
      <w:r w:rsidRPr="003D2506">
        <w:fldChar w:fldCharType="begin"/>
      </w:r>
      <w:r w:rsidRPr="003D2506">
        <w:instrText xml:space="preserve"> REF _Ref15573332 \h  \* MERGEFORMAT </w:instrText>
      </w:r>
      <w:r w:rsidRPr="003D2506">
        <w:fldChar w:fldCharType="separate"/>
      </w:r>
      <w:r w:rsidRPr="003D2506">
        <w:rPr>
          <w:iCs/>
          <w:sz w:val="20"/>
          <w:szCs w:val="18"/>
        </w:rPr>
        <w:t xml:space="preserve">Figure </w:t>
      </w:r>
      <w:r w:rsidRPr="003D2506">
        <w:rPr>
          <w:noProof/>
        </w:rPr>
        <w:t>12</w:t>
      </w:r>
      <w:r w:rsidRPr="003D2506">
        <w:fldChar w:fldCharType="end"/>
      </w:r>
      <w:r>
        <w:t xml:space="preserve"> </w:t>
      </w:r>
      <w:r w:rsidRPr="00287CF4">
        <w:t xml:space="preserve">shows, gasoline has lower fuel cycle emissions than </w:t>
      </w:r>
      <w:r>
        <w:t xml:space="preserve">U.S. </w:t>
      </w:r>
      <w:r w:rsidRPr="00287CF4">
        <w:t xml:space="preserve">average electricity </w:t>
      </w:r>
      <w:r w:rsidRPr="009103B2">
        <w:rPr>
          <w:i/>
          <w:highlight w:val="yellow"/>
          <w:rPrChange w:id="248" w:author="t_ghosh" w:date="2019-08-30T13:06:00Z">
            <w:rPr>
              <w:i/>
            </w:rPr>
          </w:rPrChange>
        </w:rPr>
        <w:t>per unit of energy in the fuel</w:t>
      </w:r>
      <w:r w:rsidRPr="009103B2">
        <w:rPr>
          <w:highlight w:val="yellow"/>
          <w:rPrChange w:id="249" w:author="t_ghosh" w:date="2019-08-30T13:06:00Z">
            <w:rPr/>
          </w:rPrChange>
        </w:rPr>
        <w:t xml:space="preserve"> (gCO</w:t>
      </w:r>
      <w:r w:rsidRPr="009103B2">
        <w:rPr>
          <w:highlight w:val="yellow"/>
          <w:vertAlign w:val="subscript"/>
          <w:rPrChange w:id="250" w:author="t_ghosh" w:date="2019-08-30T13:06:00Z">
            <w:rPr>
              <w:vertAlign w:val="subscript"/>
            </w:rPr>
          </w:rPrChange>
        </w:rPr>
        <w:t>2</w:t>
      </w:r>
      <w:r w:rsidRPr="009103B2">
        <w:rPr>
          <w:highlight w:val="yellow"/>
          <w:rPrChange w:id="251" w:author="t_ghosh" w:date="2019-08-30T13:06:00Z">
            <w:rPr/>
          </w:rPrChange>
        </w:rPr>
        <w:t>e/MJ</w:t>
      </w:r>
      <w:r w:rsidRPr="00287CF4">
        <w:t xml:space="preserve">). However, ICEVs are much less efficient than BEVs at </w:t>
      </w:r>
      <w:r>
        <w:t>converting</w:t>
      </w:r>
      <w:r w:rsidRPr="00287CF4">
        <w:t xml:space="preserve"> that fuel energy into wheel motion. In other words, ICEVs have much lower miles-per-gallon-gasoline-equivalent (MPGGE) than BEVs. For example, a 2018 mid-size Toyota Camry has an MPGGE of 34 mi/GGE, while a similarly-sized BEV (Honda Clarity) has an MPGGE of </w:t>
      </w:r>
      <w:r w:rsidRPr="009103B2">
        <w:rPr>
          <w:highlight w:val="yellow"/>
          <w:rPrChange w:id="252" w:author="t_ghosh" w:date="2019-08-30T13:06:00Z">
            <w:rPr/>
          </w:rPrChange>
        </w:rPr>
        <w:t>116 mi/GGE</w:t>
      </w:r>
      <w:r w:rsidRPr="00287CF4">
        <w:t xml:space="preserve"> </w:t>
      </w:r>
      <w:r w:rsidR="001C4AB5">
        <w:fldChar w:fldCharType="begin" w:fldLock="1"/>
      </w:r>
      <w:r w:rsidR="001C4AB5">
        <w:instrText>ADDIN CSL_CITATION {"citationItems":[{"id":"ITEM-1","itemData":{"URL":"https://www.fueleconomy.gov/feg/download.shtml","author":[{"dropping-particle":"","family":"U.S. Environmental Protection Agency (EPA)","given":"","non-dropping-particle":"","parse-names":false,"suffix":""}],"id":"ITEM-1","issued":{"date-parts":[["2018"]]},"title":"Fuel Economy Data","type":"webpage"},"uris":["http://www.mendeley.com/documents/?uuid=ac56d146-ca71-47b1-b801-ca6ae9a04b95"]}],"mendeley":{"formattedCitation":"[40]","plainTextFormattedCitation":"[40]"},"properties":{"noteIndex":0},"schema":"https://github.com/citation-style-language/schema/raw/master/csl-citation.json"}</w:instrText>
      </w:r>
      <w:r w:rsidR="001C4AB5">
        <w:fldChar w:fldCharType="separate"/>
      </w:r>
      <w:r w:rsidR="001C4AB5" w:rsidRPr="001C4AB5">
        <w:rPr>
          <w:noProof/>
        </w:rPr>
        <w:t>[40]</w:t>
      </w:r>
      <w:r w:rsidR="001C4AB5">
        <w:fldChar w:fldCharType="end"/>
      </w:r>
      <w:r w:rsidRPr="00287CF4">
        <w:t xml:space="preserve">. As a result of this fuel economy difference, an ICEV </w:t>
      </w:r>
      <w:r w:rsidRPr="009103B2">
        <w:rPr>
          <w:highlight w:val="yellow"/>
          <w:rPrChange w:id="253" w:author="t_ghosh" w:date="2019-08-30T13:08:00Z">
            <w:rPr/>
          </w:rPrChange>
        </w:rPr>
        <w:t>generates roughly twice as much lifecycle carbon</w:t>
      </w:r>
      <w:r w:rsidRPr="00287CF4">
        <w:t xml:space="preserve"> as a </w:t>
      </w:r>
      <w:r w:rsidRPr="009103B2">
        <w:rPr>
          <w:highlight w:val="yellow"/>
          <w:rPrChange w:id="254" w:author="t_ghosh" w:date="2019-08-30T13:08:00Z">
            <w:rPr/>
          </w:rPrChange>
        </w:rPr>
        <w:t xml:space="preserve">comparable BEV </w:t>
      </w:r>
      <w:r w:rsidRPr="009103B2">
        <w:rPr>
          <w:i/>
          <w:highlight w:val="yellow"/>
          <w:rPrChange w:id="255" w:author="t_ghosh" w:date="2019-08-30T13:08:00Z">
            <w:rPr>
              <w:i/>
            </w:rPr>
          </w:rPrChange>
        </w:rPr>
        <w:t>per distance traveled</w:t>
      </w:r>
      <w:r w:rsidR="00FC770C">
        <w:rPr>
          <w:i/>
        </w:rPr>
        <w:t xml:space="preserve"> </w:t>
      </w:r>
      <w:r w:rsidR="00FC770C">
        <w:t>with this particular mix of electricity generation sources</w:t>
      </w:r>
      <w:r w:rsidR="00994E74">
        <w:t xml:space="preserve"> (for average US grid emission intensity of 453 gCO</w:t>
      </w:r>
      <w:r w:rsidR="00994E74" w:rsidRPr="00994E74">
        <w:rPr>
          <w:vertAlign w:val="subscript"/>
        </w:rPr>
        <w:t>2</w:t>
      </w:r>
      <w:r w:rsidR="00994E74">
        <w:t>e/kWh)</w:t>
      </w:r>
      <w:r w:rsidRPr="00287CF4">
        <w:t xml:space="preserve">. Figure </w:t>
      </w:r>
      <w:r>
        <w:t>12</w:t>
      </w:r>
      <w:r w:rsidRPr="00287CF4">
        <w:t xml:space="preserve"> shows this lifecycle emission comparison across several powertrain types. These are</w:t>
      </w:r>
      <w:r>
        <w:t xml:space="preserve"> some of</w:t>
      </w:r>
      <w:r w:rsidRPr="00287CF4">
        <w:t xml:space="preserve"> the "micro" pathway LCAs that inform the "macro" fleet results shown in Figure </w:t>
      </w:r>
      <w:r>
        <w:t>9</w:t>
      </w:r>
      <w:r w:rsidR="001C4AB5">
        <w:t xml:space="preserve"> </w:t>
      </w:r>
      <w:r w:rsidRPr="00287CF4">
        <w:t xml:space="preserve">(c). </w:t>
      </w:r>
    </w:p>
    <w:p w14:paraId="4C46388E" w14:textId="77777777" w:rsidR="003D2506" w:rsidRDefault="003D2506" w:rsidP="003D2506">
      <w:pPr>
        <w:keepNext/>
        <w:jc w:val="center"/>
        <w:rPr>
          <w:b/>
        </w:rPr>
      </w:pPr>
      <w:r>
        <w:rPr>
          <w:noProof/>
        </w:rPr>
        <w:drawing>
          <wp:inline distT="0" distB="0" distL="0" distR="0" wp14:anchorId="64C45F21" wp14:editId="5C82569E">
            <wp:extent cx="4899804" cy="2547270"/>
            <wp:effectExtent l="0" t="0" r="0" b="5715"/>
            <wp:docPr id="84" name="Chart 84">
              <a:extLst xmlns:a="http://schemas.openxmlformats.org/drawingml/2006/main">
                <a:ext uri="{FF2B5EF4-FFF2-40B4-BE49-F238E27FC236}">
                  <a16:creationId xmlns:a16="http://schemas.microsoft.com/office/drawing/2014/main" id="{DBF08CED-B24F-2C4A-896E-3718887A2A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CF46F76" w14:textId="77777777" w:rsidR="003D2506" w:rsidRPr="00E6795D" w:rsidRDefault="003D2506" w:rsidP="003D2506">
      <w:pPr>
        <w:pStyle w:val="Caption"/>
        <w:jc w:val="both"/>
        <w:rPr>
          <w:b/>
        </w:rPr>
      </w:pPr>
      <w:bookmarkStart w:id="256" w:name="_Ref15573332"/>
      <w:r w:rsidRPr="00E6795D">
        <w:rPr>
          <w:b/>
        </w:rPr>
        <w:t xml:space="preserve">Figure </w:t>
      </w:r>
      <w:r w:rsidRPr="00E6795D">
        <w:rPr>
          <w:b/>
        </w:rPr>
        <w:fldChar w:fldCharType="begin"/>
      </w:r>
      <w:r w:rsidRPr="00E6795D">
        <w:rPr>
          <w:b/>
        </w:rPr>
        <w:instrText xml:space="preserve"> SEQ Figure \* ARABIC </w:instrText>
      </w:r>
      <w:r w:rsidRPr="00E6795D">
        <w:rPr>
          <w:b/>
        </w:rPr>
        <w:fldChar w:fldCharType="separate"/>
      </w:r>
      <w:r>
        <w:rPr>
          <w:b/>
          <w:noProof/>
        </w:rPr>
        <w:t>12</w:t>
      </w:r>
      <w:r w:rsidRPr="00E6795D">
        <w:rPr>
          <w:b/>
        </w:rPr>
        <w:fldChar w:fldCharType="end"/>
      </w:r>
      <w:bookmarkEnd w:id="256"/>
      <w:r>
        <w:rPr>
          <w:b/>
        </w:rPr>
        <w:t xml:space="preserve">  </w:t>
      </w:r>
      <w:r w:rsidRPr="00E6795D">
        <w:t xml:space="preserve">Lifecycle </w:t>
      </w:r>
      <w:r w:rsidRPr="0027745D">
        <w:t>g</w:t>
      </w:r>
      <w:r w:rsidRPr="00E6795D">
        <w:t>reenhouse gas emissions per mile for mid-size sedans with different powertrains, U.S. 2018</w:t>
      </w:r>
    </w:p>
    <w:p w14:paraId="0864CD79" w14:textId="77777777" w:rsidR="00E47A51" w:rsidRDefault="00B01863" w:rsidP="00E47A51">
      <w:r>
        <w:lastRenderedPageBreak/>
        <w:t xml:space="preserve">For each one of the transportation options many factors can be modified that will significantly impact the life cycle GHG emissions, </w:t>
      </w:r>
      <w:r>
        <w:fldChar w:fldCharType="begin"/>
      </w:r>
      <w:r>
        <w:instrText xml:space="preserve"> REF _Ref15563358 \h  \* MERGEFORMAT </w:instrText>
      </w:r>
      <w:r>
        <w:fldChar w:fldCharType="separate"/>
      </w:r>
      <w:r>
        <w:t>Figure 13</w:t>
      </w:r>
      <w:r>
        <w:fldChar w:fldCharType="end"/>
      </w:r>
      <w:r>
        <w:t xml:space="preserve"> displays the results of diesel passenger vehicle emissions from three different crude oils (</w:t>
      </w:r>
      <w:r w:rsidRPr="00063C4F">
        <w:rPr>
          <w:bCs/>
        </w:rPr>
        <w:t xml:space="preserve">WTI: West Texas Intermediate, WTS: West Texas Sour , </w:t>
      </w:r>
      <w:proofErr w:type="spellStart"/>
      <w:r w:rsidR="00063C4F">
        <w:rPr>
          <w:bCs/>
        </w:rPr>
        <w:t>VenLeona</w:t>
      </w:r>
      <w:proofErr w:type="spellEnd"/>
      <w:r w:rsidR="00063C4F">
        <w:rPr>
          <w:bCs/>
        </w:rPr>
        <w:t>: Venezuela Leona</w:t>
      </w:r>
      <w:r>
        <w:t>)</w:t>
      </w:r>
      <w:r w:rsidR="00063C4F">
        <w:t xml:space="preserve"> processed in eleven refinery configurations (</w:t>
      </w:r>
      <w:r w:rsidR="00063C4F" w:rsidRPr="00063C4F">
        <w:rPr>
          <w:lang w:val="nn-NO"/>
        </w:rPr>
        <w:t>Hydroskimming, Medium FCC Pre</w:t>
      </w:r>
      <w:r w:rsidR="00063C4F">
        <w:rPr>
          <w:lang w:val="nn-NO"/>
        </w:rPr>
        <w:t xml:space="preserve">, </w:t>
      </w:r>
      <w:r w:rsidR="00063C4F" w:rsidRPr="00063C4F">
        <w:rPr>
          <w:lang w:val="nn-NO"/>
        </w:rPr>
        <w:t>Medium FCC Post</w:t>
      </w:r>
      <w:r w:rsidR="00063C4F">
        <w:rPr>
          <w:lang w:val="nn-NO"/>
        </w:rPr>
        <w:t xml:space="preserve">, </w:t>
      </w:r>
      <w:r w:rsidR="00063C4F" w:rsidRPr="00063C4F">
        <w:rPr>
          <w:lang w:val="nn-NO"/>
        </w:rPr>
        <w:t>Medium GO-HC</w:t>
      </w:r>
      <w:r w:rsidR="00063C4F">
        <w:rPr>
          <w:lang w:val="nn-NO"/>
        </w:rPr>
        <w:t xml:space="preserve">, </w:t>
      </w:r>
      <w:r w:rsidR="00063C4F" w:rsidRPr="00063C4F">
        <w:rPr>
          <w:lang w:val="nn-NO"/>
        </w:rPr>
        <w:t>Medium FCC Pre GO-HC</w:t>
      </w:r>
      <w:r w:rsidR="00063C4F">
        <w:rPr>
          <w:lang w:val="nn-NO"/>
        </w:rPr>
        <w:t xml:space="preserve">, </w:t>
      </w:r>
      <w:r w:rsidR="00063C4F" w:rsidRPr="00063C4F">
        <w:rPr>
          <w:lang w:val="nn-NO"/>
        </w:rPr>
        <w:t xml:space="preserve">Medium FCC Post </w:t>
      </w:r>
      <w:r w:rsidR="00063C4F" w:rsidRPr="00063C4F">
        <w:t>GO-HC</w:t>
      </w:r>
      <w:r w:rsidR="00063C4F">
        <w:t xml:space="preserve">, </w:t>
      </w:r>
      <w:r w:rsidR="00063C4F" w:rsidRPr="00063C4F">
        <w:t>Deep FCC Pre</w:t>
      </w:r>
      <w:r w:rsidR="00063C4F">
        <w:t xml:space="preserve">, </w:t>
      </w:r>
      <w:r w:rsidR="00063C4F" w:rsidRPr="00063C4F">
        <w:t>Deep FCC Post</w:t>
      </w:r>
      <w:r w:rsidR="00063C4F">
        <w:t xml:space="preserve">, </w:t>
      </w:r>
      <w:r w:rsidR="00063C4F" w:rsidRPr="00063C4F">
        <w:t>Deep GO-HC</w:t>
      </w:r>
      <w:r w:rsidR="00063C4F">
        <w:t xml:space="preserve">, </w:t>
      </w:r>
      <w:r w:rsidR="00063C4F" w:rsidRPr="00063C4F">
        <w:t>Deep FCC Pre GO-HC</w:t>
      </w:r>
      <w:r w:rsidR="00063C4F">
        <w:t xml:space="preserve">, </w:t>
      </w:r>
      <w:r w:rsidR="00063C4F" w:rsidRPr="00063C4F">
        <w:t>Deep FCC Post GO-HC</w:t>
      </w:r>
      <w:r w:rsidR="00063C4F">
        <w:t>).</w:t>
      </w:r>
    </w:p>
    <w:p w14:paraId="1E2B5900" w14:textId="77777777" w:rsidR="00E47A51" w:rsidRDefault="00790127" w:rsidP="00790127">
      <w:pPr>
        <w:jc w:val="center"/>
      </w:pPr>
      <w:r>
        <w:rPr>
          <w:noProof/>
        </w:rPr>
        <w:drawing>
          <wp:anchor distT="0" distB="0" distL="114300" distR="114300" simplePos="0" relativeHeight="251675648" behindDoc="0" locked="0" layoutInCell="1" allowOverlap="1" wp14:anchorId="0F41DF3E" wp14:editId="0BE97822">
            <wp:simplePos x="0" y="0"/>
            <wp:positionH relativeFrom="column">
              <wp:posOffset>569344</wp:posOffset>
            </wp:positionH>
            <wp:positionV relativeFrom="paragraph">
              <wp:posOffset>200493</wp:posOffset>
            </wp:positionV>
            <wp:extent cx="4533900" cy="3829050"/>
            <wp:effectExtent l="0" t="0" r="0" b="0"/>
            <wp:wrapTopAndBottom/>
            <wp:docPr id="20" name="Chart 20">
              <a:extLst xmlns:a="http://schemas.openxmlformats.org/drawingml/2006/main">
                <a:ext uri="{FF2B5EF4-FFF2-40B4-BE49-F238E27FC236}">
                  <a16:creationId xmlns:a16="http://schemas.microsoft.com/office/drawing/2014/main" id="{A5062202-4ED9-E446-82DC-FC0B7AA442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000217C4" w14:textId="405DA936" w:rsidR="00E47A51" w:rsidRPr="00DF4C60" w:rsidRDefault="00E47A51" w:rsidP="00790127">
      <w:pPr>
        <w:pStyle w:val="Caption"/>
      </w:pPr>
      <w:bookmarkStart w:id="257" w:name="_Ref15561668"/>
      <w:r w:rsidRPr="00E6795D">
        <w:rPr>
          <w:b/>
        </w:rPr>
        <w:t xml:space="preserve">Figure </w:t>
      </w:r>
      <w:r w:rsidR="005F3F9E">
        <w:rPr>
          <w:b/>
        </w:rPr>
        <w:fldChar w:fldCharType="begin"/>
      </w:r>
      <w:r w:rsidR="005F3F9E">
        <w:rPr>
          <w:b/>
        </w:rPr>
        <w:instrText xml:space="preserve"> SEQ Figure \* ARABIC </w:instrText>
      </w:r>
      <w:r w:rsidR="005F3F9E">
        <w:rPr>
          <w:b/>
        </w:rPr>
        <w:fldChar w:fldCharType="separate"/>
      </w:r>
      <w:r w:rsidR="008F720A">
        <w:rPr>
          <w:b/>
          <w:noProof/>
        </w:rPr>
        <w:t>1</w:t>
      </w:r>
      <w:r w:rsidR="005F3F9E">
        <w:rPr>
          <w:b/>
        </w:rPr>
        <w:fldChar w:fldCharType="end"/>
      </w:r>
      <w:bookmarkEnd w:id="257"/>
      <w:r w:rsidR="00FC770C">
        <w:rPr>
          <w:b/>
        </w:rPr>
        <w:t>3</w:t>
      </w:r>
      <w:r>
        <w:rPr>
          <w:b/>
        </w:rPr>
        <w:t xml:space="preserve"> </w:t>
      </w:r>
      <w:r w:rsidRPr="00E6795D">
        <w:t>Fuel Cycle GHG Emissions</w:t>
      </w:r>
    </w:p>
    <w:p w14:paraId="6B56679B" w14:textId="77777777" w:rsidR="001B1370" w:rsidRPr="00B2605A" w:rsidRDefault="001B1370" w:rsidP="001B1370">
      <w:pPr>
        <w:jc w:val="center"/>
        <w:rPr>
          <w:highlight w:val="yellow"/>
        </w:rPr>
      </w:pPr>
      <w:r>
        <w:rPr>
          <w:noProof/>
        </w:rPr>
        <w:lastRenderedPageBreak/>
        <w:drawing>
          <wp:anchor distT="0" distB="0" distL="114300" distR="114300" simplePos="0" relativeHeight="251708416" behindDoc="0" locked="0" layoutInCell="1" allowOverlap="1" wp14:anchorId="320AFAD4" wp14:editId="7375748C">
            <wp:simplePos x="0" y="0"/>
            <wp:positionH relativeFrom="column">
              <wp:posOffset>729615</wp:posOffset>
            </wp:positionH>
            <wp:positionV relativeFrom="paragraph">
              <wp:posOffset>229870</wp:posOffset>
            </wp:positionV>
            <wp:extent cx="4572000" cy="2743200"/>
            <wp:effectExtent l="0" t="0" r="0" b="0"/>
            <wp:wrapTopAndBottom/>
            <wp:docPr id="78" name="Chart 7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0464" behindDoc="0" locked="0" layoutInCell="1" allowOverlap="1" wp14:anchorId="0585CD8B" wp14:editId="792B0B02">
                <wp:simplePos x="0" y="0"/>
                <wp:positionH relativeFrom="column">
                  <wp:posOffset>729919</wp:posOffset>
                </wp:positionH>
                <wp:positionV relativeFrom="paragraph">
                  <wp:posOffset>3030220</wp:posOffset>
                </wp:positionV>
                <wp:extent cx="4572000" cy="635"/>
                <wp:effectExtent l="0" t="0" r="0" b="0"/>
                <wp:wrapTopAndBottom/>
                <wp:docPr id="79" name="Text Box 79"/>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4A219AB2" w14:textId="2FB3BF19" w:rsidR="00227B36" w:rsidRPr="001C6254" w:rsidRDefault="00227B36" w:rsidP="001B1370">
                            <w:pPr>
                              <w:pStyle w:val="Caption"/>
                              <w:rPr>
                                <w:noProof/>
                              </w:rPr>
                            </w:pPr>
                            <w:bookmarkStart w:id="258" w:name="_Ref15563358"/>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bookmarkEnd w:id="258"/>
                            <w:r>
                              <w:t>4 Well-to-wheel LCA GHG emissions (gCO</w:t>
                            </w:r>
                            <w:r w:rsidRPr="005270FF">
                              <w:rPr>
                                <w:vertAlign w:val="subscript"/>
                              </w:rPr>
                              <w:t>2</w:t>
                            </w:r>
                            <w:r>
                              <w:t>e/mile driven) of various crude oil and refinery options</w:t>
                            </w:r>
                            <w:r>
                              <w:rPr>
                                <w:noProof/>
                              </w:rPr>
                              <w:t xml:space="preserve"> included in SESAME for an average diesel light duty vehicle (fuel economy: 26.2 MPG).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5CD8B" id="Text Box 79" o:spid="_x0000_s1027" type="#_x0000_t202" style="position:absolute;left:0;text-align:left;margin-left:57.45pt;margin-top:238.6pt;width:5in;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" stroked="f">
                <v:textbox style="mso-fit-shape-to-text:t" inset="0,0,0,0">
                  <w:txbxContent>
                    <w:p w14:paraId="4A219AB2" w14:textId="2FB3BF19" w:rsidR="00227B36" w:rsidRPr="001C6254" w:rsidRDefault="00227B36" w:rsidP="001B1370">
                      <w:pPr>
                        <w:pStyle w:val="Caption"/>
                        <w:rPr>
                          <w:noProof/>
                        </w:rPr>
                      </w:pPr>
                      <w:bookmarkStart w:id="259" w:name="_Ref15563358"/>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bookmarkEnd w:id="259"/>
                      <w:r>
                        <w:t>4 Well-to-wheel LCA GHG emissions (gCO</w:t>
                      </w:r>
                      <w:r w:rsidRPr="005270FF">
                        <w:rPr>
                          <w:vertAlign w:val="subscript"/>
                        </w:rPr>
                        <w:t>2</w:t>
                      </w:r>
                      <w:r>
                        <w:t>e/mile driven) of various crude oil and refinery options</w:t>
                      </w:r>
                      <w:r>
                        <w:rPr>
                          <w:noProof/>
                        </w:rPr>
                        <w:t xml:space="preserve"> included in SESAME for an average diesel light duty vehicle (fuel economy: 26.2 MPG).</w:t>
                      </w:r>
                    </w:p>
                  </w:txbxContent>
                </v:textbox>
                <w10:wrap type="topAndBottom"/>
              </v:shape>
            </w:pict>
          </mc:Fallback>
        </mc:AlternateContent>
      </w:r>
    </w:p>
    <w:p w14:paraId="6CD1A85B" w14:textId="77777777" w:rsidR="00B2605A" w:rsidRDefault="00B2605A" w:rsidP="00B2605A">
      <w:pPr>
        <w:pStyle w:val="Heading3"/>
        <w:numPr>
          <w:ilvl w:val="2"/>
          <w:numId w:val="32"/>
        </w:numPr>
      </w:pPr>
      <w:r w:rsidRPr="004C321C">
        <w:t xml:space="preserve">Comparison </w:t>
      </w:r>
      <w:r w:rsidR="00BF70E5" w:rsidRPr="004C321C">
        <w:t xml:space="preserve">of life cycle carbon footprint of </w:t>
      </w:r>
      <w:r w:rsidRPr="004C321C">
        <w:t xml:space="preserve">various </w:t>
      </w:r>
      <w:r w:rsidR="00BF70E5" w:rsidRPr="004C321C">
        <w:t>power sources</w:t>
      </w:r>
    </w:p>
    <w:p w14:paraId="4234AD36" w14:textId="70E51E0D" w:rsidR="00063C4F" w:rsidRPr="00063C4F" w:rsidRDefault="0032292A" w:rsidP="00063C4F">
      <w:r>
        <w:t xml:space="preserve">Numerous combinations for power generation can be defined and their life cycle emissions can be calculated. We present in </w:t>
      </w:r>
      <w:r w:rsidRPr="0032292A">
        <w:fldChar w:fldCharType="begin"/>
      </w:r>
      <w:r w:rsidRPr="0032292A">
        <w:instrText xml:space="preserve"> REF _Ref15565773 \h  \* MERGEFORMAT </w:instrText>
      </w:r>
      <w:r w:rsidRPr="0032292A">
        <w:fldChar w:fldCharType="separate"/>
      </w:r>
      <w:r w:rsidRPr="0032292A">
        <w:t xml:space="preserve">Figure </w:t>
      </w:r>
      <w:r w:rsidRPr="0032292A">
        <w:rPr>
          <w:noProof/>
        </w:rPr>
        <w:t>1</w:t>
      </w:r>
      <w:r w:rsidRPr="0032292A">
        <w:fldChar w:fldCharType="end"/>
      </w:r>
      <w:r w:rsidR="00FC770C">
        <w:t>5</w:t>
      </w:r>
      <w:r>
        <w:t xml:space="preserve"> base case results for c</w:t>
      </w:r>
      <w:r w:rsidRPr="001E01D7">
        <w:rPr>
          <w:highlight w:val="yellow"/>
          <w:rPrChange w:id="260" w:author="t_ghosh" w:date="2019-08-30T13:13:00Z">
            <w:rPr/>
          </w:rPrChange>
        </w:rPr>
        <w:t xml:space="preserve">ommon fossil fuel based power generation options, details of each case in the figure are listed in </w:t>
      </w:r>
      <w:r w:rsidRPr="001E01D7">
        <w:rPr>
          <w:highlight w:val="yellow"/>
          <w:rPrChange w:id="261" w:author="t_ghosh" w:date="2019-08-30T13:13:00Z">
            <w:rPr/>
          </w:rPrChange>
        </w:rPr>
        <w:fldChar w:fldCharType="begin"/>
      </w:r>
      <w:r w:rsidRPr="001E01D7">
        <w:rPr>
          <w:highlight w:val="yellow"/>
          <w:rPrChange w:id="262" w:author="t_ghosh" w:date="2019-08-30T13:13:00Z">
            <w:rPr/>
          </w:rPrChange>
        </w:rPr>
        <w:instrText xml:space="preserve"> REF _Ref15565825 \h  \* MERGEFORMAT </w:instrText>
      </w:r>
      <w:r w:rsidRPr="001E01D7">
        <w:rPr>
          <w:highlight w:val="yellow"/>
          <w:rPrChange w:id="263" w:author="t_ghosh" w:date="2019-08-30T13:13:00Z">
            <w:rPr/>
          </w:rPrChange>
        </w:rPr>
      </w:r>
      <w:r w:rsidRPr="001E01D7">
        <w:rPr>
          <w:highlight w:val="yellow"/>
          <w:rPrChange w:id="264" w:author="t_ghosh" w:date="2019-08-30T13:13:00Z">
            <w:rPr/>
          </w:rPrChange>
        </w:rPr>
        <w:fldChar w:fldCharType="separate"/>
      </w:r>
      <w:r w:rsidRPr="001E01D7">
        <w:rPr>
          <w:highlight w:val="yellow"/>
          <w:rPrChange w:id="265" w:author="t_ghosh" w:date="2019-08-30T13:13:00Z">
            <w:rPr/>
          </w:rPrChange>
        </w:rPr>
        <w:t xml:space="preserve">Table </w:t>
      </w:r>
      <w:r w:rsidRPr="001E01D7">
        <w:rPr>
          <w:noProof/>
          <w:highlight w:val="yellow"/>
          <w:rPrChange w:id="266" w:author="t_ghosh" w:date="2019-08-30T13:13:00Z">
            <w:rPr>
              <w:noProof/>
            </w:rPr>
          </w:rPrChange>
        </w:rPr>
        <w:t>2</w:t>
      </w:r>
      <w:r w:rsidRPr="001E01D7">
        <w:rPr>
          <w:highlight w:val="yellow"/>
          <w:rPrChange w:id="267" w:author="t_ghosh" w:date="2019-08-30T13:13:00Z">
            <w:rPr/>
          </w:rPrChange>
        </w:rPr>
        <w:fldChar w:fldCharType="end"/>
      </w:r>
      <w:r w:rsidRPr="001E01D7">
        <w:rPr>
          <w:highlight w:val="yellow"/>
          <w:rPrChange w:id="268" w:author="t_ghosh" w:date="2019-08-30T13:13:00Z">
            <w:rPr/>
          </w:rPrChange>
        </w:rPr>
        <w:t>.</w:t>
      </w:r>
      <w:r>
        <w:t xml:space="preserve"> </w:t>
      </w:r>
      <w:r w:rsidR="00D70F0D">
        <w:t>In addition to technological variability</w:t>
      </w:r>
      <w:r w:rsidR="00FC770C">
        <w:t>,</w:t>
      </w:r>
      <w:r w:rsidR="00D70F0D">
        <w:t xml:space="preserve"> such as inclusion of various gas turbine models, capturing the impact of operation variation is very important.</w:t>
      </w:r>
    </w:p>
    <w:p w14:paraId="79E5B7B9" w14:textId="67A48D7B" w:rsidR="008C3EDF" w:rsidRDefault="008C3EDF" w:rsidP="00EC27C1">
      <w:pPr>
        <w:jc w:val="center"/>
      </w:pPr>
      <w:bookmarkStart w:id="269" w:name="_Ref15565825"/>
      <w:bookmarkStart w:id="270" w:name="_Ref15565820"/>
      <w:r>
        <w:rPr>
          <w:noProof/>
        </w:rPr>
        <mc:AlternateContent>
          <mc:Choice Requires="wps">
            <w:drawing>
              <wp:anchor distT="0" distB="0" distL="114300" distR="114300" simplePos="0" relativeHeight="251669504" behindDoc="0" locked="0" layoutInCell="1" allowOverlap="1" wp14:anchorId="035250CE" wp14:editId="07F292BB">
                <wp:simplePos x="0" y="0"/>
                <wp:positionH relativeFrom="column">
                  <wp:posOffset>715010</wp:posOffset>
                </wp:positionH>
                <wp:positionV relativeFrom="paragraph">
                  <wp:posOffset>2800350</wp:posOffset>
                </wp:positionV>
                <wp:extent cx="459359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593590" cy="635"/>
                        </a:xfrm>
                        <a:prstGeom prst="rect">
                          <a:avLst/>
                        </a:prstGeom>
                        <a:solidFill>
                          <a:prstClr val="white"/>
                        </a:solidFill>
                        <a:ln>
                          <a:noFill/>
                        </a:ln>
                      </wps:spPr>
                      <wps:txbx>
                        <w:txbxContent>
                          <w:p w14:paraId="3D6E55D0" w14:textId="67838CD9" w:rsidR="00227B36" w:rsidRPr="0082670F" w:rsidRDefault="00227B36" w:rsidP="008C3EDF">
                            <w:pPr>
                              <w:pStyle w:val="Caption"/>
                              <w:rPr>
                                <w:noProof/>
                              </w:rPr>
                            </w:pPr>
                            <w:bookmarkStart w:id="271" w:name="_Ref15565773"/>
                            <w:r w:rsidRPr="008C3EDF">
                              <w:rPr>
                                <w:b/>
                              </w:rPr>
                              <w:t xml:space="preserve">Figure </w:t>
                            </w:r>
                            <w:r>
                              <w:rPr>
                                <w:b/>
                              </w:rPr>
                              <w:fldChar w:fldCharType="begin"/>
                            </w:r>
                            <w:r>
                              <w:rPr>
                                <w:b/>
                              </w:rPr>
                              <w:instrText xml:space="preserve"> SEQ Figure \* ARABIC </w:instrText>
                            </w:r>
                            <w:r>
                              <w:rPr>
                                <w:b/>
                              </w:rPr>
                              <w:fldChar w:fldCharType="separate"/>
                            </w:r>
                            <w:r>
                              <w:rPr>
                                <w:b/>
                                <w:noProof/>
                              </w:rPr>
                              <w:t>1</w:t>
                            </w:r>
                            <w:r>
                              <w:rPr>
                                <w:b/>
                              </w:rPr>
                              <w:fldChar w:fldCharType="end"/>
                            </w:r>
                            <w:bookmarkEnd w:id="271"/>
                            <w:r>
                              <w:rPr>
                                <w:b/>
                              </w:rPr>
                              <w:t>5</w:t>
                            </w:r>
                            <w:r>
                              <w:t xml:space="preserve"> Summary of main power generation LCA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5250CE" id="Text Box 16" o:spid="_x0000_s1028" type="#_x0000_t202" style="position:absolute;left:0;text-align:left;margin-left:56.3pt;margin-top:220.5pt;width:361.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" stroked="f">
                <v:textbox style="mso-fit-shape-to-text:t" inset="0,0,0,0">
                  <w:txbxContent>
                    <w:p w14:paraId="3D6E55D0" w14:textId="67838CD9" w:rsidR="00227B36" w:rsidRPr="0082670F" w:rsidRDefault="00227B36" w:rsidP="008C3EDF">
                      <w:pPr>
                        <w:pStyle w:val="Caption"/>
                        <w:rPr>
                          <w:noProof/>
                        </w:rPr>
                      </w:pPr>
                      <w:bookmarkStart w:id="272" w:name="_Ref15565773"/>
                      <w:r w:rsidRPr="008C3EDF">
                        <w:rPr>
                          <w:b/>
                        </w:rPr>
                        <w:t xml:space="preserve">Figure </w:t>
                      </w:r>
                      <w:r>
                        <w:rPr>
                          <w:b/>
                        </w:rPr>
                        <w:fldChar w:fldCharType="begin"/>
                      </w:r>
                      <w:r>
                        <w:rPr>
                          <w:b/>
                        </w:rPr>
                        <w:instrText xml:space="preserve"> SEQ Figure \* ARABIC </w:instrText>
                      </w:r>
                      <w:r>
                        <w:rPr>
                          <w:b/>
                        </w:rPr>
                        <w:fldChar w:fldCharType="separate"/>
                      </w:r>
                      <w:r>
                        <w:rPr>
                          <w:b/>
                          <w:noProof/>
                        </w:rPr>
                        <w:t>1</w:t>
                      </w:r>
                      <w:r>
                        <w:rPr>
                          <w:b/>
                        </w:rPr>
                        <w:fldChar w:fldCharType="end"/>
                      </w:r>
                      <w:bookmarkEnd w:id="272"/>
                      <w:r>
                        <w:rPr>
                          <w:b/>
                        </w:rPr>
                        <w:t>5</w:t>
                      </w:r>
                      <w:r>
                        <w:t xml:space="preserve"> Summary of main power generation LCA results</w:t>
                      </w:r>
                    </w:p>
                  </w:txbxContent>
                </v:textbox>
                <w10:wrap type="topAndBottom"/>
              </v:shape>
            </w:pict>
          </mc:Fallback>
        </mc:AlternateContent>
      </w:r>
      <w:r w:rsidR="00920B36">
        <w:rPr>
          <w:noProof/>
        </w:rPr>
        <w:drawing>
          <wp:anchor distT="0" distB="0" distL="114300" distR="114300" simplePos="0" relativeHeight="251665408" behindDoc="0" locked="0" layoutInCell="1" allowOverlap="1" wp14:anchorId="7FF3C3A2" wp14:editId="203A8988">
            <wp:simplePos x="0" y="0"/>
            <wp:positionH relativeFrom="column">
              <wp:posOffset>715618</wp:posOffset>
            </wp:positionH>
            <wp:positionV relativeFrom="paragraph">
              <wp:posOffset>166</wp:posOffset>
            </wp:positionV>
            <wp:extent cx="4593772" cy="2743200"/>
            <wp:effectExtent l="0" t="0" r="16510" b="0"/>
            <wp:wrapTopAndBottom/>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sidRPr="008C3EDF">
        <w:rPr>
          <w:b/>
        </w:rPr>
        <w:t xml:space="preserve">Table </w:t>
      </w:r>
      <w:r w:rsidRPr="008C3EDF">
        <w:rPr>
          <w:b/>
        </w:rPr>
        <w:fldChar w:fldCharType="begin"/>
      </w:r>
      <w:r w:rsidRPr="008C3EDF">
        <w:rPr>
          <w:b/>
        </w:rPr>
        <w:instrText xml:space="preserve"> SEQ Table \* ARABIC </w:instrText>
      </w:r>
      <w:r w:rsidRPr="008C3EDF">
        <w:rPr>
          <w:b/>
        </w:rPr>
        <w:fldChar w:fldCharType="separate"/>
      </w:r>
      <w:r w:rsidR="00DC321F">
        <w:rPr>
          <w:b/>
          <w:noProof/>
        </w:rPr>
        <w:t>2</w:t>
      </w:r>
      <w:r w:rsidRPr="008C3EDF">
        <w:rPr>
          <w:b/>
        </w:rPr>
        <w:fldChar w:fldCharType="end"/>
      </w:r>
      <w:bookmarkEnd w:id="269"/>
      <w:r>
        <w:t xml:space="preserve"> Life stage components of power generation pathways shown in </w:t>
      </w:r>
      <w:r w:rsidR="0032292A" w:rsidRPr="0032292A">
        <w:fldChar w:fldCharType="begin"/>
      </w:r>
      <w:r w:rsidR="0032292A" w:rsidRPr="0032292A">
        <w:instrText xml:space="preserve"> REF _Ref15565773 \h  \* MERGEFORMAT </w:instrText>
      </w:r>
      <w:r w:rsidR="0032292A" w:rsidRPr="0032292A">
        <w:fldChar w:fldCharType="separate"/>
      </w:r>
      <w:r w:rsidR="0032292A" w:rsidRPr="0032292A">
        <w:t xml:space="preserve">Figure </w:t>
      </w:r>
      <w:r w:rsidR="0032292A" w:rsidRPr="0032292A">
        <w:rPr>
          <w:noProof/>
        </w:rPr>
        <w:t>1</w:t>
      </w:r>
      <w:r w:rsidR="0032292A" w:rsidRPr="0032292A">
        <w:fldChar w:fldCharType="end"/>
      </w:r>
      <w:r w:rsidR="00FC770C">
        <w:t>5</w:t>
      </w:r>
      <w:r w:rsidR="00FA5CB3">
        <w:t>.</w:t>
      </w:r>
      <w:bookmarkEnd w:id="270"/>
    </w:p>
    <w:tbl>
      <w:tblPr>
        <w:tblW w:w="9287" w:type="dxa"/>
        <w:tblLook w:val="04A0" w:firstRow="1" w:lastRow="0" w:firstColumn="1" w:lastColumn="0" w:noHBand="0" w:noVBand="1"/>
      </w:tblPr>
      <w:tblGrid>
        <w:gridCol w:w="960"/>
        <w:gridCol w:w="2010"/>
        <w:gridCol w:w="1217"/>
        <w:gridCol w:w="1750"/>
        <w:gridCol w:w="783"/>
        <w:gridCol w:w="1397"/>
        <w:gridCol w:w="1170"/>
      </w:tblGrid>
      <w:tr w:rsidR="003B0AAD" w:rsidRPr="003B0AAD" w14:paraId="05BCC074" w14:textId="77777777" w:rsidTr="008C3EDF">
        <w:trPr>
          <w:trHeight w:val="300"/>
        </w:trPr>
        <w:tc>
          <w:tcPr>
            <w:tcW w:w="960" w:type="dxa"/>
            <w:tcBorders>
              <w:top w:val="nil"/>
              <w:left w:val="nil"/>
              <w:bottom w:val="single" w:sz="4" w:space="0" w:color="auto"/>
              <w:right w:val="nil"/>
            </w:tcBorders>
            <w:shd w:val="clear" w:color="auto" w:fill="auto"/>
            <w:noWrap/>
            <w:vAlign w:val="bottom"/>
            <w:hideMark/>
          </w:tcPr>
          <w:p w14:paraId="7CC61C81" w14:textId="77777777" w:rsidR="003B0AAD" w:rsidRPr="003B0AAD" w:rsidRDefault="003B0AAD" w:rsidP="003B0AAD">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lastRenderedPageBreak/>
              <w:t>Case</w:t>
            </w:r>
          </w:p>
        </w:tc>
        <w:tc>
          <w:tcPr>
            <w:tcW w:w="2010" w:type="dxa"/>
            <w:tcBorders>
              <w:top w:val="nil"/>
              <w:left w:val="nil"/>
              <w:bottom w:val="single" w:sz="4" w:space="0" w:color="auto"/>
              <w:right w:val="nil"/>
            </w:tcBorders>
            <w:shd w:val="clear" w:color="auto" w:fill="auto"/>
            <w:noWrap/>
            <w:vAlign w:val="bottom"/>
            <w:hideMark/>
          </w:tcPr>
          <w:p w14:paraId="57407B12" w14:textId="77777777" w:rsidR="003B0AAD" w:rsidRPr="003B0AAD" w:rsidRDefault="003B0AAD" w:rsidP="003B0AAD">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Upstream</w:t>
            </w:r>
          </w:p>
        </w:tc>
        <w:tc>
          <w:tcPr>
            <w:tcW w:w="1217" w:type="dxa"/>
            <w:tcBorders>
              <w:top w:val="nil"/>
              <w:left w:val="nil"/>
              <w:bottom w:val="single" w:sz="4" w:space="0" w:color="auto"/>
              <w:right w:val="nil"/>
            </w:tcBorders>
            <w:shd w:val="clear" w:color="auto" w:fill="auto"/>
            <w:noWrap/>
            <w:vAlign w:val="bottom"/>
            <w:hideMark/>
          </w:tcPr>
          <w:p w14:paraId="5FBE4544" w14:textId="77777777" w:rsidR="003B0AAD" w:rsidRPr="003B0AAD" w:rsidRDefault="003B0AAD" w:rsidP="003B0AAD">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Midstream</w:t>
            </w:r>
          </w:p>
        </w:tc>
        <w:tc>
          <w:tcPr>
            <w:tcW w:w="1750" w:type="dxa"/>
            <w:tcBorders>
              <w:top w:val="nil"/>
              <w:left w:val="nil"/>
              <w:bottom w:val="single" w:sz="4" w:space="0" w:color="auto"/>
              <w:right w:val="nil"/>
            </w:tcBorders>
            <w:shd w:val="clear" w:color="auto" w:fill="auto"/>
            <w:noWrap/>
            <w:vAlign w:val="bottom"/>
            <w:hideMark/>
          </w:tcPr>
          <w:p w14:paraId="217438D7" w14:textId="77777777" w:rsidR="003B0AAD" w:rsidRPr="003B0AAD" w:rsidRDefault="003B0AAD" w:rsidP="003B0AAD">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Process</w:t>
            </w:r>
          </w:p>
        </w:tc>
        <w:tc>
          <w:tcPr>
            <w:tcW w:w="783" w:type="dxa"/>
            <w:tcBorders>
              <w:top w:val="nil"/>
              <w:left w:val="nil"/>
              <w:bottom w:val="single" w:sz="4" w:space="0" w:color="auto"/>
              <w:right w:val="nil"/>
            </w:tcBorders>
            <w:shd w:val="clear" w:color="auto" w:fill="auto"/>
            <w:noWrap/>
            <w:vAlign w:val="bottom"/>
            <w:hideMark/>
          </w:tcPr>
          <w:p w14:paraId="02B5629B" w14:textId="77777777" w:rsidR="003B0AAD" w:rsidRPr="003B0AAD" w:rsidRDefault="003B0AAD" w:rsidP="003B0AAD">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CCUS</w:t>
            </w:r>
          </w:p>
        </w:tc>
        <w:tc>
          <w:tcPr>
            <w:tcW w:w="1397" w:type="dxa"/>
            <w:tcBorders>
              <w:top w:val="nil"/>
              <w:left w:val="nil"/>
              <w:bottom w:val="single" w:sz="4" w:space="0" w:color="auto"/>
              <w:right w:val="nil"/>
            </w:tcBorders>
            <w:shd w:val="clear" w:color="auto" w:fill="auto"/>
            <w:noWrap/>
            <w:vAlign w:val="bottom"/>
            <w:hideMark/>
          </w:tcPr>
          <w:p w14:paraId="03948744" w14:textId="77777777" w:rsidR="003B0AAD" w:rsidRPr="003B0AAD" w:rsidRDefault="003B0AAD" w:rsidP="003B0AAD">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Gate to user</w:t>
            </w:r>
          </w:p>
        </w:tc>
        <w:tc>
          <w:tcPr>
            <w:tcW w:w="1170" w:type="dxa"/>
            <w:tcBorders>
              <w:top w:val="nil"/>
              <w:left w:val="nil"/>
              <w:bottom w:val="single" w:sz="4" w:space="0" w:color="auto"/>
              <w:right w:val="nil"/>
            </w:tcBorders>
            <w:shd w:val="clear" w:color="auto" w:fill="auto"/>
            <w:noWrap/>
            <w:vAlign w:val="bottom"/>
            <w:hideMark/>
          </w:tcPr>
          <w:p w14:paraId="7415DC99" w14:textId="77777777" w:rsidR="003B0AAD" w:rsidRPr="003B0AAD" w:rsidRDefault="003B0AAD" w:rsidP="003B0AAD">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End use</w:t>
            </w:r>
          </w:p>
        </w:tc>
      </w:tr>
      <w:tr w:rsidR="003B0AAD" w:rsidRPr="003B0AAD" w14:paraId="00A91B9A"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352FD578"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1</w:t>
            </w:r>
          </w:p>
        </w:tc>
        <w:tc>
          <w:tcPr>
            <w:tcW w:w="2010" w:type="dxa"/>
            <w:tcBorders>
              <w:top w:val="single" w:sz="4" w:space="0" w:color="auto"/>
              <w:left w:val="nil"/>
              <w:bottom w:val="single" w:sz="4" w:space="0" w:color="auto"/>
              <w:right w:val="nil"/>
            </w:tcBorders>
            <w:shd w:val="clear" w:color="auto" w:fill="auto"/>
            <w:noWrap/>
            <w:vAlign w:val="bottom"/>
            <w:hideMark/>
          </w:tcPr>
          <w:p w14:paraId="071D2055"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Coal</w:t>
            </w:r>
          </w:p>
        </w:tc>
        <w:tc>
          <w:tcPr>
            <w:tcW w:w="1217" w:type="dxa"/>
            <w:tcBorders>
              <w:top w:val="single" w:sz="4" w:space="0" w:color="auto"/>
              <w:left w:val="nil"/>
              <w:bottom w:val="single" w:sz="4" w:space="0" w:color="auto"/>
              <w:right w:val="nil"/>
            </w:tcBorders>
            <w:shd w:val="clear" w:color="auto" w:fill="auto"/>
            <w:noWrap/>
            <w:vAlign w:val="bottom"/>
            <w:hideMark/>
          </w:tcPr>
          <w:p w14:paraId="036E1827"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31A13748"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Pow-Sub</w:t>
            </w:r>
          </w:p>
        </w:tc>
        <w:tc>
          <w:tcPr>
            <w:tcW w:w="783" w:type="dxa"/>
            <w:tcBorders>
              <w:top w:val="single" w:sz="4" w:space="0" w:color="auto"/>
              <w:left w:val="nil"/>
              <w:bottom w:val="single" w:sz="4" w:space="0" w:color="auto"/>
              <w:right w:val="nil"/>
            </w:tcBorders>
            <w:shd w:val="clear" w:color="auto" w:fill="auto"/>
            <w:noWrap/>
            <w:vAlign w:val="bottom"/>
            <w:hideMark/>
          </w:tcPr>
          <w:p w14:paraId="10D297F5"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7A1C3A76"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27FBC45E"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6202D7AD"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72948110"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2</w:t>
            </w:r>
          </w:p>
        </w:tc>
        <w:tc>
          <w:tcPr>
            <w:tcW w:w="2010" w:type="dxa"/>
            <w:tcBorders>
              <w:top w:val="single" w:sz="4" w:space="0" w:color="auto"/>
              <w:left w:val="nil"/>
              <w:bottom w:val="single" w:sz="4" w:space="0" w:color="auto"/>
              <w:right w:val="nil"/>
            </w:tcBorders>
            <w:shd w:val="clear" w:color="auto" w:fill="auto"/>
            <w:noWrap/>
            <w:vAlign w:val="bottom"/>
            <w:hideMark/>
          </w:tcPr>
          <w:p w14:paraId="462843C4"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Coal</w:t>
            </w:r>
          </w:p>
        </w:tc>
        <w:tc>
          <w:tcPr>
            <w:tcW w:w="1217" w:type="dxa"/>
            <w:tcBorders>
              <w:top w:val="single" w:sz="4" w:space="0" w:color="auto"/>
              <w:left w:val="nil"/>
              <w:bottom w:val="single" w:sz="4" w:space="0" w:color="auto"/>
              <w:right w:val="nil"/>
            </w:tcBorders>
            <w:shd w:val="clear" w:color="auto" w:fill="auto"/>
            <w:noWrap/>
            <w:vAlign w:val="bottom"/>
            <w:hideMark/>
          </w:tcPr>
          <w:p w14:paraId="11BC8C73"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0964CDE1"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Pow-Sup</w:t>
            </w:r>
          </w:p>
        </w:tc>
        <w:tc>
          <w:tcPr>
            <w:tcW w:w="783" w:type="dxa"/>
            <w:tcBorders>
              <w:top w:val="single" w:sz="4" w:space="0" w:color="auto"/>
              <w:left w:val="nil"/>
              <w:bottom w:val="single" w:sz="4" w:space="0" w:color="auto"/>
              <w:right w:val="nil"/>
            </w:tcBorders>
            <w:shd w:val="clear" w:color="auto" w:fill="auto"/>
            <w:noWrap/>
            <w:vAlign w:val="bottom"/>
            <w:hideMark/>
          </w:tcPr>
          <w:p w14:paraId="7B3AE9C1"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1E269A16"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49F1F2F7"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6FF475C6"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221901E8"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3</w:t>
            </w:r>
          </w:p>
        </w:tc>
        <w:tc>
          <w:tcPr>
            <w:tcW w:w="2010" w:type="dxa"/>
            <w:tcBorders>
              <w:top w:val="single" w:sz="4" w:space="0" w:color="auto"/>
              <w:left w:val="nil"/>
              <w:bottom w:val="single" w:sz="4" w:space="0" w:color="auto"/>
              <w:right w:val="nil"/>
            </w:tcBorders>
            <w:shd w:val="clear" w:color="auto" w:fill="auto"/>
            <w:noWrap/>
            <w:vAlign w:val="bottom"/>
            <w:hideMark/>
          </w:tcPr>
          <w:p w14:paraId="346AF700"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Coal</w:t>
            </w:r>
          </w:p>
        </w:tc>
        <w:tc>
          <w:tcPr>
            <w:tcW w:w="1217" w:type="dxa"/>
            <w:tcBorders>
              <w:top w:val="single" w:sz="4" w:space="0" w:color="auto"/>
              <w:left w:val="nil"/>
              <w:bottom w:val="single" w:sz="4" w:space="0" w:color="auto"/>
              <w:right w:val="nil"/>
            </w:tcBorders>
            <w:shd w:val="clear" w:color="auto" w:fill="auto"/>
            <w:noWrap/>
            <w:vAlign w:val="bottom"/>
            <w:hideMark/>
          </w:tcPr>
          <w:p w14:paraId="06928D0D"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3F39DB3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Pow-Sub</w:t>
            </w:r>
          </w:p>
        </w:tc>
        <w:tc>
          <w:tcPr>
            <w:tcW w:w="783" w:type="dxa"/>
            <w:tcBorders>
              <w:top w:val="single" w:sz="4" w:space="0" w:color="auto"/>
              <w:left w:val="nil"/>
              <w:bottom w:val="single" w:sz="4" w:space="0" w:color="auto"/>
              <w:right w:val="nil"/>
            </w:tcBorders>
            <w:shd w:val="clear" w:color="auto" w:fill="auto"/>
            <w:noWrap/>
            <w:vAlign w:val="bottom"/>
            <w:hideMark/>
          </w:tcPr>
          <w:p w14:paraId="299C200E"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Yes</w:t>
            </w:r>
          </w:p>
        </w:tc>
        <w:tc>
          <w:tcPr>
            <w:tcW w:w="1397" w:type="dxa"/>
            <w:tcBorders>
              <w:top w:val="single" w:sz="4" w:space="0" w:color="auto"/>
              <w:left w:val="nil"/>
              <w:bottom w:val="single" w:sz="4" w:space="0" w:color="auto"/>
              <w:right w:val="nil"/>
            </w:tcBorders>
            <w:shd w:val="clear" w:color="auto" w:fill="auto"/>
            <w:noWrap/>
            <w:vAlign w:val="bottom"/>
            <w:hideMark/>
          </w:tcPr>
          <w:p w14:paraId="658686B6"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74EAD4D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1214F1FD"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10573155"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4</w:t>
            </w:r>
          </w:p>
        </w:tc>
        <w:tc>
          <w:tcPr>
            <w:tcW w:w="2010" w:type="dxa"/>
            <w:tcBorders>
              <w:top w:val="single" w:sz="4" w:space="0" w:color="auto"/>
              <w:left w:val="nil"/>
              <w:bottom w:val="single" w:sz="4" w:space="0" w:color="auto"/>
              <w:right w:val="nil"/>
            </w:tcBorders>
            <w:shd w:val="clear" w:color="auto" w:fill="auto"/>
            <w:noWrap/>
            <w:vAlign w:val="bottom"/>
            <w:hideMark/>
          </w:tcPr>
          <w:p w14:paraId="7C0C3BD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Coal</w:t>
            </w:r>
          </w:p>
        </w:tc>
        <w:tc>
          <w:tcPr>
            <w:tcW w:w="1217" w:type="dxa"/>
            <w:tcBorders>
              <w:top w:val="single" w:sz="4" w:space="0" w:color="auto"/>
              <w:left w:val="nil"/>
              <w:bottom w:val="single" w:sz="4" w:space="0" w:color="auto"/>
              <w:right w:val="nil"/>
            </w:tcBorders>
            <w:shd w:val="clear" w:color="auto" w:fill="auto"/>
            <w:noWrap/>
            <w:vAlign w:val="bottom"/>
            <w:hideMark/>
          </w:tcPr>
          <w:p w14:paraId="7C612050"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3521A2A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Pow-Sup</w:t>
            </w:r>
          </w:p>
        </w:tc>
        <w:tc>
          <w:tcPr>
            <w:tcW w:w="783" w:type="dxa"/>
            <w:tcBorders>
              <w:top w:val="single" w:sz="4" w:space="0" w:color="auto"/>
              <w:left w:val="nil"/>
              <w:bottom w:val="single" w:sz="4" w:space="0" w:color="auto"/>
              <w:right w:val="nil"/>
            </w:tcBorders>
            <w:shd w:val="clear" w:color="auto" w:fill="auto"/>
            <w:noWrap/>
            <w:vAlign w:val="bottom"/>
            <w:hideMark/>
          </w:tcPr>
          <w:p w14:paraId="666A0223"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Yes</w:t>
            </w:r>
          </w:p>
        </w:tc>
        <w:tc>
          <w:tcPr>
            <w:tcW w:w="1397" w:type="dxa"/>
            <w:tcBorders>
              <w:top w:val="single" w:sz="4" w:space="0" w:color="auto"/>
              <w:left w:val="nil"/>
              <w:bottom w:val="single" w:sz="4" w:space="0" w:color="auto"/>
              <w:right w:val="nil"/>
            </w:tcBorders>
            <w:shd w:val="clear" w:color="auto" w:fill="auto"/>
            <w:noWrap/>
            <w:vAlign w:val="bottom"/>
            <w:hideMark/>
          </w:tcPr>
          <w:p w14:paraId="0BE0E344"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4D7B666B"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5661D0D1"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48942597"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5</w:t>
            </w:r>
          </w:p>
        </w:tc>
        <w:tc>
          <w:tcPr>
            <w:tcW w:w="2010" w:type="dxa"/>
            <w:tcBorders>
              <w:top w:val="single" w:sz="4" w:space="0" w:color="auto"/>
              <w:left w:val="nil"/>
              <w:bottom w:val="single" w:sz="4" w:space="0" w:color="auto"/>
              <w:right w:val="nil"/>
            </w:tcBorders>
            <w:shd w:val="clear" w:color="auto" w:fill="auto"/>
            <w:noWrap/>
            <w:vAlign w:val="bottom"/>
            <w:hideMark/>
          </w:tcPr>
          <w:p w14:paraId="7672F1E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32B7729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42B45AA2"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Pow-GT-GE5371</w:t>
            </w:r>
          </w:p>
        </w:tc>
        <w:tc>
          <w:tcPr>
            <w:tcW w:w="783" w:type="dxa"/>
            <w:tcBorders>
              <w:top w:val="single" w:sz="4" w:space="0" w:color="auto"/>
              <w:left w:val="nil"/>
              <w:bottom w:val="single" w:sz="4" w:space="0" w:color="auto"/>
              <w:right w:val="nil"/>
            </w:tcBorders>
            <w:shd w:val="clear" w:color="auto" w:fill="auto"/>
            <w:noWrap/>
            <w:vAlign w:val="bottom"/>
            <w:hideMark/>
          </w:tcPr>
          <w:p w14:paraId="1C05C6C8"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24A7968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4C46E23B"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6B5FD004"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0194C48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6</w:t>
            </w:r>
          </w:p>
        </w:tc>
        <w:tc>
          <w:tcPr>
            <w:tcW w:w="2010" w:type="dxa"/>
            <w:tcBorders>
              <w:top w:val="single" w:sz="4" w:space="0" w:color="auto"/>
              <w:left w:val="nil"/>
              <w:bottom w:val="single" w:sz="4" w:space="0" w:color="auto"/>
              <w:right w:val="nil"/>
            </w:tcBorders>
            <w:shd w:val="clear" w:color="auto" w:fill="auto"/>
            <w:noWrap/>
            <w:vAlign w:val="bottom"/>
            <w:hideMark/>
          </w:tcPr>
          <w:p w14:paraId="434470BE"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33A612F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0532B99F"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Pow-GT-GE6581</w:t>
            </w:r>
          </w:p>
        </w:tc>
        <w:tc>
          <w:tcPr>
            <w:tcW w:w="783" w:type="dxa"/>
            <w:tcBorders>
              <w:top w:val="single" w:sz="4" w:space="0" w:color="auto"/>
              <w:left w:val="nil"/>
              <w:bottom w:val="single" w:sz="4" w:space="0" w:color="auto"/>
              <w:right w:val="nil"/>
            </w:tcBorders>
            <w:shd w:val="clear" w:color="auto" w:fill="auto"/>
            <w:noWrap/>
            <w:vAlign w:val="bottom"/>
            <w:hideMark/>
          </w:tcPr>
          <w:p w14:paraId="0607B01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6FFB96C8"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21D45F7C"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73FAA82C"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55BC1D97"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7</w:t>
            </w:r>
          </w:p>
        </w:tc>
        <w:tc>
          <w:tcPr>
            <w:tcW w:w="2010" w:type="dxa"/>
            <w:tcBorders>
              <w:top w:val="single" w:sz="4" w:space="0" w:color="auto"/>
              <w:left w:val="nil"/>
              <w:bottom w:val="single" w:sz="4" w:space="0" w:color="auto"/>
              <w:right w:val="nil"/>
            </w:tcBorders>
            <w:shd w:val="clear" w:color="auto" w:fill="auto"/>
            <w:noWrap/>
            <w:vAlign w:val="bottom"/>
            <w:hideMark/>
          </w:tcPr>
          <w:p w14:paraId="2CC818AD"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13677121"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026BAF05"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Pow-GT-GE6101</w:t>
            </w:r>
          </w:p>
        </w:tc>
        <w:tc>
          <w:tcPr>
            <w:tcW w:w="783" w:type="dxa"/>
            <w:tcBorders>
              <w:top w:val="single" w:sz="4" w:space="0" w:color="auto"/>
              <w:left w:val="nil"/>
              <w:bottom w:val="single" w:sz="4" w:space="0" w:color="auto"/>
              <w:right w:val="nil"/>
            </w:tcBorders>
            <w:shd w:val="clear" w:color="auto" w:fill="auto"/>
            <w:noWrap/>
            <w:vAlign w:val="bottom"/>
            <w:hideMark/>
          </w:tcPr>
          <w:p w14:paraId="782616D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68478056"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1A135D9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008A4953"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721287E8"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8</w:t>
            </w:r>
          </w:p>
        </w:tc>
        <w:tc>
          <w:tcPr>
            <w:tcW w:w="2010" w:type="dxa"/>
            <w:tcBorders>
              <w:top w:val="single" w:sz="4" w:space="0" w:color="auto"/>
              <w:left w:val="nil"/>
              <w:bottom w:val="single" w:sz="4" w:space="0" w:color="auto"/>
              <w:right w:val="nil"/>
            </w:tcBorders>
            <w:shd w:val="clear" w:color="auto" w:fill="auto"/>
            <w:noWrap/>
            <w:vAlign w:val="bottom"/>
            <w:hideMark/>
          </w:tcPr>
          <w:p w14:paraId="4BF4CD16"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096C9DF0"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26F3A49B"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Pow-GT-GE7121</w:t>
            </w:r>
          </w:p>
        </w:tc>
        <w:tc>
          <w:tcPr>
            <w:tcW w:w="783" w:type="dxa"/>
            <w:tcBorders>
              <w:top w:val="single" w:sz="4" w:space="0" w:color="auto"/>
              <w:left w:val="nil"/>
              <w:bottom w:val="single" w:sz="4" w:space="0" w:color="auto"/>
              <w:right w:val="nil"/>
            </w:tcBorders>
            <w:shd w:val="clear" w:color="auto" w:fill="auto"/>
            <w:noWrap/>
            <w:vAlign w:val="bottom"/>
            <w:hideMark/>
          </w:tcPr>
          <w:p w14:paraId="6BFE8C6C"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1F5DFB54"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737F952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4AD63F2D"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542B9958"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9</w:t>
            </w:r>
          </w:p>
        </w:tc>
        <w:tc>
          <w:tcPr>
            <w:tcW w:w="2010" w:type="dxa"/>
            <w:tcBorders>
              <w:top w:val="single" w:sz="4" w:space="0" w:color="auto"/>
              <w:left w:val="nil"/>
              <w:bottom w:val="single" w:sz="4" w:space="0" w:color="auto"/>
              <w:right w:val="nil"/>
            </w:tcBorders>
            <w:shd w:val="clear" w:color="auto" w:fill="auto"/>
            <w:noWrap/>
            <w:vAlign w:val="bottom"/>
            <w:hideMark/>
          </w:tcPr>
          <w:p w14:paraId="27A6948C"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3C9D7A0E"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0060319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Pow-GT-GE7241</w:t>
            </w:r>
          </w:p>
        </w:tc>
        <w:tc>
          <w:tcPr>
            <w:tcW w:w="783" w:type="dxa"/>
            <w:tcBorders>
              <w:top w:val="single" w:sz="4" w:space="0" w:color="auto"/>
              <w:left w:val="nil"/>
              <w:bottom w:val="single" w:sz="4" w:space="0" w:color="auto"/>
              <w:right w:val="nil"/>
            </w:tcBorders>
            <w:shd w:val="clear" w:color="auto" w:fill="auto"/>
            <w:noWrap/>
            <w:vAlign w:val="bottom"/>
            <w:hideMark/>
          </w:tcPr>
          <w:p w14:paraId="055B6B24"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1F29EC2B"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2655F64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14CD7BCD"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18426BB7"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10</w:t>
            </w:r>
          </w:p>
        </w:tc>
        <w:tc>
          <w:tcPr>
            <w:tcW w:w="2010" w:type="dxa"/>
            <w:tcBorders>
              <w:top w:val="single" w:sz="4" w:space="0" w:color="auto"/>
              <w:left w:val="nil"/>
              <w:bottom w:val="single" w:sz="4" w:space="0" w:color="auto"/>
              <w:right w:val="nil"/>
            </w:tcBorders>
            <w:shd w:val="clear" w:color="auto" w:fill="auto"/>
            <w:noWrap/>
            <w:vAlign w:val="bottom"/>
            <w:hideMark/>
          </w:tcPr>
          <w:p w14:paraId="472B1CD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5BFEBB13"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565BA69C"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Pow-GT-GE7251</w:t>
            </w:r>
          </w:p>
        </w:tc>
        <w:tc>
          <w:tcPr>
            <w:tcW w:w="783" w:type="dxa"/>
            <w:tcBorders>
              <w:top w:val="single" w:sz="4" w:space="0" w:color="auto"/>
              <w:left w:val="nil"/>
              <w:bottom w:val="single" w:sz="4" w:space="0" w:color="auto"/>
              <w:right w:val="nil"/>
            </w:tcBorders>
            <w:shd w:val="clear" w:color="auto" w:fill="auto"/>
            <w:noWrap/>
            <w:vAlign w:val="bottom"/>
            <w:hideMark/>
          </w:tcPr>
          <w:p w14:paraId="15139F4B"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2CD2B3F3"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2A4E317E"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1862F17F"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2A1336D3"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11</w:t>
            </w:r>
          </w:p>
        </w:tc>
        <w:tc>
          <w:tcPr>
            <w:tcW w:w="2010" w:type="dxa"/>
            <w:tcBorders>
              <w:top w:val="single" w:sz="4" w:space="0" w:color="auto"/>
              <w:left w:val="nil"/>
              <w:bottom w:val="single" w:sz="4" w:space="0" w:color="auto"/>
              <w:right w:val="nil"/>
            </w:tcBorders>
            <w:shd w:val="clear" w:color="auto" w:fill="auto"/>
            <w:noWrap/>
            <w:vAlign w:val="bottom"/>
            <w:hideMark/>
          </w:tcPr>
          <w:p w14:paraId="3E2AFDD7"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1258FBFF"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7AC825C6"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Pow-GT-GE9171</w:t>
            </w:r>
          </w:p>
        </w:tc>
        <w:tc>
          <w:tcPr>
            <w:tcW w:w="783" w:type="dxa"/>
            <w:tcBorders>
              <w:top w:val="single" w:sz="4" w:space="0" w:color="auto"/>
              <w:left w:val="nil"/>
              <w:bottom w:val="single" w:sz="4" w:space="0" w:color="auto"/>
              <w:right w:val="nil"/>
            </w:tcBorders>
            <w:shd w:val="clear" w:color="auto" w:fill="auto"/>
            <w:noWrap/>
            <w:vAlign w:val="bottom"/>
            <w:hideMark/>
          </w:tcPr>
          <w:p w14:paraId="6B5E095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1199953E"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4BFF3361"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72A1B8FC"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26D76623"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12</w:t>
            </w:r>
          </w:p>
        </w:tc>
        <w:tc>
          <w:tcPr>
            <w:tcW w:w="2010" w:type="dxa"/>
            <w:tcBorders>
              <w:top w:val="single" w:sz="4" w:space="0" w:color="auto"/>
              <w:left w:val="nil"/>
              <w:bottom w:val="single" w:sz="4" w:space="0" w:color="auto"/>
              <w:right w:val="nil"/>
            </w:tcBorders>
            <w:shd w:val="clear" w:color="auto" w:fill="auto"/>
            <w:noWrap/>
            <w:vAlign w:val="bottom"/>
            <w:hideMark/>
          </w:tcPr>
          <w:p w14:paraId="30760DC1"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3BFA7211"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11F6BE8F"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Pow-GT-GE9231</w:t>
            </w:r>
          </w:p>
        </w:tc>
        <w:tc>
          <w:tcPr>
            <w:tcW w:w="783" w:type="dxa"/>
            <w:tcBorders>
              <w:top w:val="single" w:sz="4" w:space="0" w:color="auto"/>
              <w:left w:val="nil"/>
              <w:bottom w:val="single" w:sz="4" w:space="0" w:color="auto"/>
              <w:right w:val="nil"/>
            </w:tcBorders>
            <w:shd w:val="clear" w:color="auto" w:fill="auto"/>
            <w:noWrap/>
            <w:vAlign w:val="bottom"/>
            <w:hideMark/>
          </w:tcPr>
          <w:p w14:paraId="41F93942"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1116737E"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25596C70"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1CCFA6C5"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41429382"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13</w:t>
            </w:r>
          </w:p>
        </w:tc>
        <w:tc>
          <w:tcPr>
            <w:tcW w:w="2010" w:type="dxa"/>
            <w:tcBorders>
              <w:top w:val="single" w:sz="4" w:space="0" w:color="auto"/>
              <w:left w:val="nil"/>
              <w:bottom w:val="single" w:sz="4" w:space="0" w:color="auto"/>
              <w:right w:val="nil"/>
            </w:tcBorders>
            <w:shd w:val="clear" w:color="auto" w:fill="auto"/>
            <w:noWrap/>
            <w:vAlign w:val="bottom"/>
            <w:hideMark/>
          </w:tcPr>
          <w:p w14:paraId="3221B4B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521EF685"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08E439F1"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Pow-GT-GE9351</w:t>
            </w:r>
          </w:p>
        </w:tc>
        <w:tc>
          <w:tcPr>
            <w:tcW w:w="783" w:type="dxa"/>
            <w:tcBorders>
              <w:top w:val="single" w:sz="4" w:space="0" w:color="auto"/>
              <w:left w:val="nil"/>
              <w:bottom w:val="single" w:sz="4" w:space="0" w:color="auto"/>
              <w:right w:val="nil"/>
            </w:tcBorders>
            <w:shd w:val="clear" w:color="auto" w:fill="auto"/>
            <w:noWrap/>
            <w:vAlign w:val="bottom"/>
            <w:hideMark/>
          </w:tcPr>
          <w:p w14:paraId="368F7C10"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39973D6A"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7A1BEFE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r w:rsidR="003B0AAD" w:rsidRPr="003B0AAD" w14:paraId="179C7517" w14:textId="77777777" w:rsidTr="008C3EDF">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653DA76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14</w:t>
            </w:r>
          </w:p>
        </w:tc>
        <w:tc>
          <w:tcPr>
            <w:tcW w:w="2010" w:type="dxa"/>
            <w:tcBorders>
              <w:top w:val="single" w:sz="4" w:space="0" w:color="auto"/>
              <w:left w:val="nil"/>
              <w:bottom w:val="single" w:sz="4" w:space="0" w:color="auto"/>
              <w:right w:val="nil"/>
            </w:tcBorders>
            <w:shd w:val="clear" w:color="auto" w:fill="auto"/>
            <w:noWrap/>
            <w:vAlign w:val="bottom"/>
            <w:hideMark/>
          </w:tcPr>
          <w:p w14:paraId="094C4ACE"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NG - Conventional</w:t>
            </w:r>
          </w:p>
        </w:tc>
        <w:tc>
          <w:tcPr>
            <w:tcW w:w="1217" w:type="dxa"/>
            <w:tcBorders>
              <w:top w:val="single" w:sz="4" w:space="0" w:color="auto"/>
              <w:left w:val="nil"/>
              <w:bottom w:val="single" w:sz="4" w:space="0" w:color="auto"/>
              <w:right w:val="nil"/>
            </w:tcBorders>
            <w:shd w:val="clear" w:color="auto" w:fill="auto"/>
            <w:noWrap/>
            <w:vAlign w:val="bottom"/>
            <w:hideMark/>
          </w:tcPr>
          <w:p w14:paraId="4EDE6447"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Default</w:t>
            </w:r>
          </w:p>
        </w:tc>
        <w:tc>
          <w:tcPr>
            <w:tcW w:w="1750" w:type="dxa"/>
            <w:tcBorders>
              <w:top w:val="single" w:sz="4" w:space="0" w:color="auto"/>
              <w:left w:val="nil"/>
              <w:bottom w:val="single" w:sz="4" w:space="0" w:color="auto"/>
              <w:right w:val="nil"/>
            </w:tcBorders>
            <w:shd w:val="clear" w:color="auto" w:fill="auto"/>
            <w:noWrap/>
            <w:vAlign w:val="bottom"/>
            <w:hideMark/>
          </w:tcPr>
          <w:p w14:paraId="44B9CE69"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Pow-CC</w:t>
            </w:r>
          </w:p>
        </w:tc>
        <w:tc>
          <w:tcPr>
            <w:tcW w:w="783" w:type="dxa"/>
            <w:tcBorders>
              <w:top w:val="single" w:sz="4" w:space="0" w:color="auto"/>
              <w:left w:val="nil"/>
              <w:bottom w:val="single" w:sz="4" w:space="0" w:color="auto"/>
              <w:right w:val="nil"/>
            </w:tcBorders>
            <w:shd w:val="clear" w:color="auto" w:fill="auto"/>
            <w:noWrap/>
            <w:vAlign w:val="bottom"/>
            <w:hideMark/>
          </w:tcPr>
          <w:p w14:paraId="27306B16"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No</w:t>
            </w:r>
          </w:p>
        </w:tc>
        <w:tc>
          <w:tcPr>
            <w:tcW w:w="1397" w:type="dxa"/>
            <w:tcBorders>
              <w:top w:val="single" w:sz="4" w:space="0" w:color="auto"/>
              <w:left w:val="nil"/>
              <w:bottom w:val="single" w:sz="4" w:space="0" w:color="auto"/>
              <w:right w:val="nil"/>
            </w:tcBorders>
            <w:shd w:val="clear" w:color="auto" w:fill="auto"/>
            <w:noWrap/>
            <w:vAlign w:val="bottom"/>
            <w:hideMark/>
          </w:tcPr>
          <w:p w14:paraId="0788F5C6"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 xml:space="preserve">Power </w:t>
            </w:r>
            <w:proofErr w:type="spellStart"/>
            <w:r w:rsidRPr="003B0AAD">
              <w:rPr>
                <w:rFonts w:ascii="Arial" w:eastAsia="Times New Roman" w:hAnsi="Arial" w:cs="Arial"/>
                <w:color w:val="000000"/>
                <w:sz w:val="20"/>
                <w:szCs w:val="20"/>
              </w:rPr>
              <w:t>dist</w:t>
            </w:r>
            <w:proofErr w:type="spellEnd"/>
          </w:p>
        </w:tc>
        <w:tc>
          <w:tcPr>
            <w:tcW w:w="1170" w:type="dxa"/>
            <w:tcBorders>
              <w:top w:val="single" w:sz="4" w:space="0" w:color="auto"/>
              <w:left w:val="nil"/>
              <w:bottom w:val="single" w:sz="4" w:space="0" w:color="auto"/>
              <w:right w:val="nil"/>
            </w:tcBorders>
            <w:shd w:val="clear" w:color="auto" w:fill="auto"/>
            <w:noWrap/>
            <w:vAlign w:val="bottom"/>
            <w:hideMark/>
          </w:tcPr>
          <w:p w14:paraId="2C496B0C" w14:textId="77777777" w:rsidR="003B0AAD" w:rsidRPr="003B0AAD" w:rsidRDefault="003B0AAD" w:rsidP="003B0AAD">
            <w:pPr>
              <w:spacing w:after="0" w:line="240" w:lineRule="auto"/>
              <w:jc w:val="center"/>
              <w:rPr>
                <w:rFonts w:ascii="Arial" w:eastAsia="Times New Roman" w:hAnsi="Arial" w:cs="Arial"/>
                <w:color w:val="000000"/>
                <w:sz w:val="20"/>
                <w:szCs w:val="20"/>
              </w:rPr>
            </w:pPr>
            <w:r w:rsidRPr="003B0AAD">
              <w:rPr>
                <w:rFonts w:ascii="Arial" w:eastAsia="Times New Roman" w:hAnsi="Arial" w:cs="Arial"/>
                <w:color w:val="000000"/>
                <w:sz w:val="20"/>
                <w:szCs w:val="20"/>
              </w:rPr>
              <w:t>Electricity</w:t>
            </w:r>
          </w:p>
        </w:tc>
      </w:tr>
    </w:tbl>
    <w:p w14:paraId="6844C301" w14:textId="77777777" w:rsidR="00D70F0D" w:rsidRDefault="00D70F0D" w:rsidP="003B0AAD"/>
    <w:p w14:paraId="30F9DA6D" w14:textId="77777777" w:rsidR="00FA5CB3" w:rsidRPr="00FA5CB3" w:rsidRDefault="00FA5CB3" w:rsidP="00FA5CB3">
      <w:pPr>
        <w:pStyle w:val="Heading1"/>
        <w:numPr>
          <w:ilvl w:val="0"/>
          <w:numId w:val="0"/>
        </w:numPr>
        <w:ind w:left="1242"/>
      </w:pPr>
      <w:r>
        <w:rPr>
          <w:noProof/>
        </w:rPr>
        <mc:AlternateContent>
          <mc:Choice Requires="wps">
            <w:drawing>
              <wp:anchor distT="0" distB="0" distL="114300" distR="114300" simplePos="0" relativeHeight="251673600" behindDoc="0" locked="0" layoutInCell="1" allowOverlap="1" wp14:anchorId="6A19D96B" wp14:editId="7CB6E03E">
                <wp:simplePos x="0" y="0"/>
                <wp:positionH relativeFrom="column">
                  <wp:posOffset>691515</wp:posOffset>
                </wp:positionH>
                <wp:positionV relativeFrom="paragraph">
                  <wp:posOffset>2978150</wp:posOffset>
                </wp:positionV>
                <wp:extent cx="459359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4593590" cy="635"/>
                        </a:xfrm>
                        <a:prstGeom prst="rect">
                          <a:avLst/>
                        </a:prstGeom>
                        <a:solidFill>
                          <a:prstClr val="white"/>
                        </a:solidFill>
                        <a:ln>
                          <a:noFill/>
                        </a:ln>
                      </wps:spPr>
                      <wps:txbx>
                        <w:txbxContent>
                          <w:p w14:paraId="2016F9A0" w14:textId="5D2403C7" w:rsidR="00227B36" w:rsidRPr="00D5270F" w:rsidRDefault="00227B36" w:rsidP="00FA5CB3">
                            <w:pPr>
                              <w:pStyle w:val="Caption"/>
                              <w:rPr>
                                <w:b/>
                                <w:noProof/>
                                <w:sz w:val="24"/>
                              </w:rPr>
                            </w:pPr>
                            <w:bookmarkStart w:id="273" w:name="_Ref15566161"/>
                            <w:r w:rsidRPr="00FA5CB3">
                              <w:rPr>
                                <w:b/>
                              </w:rPr>
                              <w:t xml:space="preserve">Figure </w:t>
                            </w:r>
                            <w:r>
                              <w:rPr>
                                <w:b/>
                              </w:rPr>
                              <w:fldChar w:fldCharType="begin"/>
                            </w:r>
                            <w:r>
                              <w:rPr>
                                <w:b/>
                              </w:rPr>
                              <w:instrText xml:space="preserve"> SEQ Figure \* ARABIC </w:instrText>
                            </w:r>
                            <w:r>
                              <w:rPr>
                                <w:b/>
                              </w:rPr>
                              <w:fldChar w:fldCharType="separate"/>
                            </w:r>
                            <w:r>
                              <w:rPr>
                                <w:b/>
                                <w:noProof/>
                              </w:rPr>
                              <w:t>16</w:t>
                            </w:r>
                            <w:r>
                              <w:rPr>
                                <w:b/>
                              </w:rPr>
                              <w:fldChar w:fldCharType="end"/>
                            </w:r>
                            <w:bookmarkEnd w:id="273"/>
                            <w:r>
                              <w:t xml:space="preserve"> Life cycle GHG emissions of gas turbine at various partial loadings.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19D96B" id="Text Box 19" o:spid="_x0000_s1029" type="#_x0000_t202" style="position:absolute;left:0;text-align:left;margin-left:54.45pt;margin-top:234.5pt;width:361.7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" stroked="f">
                <v:textbox style="mso-fit-shape-to-text:t" inset="0,0,0,0">
                  <w:txbxContent>
                    <w:p w14:paraId="2016F9A0" w14:textId="5D2403C7" w:rsidR="00227B36" w:rsidRPr="00D5270F" w:rsidRDefault="00227B36" w:rsidP="00FA5CB3">
                      <w:pPr>
                        <w:pStyle w:val="Caption"/>
                        <w:rPr>
                          <w:b/>
                          <w:noProof/>
                          <w:sz w:val="24"/>
                        </w:rPr>
                      </w:pPr>
                      <w:bookmarkStart w:id="274" w:name="_Ref15566161"/>
                      <w:r w:rsidRPr="00FA5CB3">
                        <w:rPr>
                          <w:b/>
                        </w:rPr>
                        <w:t xml:space="preserve">Figure </w:t>
                      </w:r>
                      <w:r>
                        <w:rPr>
                          <w:b/>
                        </w:rPr>
                        <w:fldChar w:fldCharType="begin"/>
                      </w:r>
                      <w:r>
                        <w:rPr>
                          <w:b/>
                        </w:rPr>
                        <w:instrText xml:space="preserve"> SEQ Figure \* ARABIC </w:instrText>
                      </w:r>
                      <w:r>
                        <w:rPr>
                          <w:b/>
                        </w:rPr>
                        <w:fldChar w:fldCharType="separate"/>
                      </w:r>
                      <w:r>
                        <w:rPr>
                          <w:b/>
                          <w:noProof/>
                        </w:rPr>
                        <w:t>16</w:t>
                      </w:r>
                      <w:r>
                        <w:rPr>
                          <w:b/>
                        </w:rPr>
                        <w:fldChar w:fldCharType="end"/>
                      </w:r>
                      <w:bookmarkEnd w:id="274"/>
                      <w:r>
                        <w:t xml:space="preserve"> Life cycle GHG emissions of gas turbine at various partial loadings.</w:t>
                      </w:r>
                    </w:p>
                  </w:txbxContent>
                </v:textbox>
                <w10:wrap type="topAndBottom"/>
              </v:shape>
            </w:pict>
          </mc:Fallback>
        </mc:AlternateContent>
      </w:r>
      <w:r w:rsidR="008F720A">
        <w:rPr>
          <w:noProof/>
        </w:rPr>
        <w:drawing>
          <wp:anchor distT="0" distB="0" distL="114300" distR="114300" simplePos="0" relativeHeight="251671552" behindDoc="0" locked="0" layoutInCell="1" allowOverlap="1" wp14:anchorId="0EC5ACD4" wp14:editId="7DD826D9">
            <wp:simplePos x="0" y="0"/>
            <wp:positionH relativeFrom="column">
              <wp:posOffset>691515</wp:posOffset>
            </wp:positionH>
            <wp:positionV relativeFrom="paragraph">
              <wp:posOffset>177938</wp:posOffset>
            </wp:positionV>
            <wp:extent cx="4593590" cy="2743200"/>
            <wp:effectExtent l="0" t="0" r="16510" b="0"/>
            <wp:wrapTopAndBottom/>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7C3D5200" w14:textId="6BB621DF" w:rsidR="00EC27C1" w:rsidRDefault="008F720A" w:rsidP="003320AE">
      <w:r>
        <w:t xml:space="preserve">To study the effect of </w:t>
      </w:r>
      <w:r w:rsidRPr="001E01D7">
        <w:rPr>
          <w:highlight w:val="yellow"/>
          <w:rPrChange w:id="275" w:author="t_ghosh" w:date="2019-08-30T13:14:00Z">
            <w:rPr/>
          </w:rPrChange>
        </w:rPr>
        <w:t>partial load operation of power plants</w:t>
      </w:r>
      <w:r>
        <w:t xml:space="preserve">, which is increasingly relevant </w:t>
      </w:r>
      <w:r w:rsidRPr="001E01D7">
        <w:rPr>
          <w:highlight w:val="yellow"/>
          <w:rPrChange w:id="276" w:author="t_ghosh" w:date="2019-08-30T13:14:00Z">
            <w:rPr/>
          </w:rPrChange>
        </w:rPr>
        <w:t>for a renewable</w:t>
      </w:r>
      <w:r w:rsidR="00FC770C">
        <w:t>-</w:t>
      </w:r>
      <w:r w:rsidRPr="001E01D7">
        <w:rPr>
          <w:highlight w:val="yellow"/>
          <w:rPrChange w:id="277" w:author="t_ghosh" w:date="2019-08-30T13:14:00Z">
            <w:rPr/>
          </w:rPrChange>
        </w:rPr>
        <w:t>heavy power grid</w:t>
      </w:r>
      <w:r>
        <w:t xml:space="preserve">, we </w:t>
      </w:r>
      <w:r w:rsidRPr="00250422">
        <w:t xml:space="preserve">have </w:t>
      </w:r>
      <w:r w:rsidRPr="001E01D7">
        <w:rPr>
          <w:highlight w:val="yellow"/>
          <w:rPrChange w:id="278" w:author="t_ghosh" w:date="2019-08-30T13:14:00Z">
            <w:rPr/>
          </w:rPrChange>
        </w:rPr>
        <w:t>developed Aspen Plus process simulations.</w:t>
      </w:r>
      <w:r w:rsidRPr="00250422">
        <w:t xml:space="preserve"> Life cycle GHG emissions of </w:t>
      </w:r>
      <w:r w:rsidR="00FC770C">
        <w:t xml:space="preserve">a </w:t>
      </w:r>
      <w:r w:rsidRPr="00250422">
        <w:t>GE7251 gas turbine</w:t>
      </w:r>
      <w:r>
        <w:t xml:space="preserve"> under 40% to 100%</w:t>
      </w:r>
      <w:r w:rsidRPr="00250422">
        <w:t xml:space="preserve"> </w:t>
      </w:r>
      <w:r>
        <w:t>loading is shown in</w:t>
      </w:r>
      <w:r w:rsidRPr="00250422">
        <w:t xml:space="preserve"> </w:t>
      </w:r>
      <w:r w:rsidRPr="00250422">
        <w:fldChar w:fldCharType="begin"/>
      </w:r>
      <w:r w:rsidRPr="00250422">
        <w:instrText xml:space="preserve"> REF _Ref15566161 \h  \* MERGEFORMAT </w:instrText>
      </w:r>
      <w:r w:rsidRPr="00250422">
        <w:fldChar w:fldCharType="separate"/>
      </w:r>
      <w:r w:rsidRPr="00250422">
        <w:t xml:space="preserve">Figure </w:t>
      </w:r>
      <w:r w:rsidRPr="00250422">
        <w:rPr>
          <w:noProof/>
        </w:rPr>
        <w:t>1</w:t>
      </w:r>
      <w:r w:rsidRPr="00250422">
        <w:fldChar w:fldCharType="end"/>
      </w:r>
      <w:r w:rsidR="00FC770C">
        <w:t>6</w:t>
      </w:r>
      <w:r w:rsidRPr="00250422">
        <w:t>.</w:t>
      </w:r>
      <w:r>
        <w:t xml:space="preserve"> The sensitivity is performed for a shale gas case. The emission intensity increases by </w:t>
      </w:r>
      <w:r w:rsidRPr="00B47FFA">
        <w:rPr>
          <w:highlight w:val="yellow"/>
          <w:rPrChange w:id="279" w:author="t_ghosh" w:date="2019-08-30T13:14:00Z">
            <w:rPr/>
          </w:rPrChange>
        </w:rPr>
        <w:t xml:space="preserve">almost 47% when the same unit </w:t>
      </w:r>
      <w:r w:rsidR="00FC770C" w:rsidRPr="00B47FFA">
        <w:rPr>
          <w:highlight w:val="yellow"/>
          <w:rPrChange w:id="280" w:author="t_ghosh" w:date="2019-08-30T13:14:00Z">
            <w:rPr/>
          </w:rPrChange>
        </w:rPr>
        <w:t xml:space="preserve">is </w:t>
      </w:r>
      <w:r w:rsidRPr="00B47FFA">
        <w:rPr>
          <w:highlight w:val="yellow"/>
          <w:rPrChange w:id="281" w:author="t_ghosh" w:date="2019-08-30T13:14:00Z">
            <w:rPr/>
          </w:rPrChange>
        </w:rPr>
        <w:t>turn</w:t>
      </w:r>
      <w:r w:rsidR="00FC770C" w:rsidRPr="00B47FFA">
        <w:rPr>
          <w:highlight w:val="yellow"/>
          <w:rPrChange w:id="282" w:author="t_ghosh" w:date="2019-08-30T13:14:00Z">
            <w:rPr/>
          </w:rPrChange>
        </w:rPr>
        <w:t>ed</w:t>
      </w:r>
      <w:r w:rsidRPr="00B47FFA">
        <w:rPr>
          <w:highlight w:val="yellow"/>
          <w:rPrChange w:id="283" w:author="t_ghosh" w:date="2019-08-30T13:14:00Z">
            <w:rPr/>
          </w:rPrChange>
        </w:rPr>
        <w:t xml:space="preserve"> down to 40</w:t>
      </w:r>
      <w:r>
        <w:t xml:space="preserve">% of its nameplate generation capacity. For a combined cycle </w:t>
      </w:r>
      <w:proofErr w:type="gramStart"/>
      <w:r>
        <w:t>unit</w:t>
      </w:r>
      <w:proofErr w:type="gramEnd"/>
      <w:r>
        <w:t xml:space="preserve"> the emission</w:t>
      </w:r>
      <w:r w:rsidR="00FC770C">
        <w:t>s</w:t>
      </w:r>
      <w:r>
        <w:t xml:space="preserve"> intensity increase is </w:t>
      </w:r>
      <w:r>
        <w:lastRenderedPageBreak/>
        <w:t>approximatel</w:t>
      </w:r>
      <w:r w:rsidR="003320AE">
        <w:t xml:space="preserve">y </w:t>
      </w:r>
      <w:r w:rsidR="003320AE" w:rsidRPr="00B47FFA">
        <w:rPr>
          <w:highlight w:val="yellow"/>
          <w:rPrChange w:id="284" w:author="t_ghosh" w:date="2019-08-30T13:14:00Z">
            <w:rPr/>
          </w:rPrChange>
        </w:rPr>
        <w:t xml:space="preserve">15% shown in </w:t>
      </w:r>
      <w:r w:rsidR="003320AE" w:rsidRPr="00B47FFA">
        <w:rPr>
          <w:highlight w:val="yellow"/>
          <w:rPrChange w:id="285" w:author="t_ghosh" w:date="2019-08-30T13:14:00Z">
            <w:rPr/>
          </w:rPrChange>
        </w:rPr>
        <w:fldChar w:fldCharType="begin"/>
      </w:r>
      <w:r w:rsidR="003320AE" w:rsidRPr="00B47FFA">
        <w:rPr>
          <w:highlight w:val="yellow"/>
          <w:rPrChange w:id="286" w:author="t_ghosh" w:date="2019-08-30T13:14:00Z">
            <w:rPr/>
          </w:rPrChange>
        </w:rPr>
        <w:instrText xml:space="preserve"> REF _Ref15567426 \h </w:instrText>
      </w:r>
      <w:r w:rsidR="003320AE" w:rsidRPr="00B47FFA">
        <w:rPr>
          <w:highlight w:val="yellow"/>
          <w:rPrChange w:id="287" w:author="t_ghosh" w:date="2019-08-30T13:14:00Z">
            <w:rPr/>
          </w:rPrChange>
        </w:rPr>
      </w:r>
      <w:r w:rsidR="00B47FFA">
        <w:rPr>
          <w:highlight w:val="yellow"/>
        </w:rPr>
        <w:instrText xml:space="preserve"> \* MERGEFORMAT </w:instrText>
      </w:r>
      <w:r w:rsidR="003320AE" w:rsidRPr="00B47FFA">
        <w:rPr>
          <w:highlight w:val="yellow"/>
          <w:rPrChange w:id="288" w:author="t_ghosh" w:date="2019-08-30T13:14:00Z">
            <w:rPr/>
          </w:rPrChange>
        </w:rPr>
        <w:fldChar w:fldCharType="separate"/>
      </w:r>
      <w:r w:rsidR="003320AE" w:rsidRPr="00B47FFA">
        <w:rPr>
          <w:highlight w:val="yellow"/>
          <w:rPrChange w:id="289" w:author="t_ghosh" w:date="2019-08-30T13:14:00Z">
            <w:rPr/>
          </w:rPrChange>
        </w:rPr>
        <w:t xml:space="preserve">Figure </w:t>
      </w:r>
      <w:r w:rsidR="003320AE" w:rsidRPr="00B47FFA">
        <w:rPr>
          <w:noProof/>
          <w:highlight w:val="yellow"/>
          <w:rPrChange w:id="290" w:author="t_ghosh" w:date="2019-08-30T13:14:00Z">
            <w:rPr>
              <w:noProof/>
            </w:rPr>
          </w:rPrChange>
        </w:rPr>
        <w:t>1</w:t>
      </w:r>
      <w:r w:rsidR="00FC770C" w:rsidRPr="00B47FFA">
        <w:rPr>
          <w:noProof/>
          <w:highlight w:val="yellow"/>
          <w:rPrChange w:id="291" w:author="t_ghosh" w:date="2019-08-30T13:14:00Z">
            <w:rPr>
              <w:noProof/>
            </w:rPr>
          </w:rPrChange>
        </w:rPr>
        <w:t>7</w:t>
      </w:r>
      <w:r w:rsidR="003320AE" w:rsidRPr="00B47FFA">
        <w:rPr>
          <w:highlight w:val="yellow"/>
          <w:rPrChange w:id="292" w:author="t_ghosh" w:date="2019-08-30T13:14:00Z">
            <w:rPr/>
          </w:rPrChange>
        </w:rPr>
        <w:fldChar w:fldCharType="end"/>
      </w:r>
      <w:r w:rsidR="003320AE" w:rsidRPr="00B47FFA">
        <w:rPr>
          <w:highlight w:val="yellow"/>
          <w:rPrChange w:id="293" w:author="t_ghosh" w:date="2019-08-30T13:14:00Z">
            <w:rPr/>
          </w:rPrChange>
        </w:rPr>
        <w:t xml:space="preserve"> and </w:t>
      </w:r>
      <w:r w:rsidR="003320AE" w:rsidRPr="00B47FFA">
        <w:rPr>
          <w:highlight w:val="yellow"/>
          <w:rPrChange w:id="294" w:author="t_ghosh" w:date="2019-08-30T13:14:00Z">
            <w:rPr/>
          </w:rPrChange>
        </w:rPr>
        <w:fldChar w:fldCharType="begin"/>
      </w:r>
      <w:r w:rsidR="003320AE" w:rsidRPr="00B47FFA">
        <w:rPr>
          <w:highlight w:val="yellow"/>
          <w:rPrChange w:id="295" w:author="t_ghosh" w:date="2019-08-30T13:14:00Z">
            <w:rPr/>
          </w:rPrChange>
        </w:rPr>
        <w:instrText xml:space="preserve"> REF _Ref15572512 \h </w:instrText>
      </w:r>
      <w:r w:rsidR="003320AE" w:rsidRPr="00B47FFA">
        <w:rPr>
          <w:highlight w:val="yellow"/>
          <w:rPrChange w:id="296" w:author="t_ghosh" w:date="2019-08-30T13:14:00Z">
            <w:rPr/>
          </w:rPrChange>
        </w:rPr>
      </w:r>
      <w:r w:rsidR="00B47FFA">
        <w:rPr>
          <w:highlight w:val="yellow"/>
        </w:rPr>
        <w:instrText xml:space="preserve"> \* MERGEFORMAT </w:instrText>
      </w:r>
      <w:r w:rsidR="003320AE" w:rsidRPr="00B47FFA">
        <w:rPr>
          <w:highlight w:val="yellow"/>
          <w:rPrChange w:id="297" w:author="t_ghosh" w:date="2019-08-30T13:14:00Z">
            <w:rPr/>
          </w:rPrChange>
        </w:rPr>
        <w:fldChar w:fldCharType="separate"/>
      </w:r>
      <w:r w:rsidR="003320AE" w:rsidRPr="00B47FFA">
        <w:rPr>
          <w:highlight w:val="yellow"/>
          <w:rPrChange w:id="298" w:author="t_ghosh" w:date="2019-08-30T13:14:00Z">
            <w:rPr/>
          </w:rPrChange>
        </w:rPr>
        <w:t xml:space="preserve">Table </w:t>
      </w:r>
      <w:r w:rsidR="003320AE" w:rsidRPr="00B47FFA">
        <w:rPr>
          <w:noProof/>
          <w:highlight w:val="yellow"/>
          <w:rPrChange w:id="299" w:author="t_ghosh" w:date="2019-08-30T13:14:00Z">
            <w:rPr>
              <w:noProof/>
            </w:rPr>
          </w:rPrChange>
        </w:rPr>
        <w:t>4</w:t>
      </w:r>
      <w:r w:rsidR="003320AE" w:rsidRPr="00B47FFA">
        <w:rPr>
          <w:highlight w:val="yellow"/>
          <w:rPrChange w:id="300" w:author="t_ghosh" w:date="2019-08-30T13:14:00Z">
            <w:rPr/>
          </w:rPrChange>
        </w:rPr>
        <w:fldChar w:fldCharType="end"/>
      </w:r>
      <w:r>
        <w:t xml:space="preserve">. Though combined cycle units are less sensitive to the partial load operation, the emission intensity increase (efficiency drop) is </w:t>
      </w:r>
      <w:r w:rsidR="003E2E38">
        <w:t>not</w:t>
      </w:r>
      <w:r>
        <w:t xml:space="preserve"> </w:t>
      </w:r>
      <w:r w:rsidR="003E2E38">
        <w:t>in</w:t>
      </w:r>
      <w:r>
        <w:t>significant.</w:t>
      </w:r>
    </w:p>
    <w:p w14:paraId="577FB200" w14:textId="6E16A7BF" w:rsidR="00FA5CB3" w:rsidRDefault="00FA5CB3" w:rsidP="00FA5CB3">
      <w:pPr>
        <w:pStyle w:val="Caption"/>
        <w:keepNext/>
      </w:pPr>
      <w:r w:rsidRPr="00FA5CB3">
        <w:rPr>
          <w:b/>
        </w:rPr>
        <w:t xml:space="preserve">Table </w:t>
      </w:r>
      <w:r w:rsidRPr="00FA5CB3">
        <w:rPr>
          <w:b/>
        </w:rPr>
        <w:fldChar w:fldCharType="begin"/>
      </w:r>
      <w:r w:rsidRPr="00FA5CB3">
        <w:rPr>
          <w:b/>
        </w:rPr>
        <w:instrText xml:space="preserve"> SEQ Table \* ARABIC </w:instrText>
      </w:r>
      <w:r w:rsidRPr="00FA5CB3">
        <w:rPr>
          <w:b/>
        </w:rPr>
        <w:fldChar w:fldCharType="separate"/>
      </w:r>
      <w:r w:rsidR="00DC321F">
        <w:rPr>
          <w:b/>
          <w:noProof/>
        </w:rPr>
        <w:t>3</w:t>
      </w:r>
      <w:r w:rsidRPr="00FA5CB3">
        <w:rPr>
          <w:b/>
        </w:rPr>
        <w:fldChar w:fldCharType="end"/>
      </w:r>
      <w:r>
        <w:t xml:space="preserve"> Life stage components of power generation pathways shown in Figure 1</w:t>
      </w:r>
      <w:r w:rsidR="00FC770C">
        <w:t>6</w:t>
      </w:r>
      <w:r>
        <w:t>.</w:t>
      </w:r>
    </w:p>
    <w:tbl>
      <w:tblPr>
        <w:tblW w:w="9359" w:type="dxa"/>
        <w:jc w:val="center"/>
        <w:tblBorders>
          <w:bottom w:val="single" w:sz="4" w:space="0" w:color="auto"/>
          <w:insideH w:val="single" w:sz="4" w:space="0" w:color="auto"/>
        </w:tblBorders>
        <w:tblLook w:val="04A0" w:firstRow="1" w:lastRow="0" w:firstColumn="1" w:lastColumn="0" w:noHBand="0" w:noVBand="1"/>
      </w:tblPr>
      <w:tblGrid>
        <w:gridCol w:w="960"/>
        <w:gridCol w:w="1920"/>
        <w:gridCol w:w="1217"/>
        <w:gridCol w:w="2167"/>
        <w:gridCol w:w="783"/>
        <w:gridCol w:w="1217"/>
        <w:gridCol w:w="1095"/>
      </w:tblGrid>
      <w:tr w:rsidR="00FA5CB3" w:rsidRPr="00FA5CB3" w14:paraId="22E2E9E5" w14:textId="77777777" w:rsidTr="00FA5CB3">
        <w:trPr>
          <w:trHeight w:val="300"/>
          <w:jc w:val="center"/>
        </w:trPr>
        <w:tc>
          <w:tcPr>
            <w:tcW w:w="960" w:type="dxa"/>
            <w:shd w:val="clear" w:color="auto" w:fill="auto"/>
            <w:noWrap/>
            <w:vAlign w:val="bottom"/>
            <w:hideMark/>
          </w:tcPr>
          <w:p w14:paraId="58DC8855" w14:textId="77777777" w:rsidR="00FA5CB3" w:rsidRPr="003B0AAD" w:rsidRDefault="00FA5CB3" w:rsidP="00FA5CB3">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Case</w:t>
            </w:r>
          </w:p>
        </w:tc>
        <w:tc>
          <w:tcPr>
            <w:tcW w:w="1920" w:type="dxa"/>
            <w:shd w:val="clear" w:color="auto" w:fill="auto"/>
            <w:noWrap/>
            <w:vAlign w:val="bottom"/>
            <w:hideMark/>
          </w:tcPr>
          <w:p w14:paraId="1F671905" w14:textId="77777777" w:rsidR="00FA5CB3" w:rsidRPr="003B0AAD" w:rsidRDefault="00FA5CB3" w:rsidP="00FA5CB3">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Upstream</w:t>
            </w:r>
          </w:p>
        </w:tc>
        <w:tc>
          <w:tcPr>
            <w:tcW w:w="1217" w:type="dxa"/>
            <w:shd w:val="clear" w:color="auto" w:fill="auto"/>
            <w:noWrap/>
            <w:vAlign w:val="bottom"/>
            <w:hideMark/>
          </w:tcPr>
          <w:p w14:paraId="51379D1F" w14:textId="77777777" w:rsidR="00FA5CB3" w:rsidRPr="003B0AAD" w:rsidRDefault="00FA5CB3" w:rsidP="00FA5CB3">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Midstream</w:t>
            </w:r>
          </w:p>
        </w:tc>
        <w:tc>
          <w:tcPr>
            <w:tcW w:w="2167" w:type="dxa"/>
            <w:shd w:val="clear" w:color="auto" w:fill="auto"/>
            <w:noWrap/>
            <w:vAlign w:val="bottom"/>
            <w:hideMark/>
          </w:tcPr>
          <w:p w14:paraId="5D9392F7" w14:textId="77777777" w:rsidR="00FA5CB3" w:rsidRPr="003B0AAD" w:rsidRDefault="00FA5CB3" w:rsidP="00FA5CB3">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Process</w:t>
            </w:r>
          </w:p>
        </w:tc>
        <w:tc>
          <w:tcPr>
            <w:tcW w:w="783" w:type="dxa"/>
            <w:shd w:val="clear" w:color="auto" w:fill="auto"/>
            <w:noWrap/>
            <w:vAlign w:val="bottom"/>
            <w:hideMark/>
          </w:tcPr>
          <w:p w14:paraId="0179EC5E" w14:textId="77777777" w:rsidR="00FA5CB3" w:rsidRPr="003B0AAD" w:rsidRDefault="00FA5CB3" w:rsidP="00FA5CB3">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CCUS</w:t>
            </w:r>
          </w:p>
        </w:tc>
        <w:tc>
          <w:tcPr>
            <w:tcW w:w="1217" w:type="dxa"/>
            <w:shd w:val="clear" w:color="auto" w:fill="auto"/>
            <w:noWrap/>
            <w:vAlign w:val="bottom"/>
            <w:hideMark/>
          </w:tcPr>
          <w:p w14:paraId="3D6D956F" w14:textId="77777777" w:rsidR="00FA5CB3" w:rsidRPr="003B0AAD" w:rsidRDefault="00FA5CB3" w:rsidP="00FA5CB3">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Gate to user</w:t>
            </w:r>
          </w:p>
        </w:tc>
        <w:tc>
          <w:tcPr>
            <w:tcW w:w="1095" w:type="dxa"/>
            <w:shd w:val="clear" w:color="auto" w:fill="auto"/>
            <w:noWrap/>
            <w:vAlign w:val="bottom"/>
            <w:hideMark/>
          </w:tcPr>
          <w:p w14:paraId="300AA183" w14:textId="77777777" w:rsidR="00FA5CB3" w:rsidRPr="003B0AAD" w:rsidRDefault="00FA5CB3" w:rsidP="00FA5CB3">
            <w:pPr>
              <w:spacing w:after="0" w:line="240" w:lineRule="auto"/>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End use</w:t>
            </w:r>
          </w:p>
        </w:tc>
      </w:tr>
      <w:tr w:rsidR="00FA5CB3" w:rsidRPr="00FA5CB3" w14:paraId="50EA599F" w14:textId="77777777" w:rsidTr="00FA5CB3">
        <w:trPr>
          <w:trHeight w:val="300"/>
          <w:jc w:val="center"/>
        </w:trPr>
        <w:tc>
          <w:tcPr>
            <w:tcW w:w="960" w:type="dxa"/>
            <w:shd w:val="clear" w:color="auto" w:fill="auto"/>
            <w:noWrap/>
            <w:vAlign w:val="bottom"/>
            <w:hideMark/>
          </w:tcPr>
          <w:p w14:paraId="7633BEB8" w14:textId="77777777" w:rsidR="00FA5CB3" w:rsidRPr="00FA5CB3" w:rsidRDefault="00FA5CB3" w:rsidP="00FA5CB3">
            <w:pPr>
              <w:spacing w:after="0" w:line="240" w:lineRule="auto"/>
              <w:jc w:val="right"/>
              <w:rPr>
                <w:rFonts w:ascii="Arial" w:eastAsia="Times New Roman" w:hAnsi="Arial" w:cs="Arial"/>
                <w:color w:val="000000"/>
                <w:sz w:val="20"/>
                <w:szCs w:val="20"/>
              </w:rPr>
            </w:pPr>
            <w:r w:rsidRPr="00FA5CB3">
              <w:rPr>
                <w:rFonts w:ascii="Arial" w:eastAsia="Times New Roman" w:hAnsi="Arial" w:cs="Arial"/>
                <w:color w:val="000000"/>
                <w:sz w:val="20"/>
                <w:szCs w:val="20"/>
              </w:rPr>
              <w:t>1</w:t>
            </w:r>
          </w:p>
        </w:tc>
        <w:tc>
          <w:tcPr>
            <w:tcW w:w="1920" w:type="dxa"/>
            <w:shd w:val="clear" w:color="auto" w:fill="auto"/>
            <w:noWrap/>
            <w:vAlign w:val="bottom"/>
            <w:hideMark/>
          </w:tcPr>
          <w:p w14:paraId="3A289274"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NG - Conventional</w:t>
            </w:r>
          </w:p>
        </w:tc>
        <w:tc>
          <w:tcPr>
            <w:tcW w:w="1217" w:type="dxa"/>
            <w:shd w:val="clear" w:color="auto" w:fill="auto"/>
            <w:noWrap/>
            <w:vAlign w:val="bottom"/>
            <w:hideMark/>
          </w:tcPr>
          <w:p w14:paraId="41873E7D"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Default</w:t>
            </w:r>
          </w:p>
        </w:tc>
        <w:tc>
          <w:tcPr>
            <w:tcW w:w="2167" w:type="dxa"/>
            <w:shd w:val="clear" w:color="auto" w:fill="auto"/>
            <w:noWrap/>
            <w:vAlign w:val="bottom"/>
            <w:hideMark/>
          </w:tcPr>
          <w:p w14:paraId="7C750CC9"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Pow-GT-GE7251</w:t>
            </w:r>
          </w:p>
        </w:tc>
        <w:tc>
          <w:tcPr>
            <w:tcW w:w="783" w:type="dxa"/>
            <w:shd w:val="clear" w:color="auto" w:fill="auto"/>
            <w:noWrap/>
            <w:vAlign w:val="bottom"/>
            <w:hideMark/>
          </w:tcPr>
          <w:p w14:paraId="317870E2"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No</w:t>
            </w:r>
          </w:p>
        </w:tc>
        <w:tc>
          <w:tcPr>
            <w:tcW w:w="1217" w:type="dxa"/>
            <w:shd w:val="clear" w:color="auto" w:fill="auto"/>
            <w:noWrap/>
            <w:vAlign w:val="bottom"/>
            <w:hideMark/>
          </w:tcPr>
          <w:p w14:paraId="748F5D4C"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Power </w:t>
            </w:r>
            <w:proofErr w:type="spellStart"/>
            <w:r w:rsidRPr="00FA5CB3">
              <w:rPr>
                <w:rFonts w:ascii="Arial" w:eastAsia="Times New Roman" w:hAnsi="Arial" w:cs="Arial"/>
                <w:color w:val="000000"/>
                <w:sz w:val="20"/>
                <w:szCs w:val="20"/>
              </w:rPr>
              <w:t>dist</w:t>
            </w:r>
            <w:proofErr w:type="spellEnd"/>
          </w:p>
        </w:tc>
        <w:tc>
          <w:tcPr>
            <w:tcW w:w="1095" w:type="dxa"/>
            <w:shd w:val="clear" w:color="auto" w:fill="auto"/>
            <w:noWrap/>
            <w:vAlign w:val="bottom"/>
            <w:hideMark/>
          </w:tcPr>
          <w:p w14:paraId="3AFB2C96"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Electricity</w:t>
            </w:r>
          </w:p>
        </w:tc>
      </w:tr>
      <w:tr w:rsidR="00FA5CB3" w:rsidRPr="00FA5CB3" w14:paraId="0ABB50D1" w14:textId="77777777" w:rsidTr="00FA5CB3">
        <w:trPr>
          <w:trHeight w:val="300"/>
          <w:jc w:val="center"/>
        </w:trPr>
        <w:tc>
          <w:tcPr>
            <w:tcW w:w="960" w:type="dxa"/>
            <w:shd w:val="clear" w:color="auto" w:fill="auto"/>
            <w:noWrap/>
            <w:vAlign w:val="bottom"/>
            <w:hideMark/>
          </w:tcPr>
          <w:p w14:paraId="497D0E84" w14:textId="77777777" w:rsidR="00FA5CB3" w:rsidRPr="00FA5CB3" w:rsidRDefault="00FA5CB3" w:rsidP="00FA5CB3">
            <w:pPr>
              <w:spacing w:after="0" w:line="240" w:lineRule="auto"/>
              <w:jc w:val="right"/>
              <w:rPr>
                <w:rFonts w:ascii="Arial" w:eastAsia="Times New Roman" w:hAnsi="Arial" w:cs="Arial"/>
                <w:color w:val="000000"/>
                <w:sz w:val="20"/>
                <w:szCs w:val="20"/>
              </w:rPr>
            </w:pPr>
            <w:r w:rsidRPr="00FA5CB3">
              <w:rPr>
                <w:rFonts w:ascii="Arial" w:eastAsia="Times New Roman" w:hAnsi="Arial" w:cs="Arial"/>
                <w:color w:val="000000"/>
                <w:sz w:val="20"/>
                <w:szCs w:val="20"/>
              </w:rPr>
              <w:t>2</w:t>
            </w:r>
          </w:p>
        </w:tc>
        <w:tc>
          <w:tcPr>
            <w:tcW w:w="1920" w:type="dxa"/>
            <w:shd w:val="clear" w:color="auto" w:fill="auto"/>
            <w:noWrap/>
            <w:vAlign w:val="bottom"/>
            <w:hideMark/>
          </w:tcPr>
          <w:p w14:paraId="5DA2AB0E"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NG - </w:t>
            </w:r>
            <w:proofErr w:type="spellStart"/>
            <w:r w:rsidRPr="00FA5CB3">
              <w:rPr>
                <w:rFonts w:ascii="Arial" w:eastAsia="Times New Roman" w:hAnsi="Arial" w:cs="Arial"/>
                <w:color w:val="000000"/>
                <w:sz w:val="20"/>
                <w:szCs w:val="20"/>
              </w:rPr>
              <w:t>ShaleGas</w:t>
            </w:r>
            <w:proofErr w:type="spellEnd"/>
          </w:p>
        </w:tc>
        <w:tc>
          <w:tcPr>
            <w:tcW w:w="1217" w:type="dxa"/>
            <w:shd w:val="clear" w:color="auto" w:fill="auto"/>
            <w:noWrap/>
            <w:vAlign w:val="bottom"/>
            <w:hideMark/>
          </w:tcPr>
          <w:p w14:paraId="44890E67"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Default</w:t>
            </w:r>
          </w:p>
        </w:tc>
        <w:tc>
          <w:tcPr>
            <w:tcW w:w="2167" w:type="dxa"/>
            <w:shd w:val="clear" w:color="auto" w:fill="auto"/>
            <w:noWrap/>
            <w:vAlign w:val="bottom"/>
            <w:hideMark/>
          </w:tcPr>
          <w:p w14:paraId="58FA68D9"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Pow-GT-GE7251</w:t>
            </w:r>
          </w:p>
        </w:tc>
        <w:tc>
          <w:tcPr>
            <w:tcW w:w="783" w:type="dxa"/>
            <w:shd w:val="clear" w:color="auto" w:fill="auto"/>
            <w:noWrap/>
            <w:vAlign w:val="bottom"/>
            <w:hideMark/>
          </w:tcPr>
          <w:p w14:paraId="19952819"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No</w:t>
            </w:r>
          </w:p>
        </w:tc>
        <w:tc>
          <w:tcPr>
            <w:tcW w:w="1217" w:type="dxa"/>
            <w:shd w:val="clear" w:color="auto" w:fill="auto"/>
            <w:noWrap/>
            <w:vAlign w:val="bottom"/>
            <w:hideMark/>
          </w:tcPr>
          <w:p w14:paraId="0A3003B4"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Power </w:t>
            </w:r>
            <w:proofErr w:type="spellStart"/>
            <w:r w:rsidRPr="00FA5CB3">
              <w:rPr>
                <w:rFonts w:ascii="Arial" w:eastAsia="Times New Roman" w:hAnsi="Arial" w:cs="Arial"/>
                <w:color w:val="000000"/>
                <w:sz w:val="20"/>
                <w:szCs w:val="20"/>
              </w:rPr>
              <w:t>dist</w:t>
            </w:r>
            <w:proofErr w:type="spellEnd"/>
          </w:p>
        </w:tc>
        <w:tc>
          <w:tcPr>
            <w:tcW w:w="1095" w:type="dxa"/>
            <w:shd w:val="clear" w:color="auto" w:fill="auto"/>
            <w:noWrap/>
            <w:vAlign w:val="bottom"/>
            <w:hideMark/>
          </w:tcPr>
          <w:p w14:paraId="6F0AC1D7"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Electricity</w:t>
            </w:r>
          </w:p>
        </w:tc>
      </w:tr>
      <w:tr w:rsidR="00FA5CB3" w:rsidRPr="00FA5CB3" w14:paraId="7AE02DEB" w14:textId="77777777" w:rsidTr="00FA5CB3">
        <w:trPr>
          <w:trHeight w:val="300"/>
          <w:jc w:val="center"/>
        </w:trPr>
        <w:tc>
          <w:tcPr>
            <w:tcW w:w="960" w:type="dxa"/>
            <w:shd w:val="clear" w:color="auto" w:fill="auto"/>
            <w:noWrap/>
            <w:vAlign w:val="bottom"/>
            <w:hideMark/>
          </w:tcPr>
          <w:p w14:paraId="4F181134" w14:textId="77777777" w:rsidR="00FA5CB3" w:rsidRPr="00FA5CB3" w:rsidRDefault="00FA5CB3" w:rsidP="00FA5CB3">
            <w:pPr>
              <w:spacing w:after="0" w:line="240" w:lineRule="auto"/>
              <w:jc w:val="right"/>
              <w:rPr>
                <w:rFonts w:ascii="Arial" w:eastAsia="Times New Roman" w:hAnsi="Arial" w:cs="Arial"/>
                <w:color w:val="000000"/>
                <w:sz w:val="20"/>
                <w:szCs w:val="20"/>
              </w:rPr>
            </w:pPr>
            <w:r w:rsidRPr="00FA5CB3">
              <w:rPr>
                <w:rFonts w:ascii="Arial" w:eastAsia="Times New Roman" w:hAnsi="Arial" w:cs="Arial"/>
                <w:color w:val="000000"/>
                <w:sz w:val="20"/>
                <w:szCs w:val="20"/>
              </w:rPr>
              <w:t>3</w:t>
            </w:r>
          </w:p>
        </w:tc>
        <w:tc>
          <w:tcPr>
            <w:tcW w:w="1920" w:type="dxa"/>
            <w:shd w:val="clear" w:color="auto" w:fill="auto"/>
            <w:noWrap/>
            <w:vAlign w:val="bottom"/>
            <w:hideMark/>
          </w:tcPr>
          <w:p w14:paraId="6958E954"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NG - </w:t>
            </w:r>
            <w:proofErr w:type="spellStart"/>
            <w:r w:rsidRPr="00FA5CB3">
              <w:rPr>
                <w:rFonts w:ascii="Arial" w:eastAsia="Times New Roman" w:hAnsi="Arial" w:cs="Arial"/>
                <w:color w:val="000000"/>
                <w:sz w:val="20"/>
                <w:szCs w:val="20"/>
              </w:rPr>
              <w:t>ShaleGas</w:t>
            </w:r>
            <w:proofErr w:type="spellEnd"/>
          </w:p>
        </w:tc>
        <w:tc>
          <w:tcPr>
            <w:tcW w:w="1217" w:type="dxa"/>
            <w:shd w:val="clear" w:color="auto" w:fill="auto"/>
            <w:noWrap/>
            <w:vAlign w:val="bottom"/>
            <w:hideMark/>
          </w:tcPr>
          <w:p w14:paraId="12FC3BDF"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Default</w:t>
            </w:r>
          </w:p>
        </w:tc>
        <w:tc>
          <w:tcPr>
            <w:tcW w:w="2167" w:type="dxa"/>
            <w:shd w:val="clear" w:color="auto" w:fill="auto"/>
            <w:noWrap/>
            <w:vAlign w:val="bottom"/>
            <w:hideMark/>
          </w:tcPr>
          <w:p w14:paraId="71919341"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Pow-GT-GE7251-0.9</w:t>
            </w:r>
          </w:p>
        </w:tc>
        <w:tc>
          <w:tcPr>
            <w:tcW w:w="783" w:type="dxa"/>
            <w:shd w:val="clear" w:color="auto" w:fill="auto"/>
            <w:noWrap/>
            <w:vAlign w:val="bottom"/>
            <w:hideMark/>
          </w:tcPr>
          <w:p w14:paraId="78CB1C1F"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No</w:t>
            </w:r>
          </w:p>
        </w:tc>
        <w:tc>
          <w:tcPr>
            <w:tcW w:w="1217" w:type="dxa"/>
            <w:shd w:val="clear" w:color="auto" w:fill="auto"/>
            <w:noWrap/>
            <w:vAlign w:val="bottom"/>
            <w:hideMark/>
          </w:tcPr>
          <w:p w14:paraId="2302C6AD"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Power </w:t>
            </w:r>
            <w:proofErr w:type="spellStart"/>
            <w:r w:rsidRPr="00FA5CB3">
              <w:rPr>
                <w:rFonts w:ascii="Arial" w:eastAsia="Times New Roman" w:hAnsi="Arial" w:cs="Arial"/>
                <w:color w:val="000000"/>
                <w:sz w:val="20"/>
                <w:szCs w:val="20"/>
              </w:rPr>
              <w:t>dist</w:t>
            </w:r>
            <w:proofErr w:type="spellEnd"/>
          </w:p>
        </w:tc>
        <w:tc>
          <w:tcPr>
            <w:tcW w:w="1095" w:type="dxa"/>
            <w:shd w:val="clear" w:color="auto" w:fill="auto"/>
            <w:noWrap/>
            <w:vAlign w:val="bottom"/>
            <w:hideMark/>
          </w:tcPr>
          <w:p w14:paraId="3C8CA69A"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Electricity</w:t>
            </w:r>
          </w:p>
        </w:tc>
      </w:tr>
      <w:tr w:rsidR="00FA5CB3" w:rsidRPr="00FA5CB3" w14:paraId="6AC81DAF" w14:textId="77777777" w:rsidTr="00FA5CB3">
        <w:trPr>
          <w:trHeight w:val="300"/>
          <w:jc w:val="center"/>
        </w:trPr>
        <w:tc>
          <w:tcPr>
            <w:tcW w:w="960" w:type="dxa"/>
            <w:shd w:val="clear" w:color="auto" w:fill="auto"/>
            <w:noWrap/>
            <w:vAlign w:val="bottom"/>
            <w:hideMark/>
          </w:tcPr>
          <w:p w14:paraId="054E979F" w14:textId="77777777" w:rsidR="00FA5CB3" w:rsidRPr="00FA5CB3" w:rsidRDefault="00FA5CB3" w:rsidP="00FA5CB3">
            <w:pPr>
              <w:spacing w:after="0" w:line="240" w:lineRule="auto"/>
              <w:jc w:val="right"/>
              <w:rPr>
                <w:rFonts w:ascii="Arial" w:eastAsia="Times New Roman" w:hAnsi="Arial" w:cs="Arial"/>
                <w:color w:val="000000"/>
                <w:sz w:val="20"/>
                <w:szCs w:val="20"/>
              </w:rPr>
            </w:pPr>
            <w:r w:rsidRPr="00FA5CB3">
              <w:rPr>
                <w:rFonts w:ascii="Arial" w:eastAsia="Times New Roman" w:hAnsi="Arial" w:cs="Arial"/>
                <w:color w:val="000000"/>
                <w:sz w:val="20"/>
                <w:szCs w:val="20"/>
              </w:rPr>
              <w:t>4</w:t>
            </w:r>
          </w:p>
        </w:tc>
        <w:tc>
          <w:tcPr>
            <w:tcW w:w="1920" w:type="dxa"/>
            <w:shd w:val="clear" w:color="auto" w:fill="auto"/>
            <w:noWrap/>
            <w:vAlign w:val="bottom"/>
            <w:hideMark/>
          </w:tcPr>
          <w:p w14:paraId="331B5CFE"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NG - </w:t>
            </w:r>
            <w:proofErr w:type="spellStart"/>
            <w:r w:rsidRPr="00FA5CB3">
              <w:rPr>
                <w:rFonts w:ascii="Arial" w:eastAsia="Times New Roman" w:hAnsi="Arial" w:cs="Arial"/>
                <w:color w:val="000000"/>
                <w:sz w:val="20"/>
                <w:szCs w:val="20"/>
              </w:rPr>
              <w:t>ShaleGas</w:t>
            </w:r>
            <w:proofErr w:type="spellEnd"/>
          </w:p>
        </w:tc>
        <w:tc>
          <w:tcPr>
            <w:tcW w:w="1217" w:type="dxa"/>
            <w:shd w:val="clear" w:color="auto" w:fill="auto"/>
            <w:noWrap/>
            <w:vAlign w:val="bottom"/>
            <w:hideMark/>
          </w:tcPr>
          <w:p w14:paraId="3BCB58E3"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Default</w:t>
            </w:r>
          </w:p>
        </w:tc>
        <w:tc>
          <w:tcPr>
            <w:tcW w:w="2167" w:type="dxa"/>
            <w:shd w:val="clear" w:color="auto" w:fill="auto"/>
            <w:noWrap/>
            <w:vAlign w:val="bottom"/>
            <w:hideMark/>
          </w:tcPr>
          <w:p w14:paraId="031DC36D"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Pow-GT-GE7251-0.8</w:t>
            </w:r>
          </w:p>
        </w:tc>
        <w:tc>
          <w:tcPr>
            <w:tcW w:w="783" w:type="dxa"/>
            <w:shd w:val="clear" w:color="auto" w:fill="auto"/>
            <w:noWrap/>
            <w:vAlign w:val="bottom"/>
            <w:hideMark/>
          </w:tcPr>
          <w:p w14:paraId="27DEE09A"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No</w:t>
            </w:r>
          </w:p>
        </w:tc>
        <w:tc>
          <w:tcPr>
            <w:tcW w:w="1217" w:type="dxa"/>
            <w:shd w:val="clear" w:color="auto" w:fill="auto"/>
            <w:noWrap/>
            <w:vAlign w:val="bottom"/>
            <w:hideMark/>
          </w:tcPr>
          <w:p w14:paraId="2C5B29AC"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Power </w:t>
            </w:r>
            <w:proofErr w:type="spellStart"/>
            <w:r w:rsidRPr="00FA5CB3">
              <w:rPr>
                <w:rFonts w:ascii="Arial" w:eastAsia="Times New Roman" w:hAnsi="Arial" w:cs="Arial"/>
                <w:color w:val="000000"/>
                <w:sz w:val="20"/>
                <w:szCs w:val="20"/>
              </w:rPr>
              <w:t>dist</w:t>
            </w:r>
            <w:proofErr w:type="spellEnd"/>
          </w:p>
        </w:tc>
        <w:tc>
          <w:tcPr>
            <w:tcW w:w="1095" w:type="dxa"/>
            <w:shd w:val="clear" w:color="auto" w:fill="auto"/>
            <w:noWrap/>
            <w:vAlign w:val="bottom"/>
            <w:hideMark/>
          </w:tcPr>
          <w:p w14:paraId="405A7F08"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Electricity</w:t>
            </w:r>
          </w:p>
        </w:tc>
      </w:tr>
      <w:tr w:rsidR="00FA5CB3" w:rsidRPr="00FA5CB3" w14:paraId="3F019B03" w14:textId="77777777" w:rsidTr="00FA5CB3">
        <w:trPr>
          <w:trHeight w:val="300"/>
          <w:jc w:val="center"/>
        </w:trPr>
        <w:tc>
          <w:tcPr>
            <w:tcW w:w="960" w:type="dxa"/>
            <w:shd w:val="clear" w:color="auto" w:fill="auto"/>
            <w:noWrap/>
            <w:vAlign w:val="bottom"/>
            <w:hideMark/>
          </w:tcPr>
          <w:p w14:paraId="1A27C33B" w14:textId="77777777" w:rsidR="00FA5CB3" w:rsidRPr="00FA5CB3" w:rsidRDefault="00FA5CB3" w:rsidP="00FA5CB3">
            <w:pPr>
              <w:spacing w:after="0" w:line="240" w:lineRule="auto"/>
              <w:jc w:val="right"/>
              <w:rPr>
                <w:rFonts w:ascii="Arial" w:eastAsia="Times New Roman" w:hAnsi="Arial" w:cs="Arial"/>
                <w:color w:val="000000"/>
                <w:sz w:val="20"/>
                <w:szCs w:val="20"/>
              </w:rPr>
            </w:pPr>
            <w:r w:rsidRPr="00FA5CB3">
              <w:rPr>
                <w:rFonts w:ascii="Arial" w:eastAsia="Times New Roman" w:hAnsi="Arial" w:cs="Arial"/>
                <w:color w:val="000000"/>
                <w:sz w:val="20"/>
                <w:szCs w:val="20"/>
              </w:rPr>
              <w:t>5</w:t>
            </w:r>
          </w:p>
        </w:tc>
        <w:tc>
          <w:tcPr>
            <w:tcW w:w="1920" w:type="dxa"/>
            <w:shd w:val="clear" w:color="auto" w:fill="auto"/>
            <w:noWrap/>
            <w:vAlign w:val="bottom"/>
            <w:hideMark/>
          </w:tcPr>
          <w:p w14:paraId="02795D45"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NG - </w:t>
            </w:r>
            <w:proofErr w:type="spellStart"/>
            <w:r w:rsidRPr="00FA5CB3">
              <w:rPr>
                <w:rFonts w:ascii="Arial" w:eastAsia="Times New Roman" w:hAnsi="Arial" w:cs="Arial"/>
                <w:color w:val="000000"/>
                <w:sz w:val="20"/>
                <w:szCs w:val="20"/>
              </w:rPr>
              <w:t>ShaleGas</w:t>
            </w:r>
            <w:proofErr w:type="spellEnd"/>
          </w:p>
        </w:tc>
        <w:tc>
          <w:tcPr>
            <w:tcW w:w="1217" w:type="dxa"/>
            <w:shd w:val="clear" w:color="auto" w:fill="auto"/>
            <w:noWrap/>
            <w:vAlign w:val="bottom"/>
            <w:hideMark/>
          </w:tcPr>
          <w:p w14:paraId="04FBC157"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Default</w:t>
            </w:r>
          </w:p>
        </w:tc>
        <w:tc>
          <w:tcPr>
            <w:tcW w:w="2167" w:type="dxa"/>
            <w:shd w:val="clear" w:color="auto" w:fill="auto"/>
            <w:noWrap/>
            <w:vAlign w:val="bottom"/>
            <w:hideMark/>
          </w:tcPr>
          <w:p w14:paraId="4934CC99"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Pow-GT-GE7251-0.7</w:t>
            </w:r>
          </w:p>
        </w:tc>
        <w:tc>
          <w:tcPr>
            <w:tcW w:w="783" w:type="dxa"/>
            <w:shd w:val="clear" w:color="auto" w:fill="auto"/>
            <w:noWrap/>
            <w:vAlign w:val="bottom"/>
            <w:hideMark/>
          </w:tcPr>
          <w:p w14:paraId="0999D794"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No</w:t>
            </w:r>
          </w:p>
        </w:tc>
        <w:tc>
          <w:tcPr>
            <w:tcW w:w="1217" w:type="dxa"/>
            <w:shd w:val="clear" w:color="auto" w:fill="auto"/>
            <w:noWrap/>
            <w:vAlign w:val="bottom"/>
            <w:hideMark/>
          </w:tcPr>
          <w:p w14:paraId="6DEFF053"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Power </w:t>
            </w:r>
            <w:proofErr w:type="spellStart"/>
            <w:r w:rsidRPr="00FA5CB3">
              <w:rPr>
                <w:rFonts w:ascii="Arial" w:eastAsia="Times New Roman" w:hAnsi="Arial" w:cs="Arial"/>
                <w:color w:val="000000"/>
                <w:sz w:val="20"/>
                <w:szCs w:val="20"/>
              </w:rPr>
              <w:t>dist</w:t>
            </w:r>
            <w:proofErr w:type="spellEnd"/>
          </w:p>
        </w:tc>
        <w:tc>
          <w:tcPr>
            <w:tcW w:w="1095" w:type="dxa"/>
            <w:shd w:val="clear" w:color="auto" w:fill="auto"/>
            <w:noWrap/>
            <w:vAlign w:val="bottom"/>
            <w:hideMark/>
          </w:tcPr>
          <w:p w14:paraId="28E39CC3"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Electricity</w:t>
            </w:r>
          </w:p>
        </w:tc>
      </w:tr>
      <w:tr w:rsidR="00FA5CB3" w:rsidRPr="00FA5CB3" w14:paraId="73560BDE" w14:textId="77777777" w:rsidTr="00FA5CB3">
        <w:trPr>
          <w:trHeight w:val="300"/>
          <w:jc w:val="center"/>
        </w:trPr>
        <w:tc>
          <w:tcPr>
            <w:tcW w:w="960" w:type="dxa"/>
            <w:shd w:val="clear" w:color="auto" w:fill="auto"/>
            <w:noWrap/>
            <w:vAlign w:val="bottom"/>
            <w:hideMark/>
          </w:tcPr>
          <w:p w14:paraId="3BA4A871" w14:textId="77777777" w:rsidR="00FA5CB3" w:rsidRPr="00FA5CB3" w:rsidRDefault="00FA5CB3" w:rsidP="00FA5CB3">
            <w:pPr>
              <w:spacing w:after="0" w:line="240" w:lineRule="auto"/>
              <w:jc w:val="right"/>
              <w:rPr>
                <w:rFonts w:ascii="Arial" w:eastAsia="Times New Roman" w:hAnsi="Arial" w:cs="Arial"/>
                <w:color w:val="000000"/>
                <w:sz w:val="20"/>
                <w:szCs w:val="20"/>
              </w:rPr>
            </w:pPr>
            <w:r w:rsidRPr="00FA5CB3">
              <w:rPr>
                <w:rFonts w:ascii="Arial" w:eastAsia="Times New Roman" w:hAnsi="Arial" w:cs="Arial"/>
                <w:color w:val="000000"/>
                <w:sz w:val="20"/>
                <w:szCs w:val="20"/>
              </w:rPr>
              <w:t>6</w:t>
            </w:r>
          </w:p>
        </w:tc>
        <w:tc>
          <w:tcPr>
            <w:tcW w:w="1920" w:type="dxa"/>
            <w:shd w:val="clear" w:color="auto" w:fill="auto"/>
            <w:noWrap/>
            <w:vAlign w:val="bottom"/>
            <w:hideMark/>
          </w:tcPr>
          <w:p w14:paraId="36DED589"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NG - </w:t>
            </w:r>
            <w:proofErr w:type="spellStart"/>
            <w:r w:rsidRPr="00FA5CB3">
              <w:rPr>
                <w:rFonts w:ascii="Arial" w:eastAsia="Times New Roman" w:hAnsi="Arial" w:cs="Arial"/>
                <w:color w:val="000000"/>
                <w:sz w:val="20"/>
                <w:szCs w:val="20"/>
              </w:rPr>
              <w:t>ShaleGas</w:t>
            </w:r>
            <w:proofErr w:type="spellEnd"/>
          </w:p>
        </w:tc>
        <w:tc>
          <w:tcPr>
            <w:tcW w:w="1217" w:type="dxa"/>
            <w:shd w:val="clear" w:color="auto" w:fill="auto"/>
            <w:noWrap/>
            <w:vAlign w:val="bottom"/>
            <w:hideMark/>
          </w:tcPr>
          <w:p w14:paraId="1DB2C47C"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Default</w:t>
            </w:r>
          </w:p>
        </w:tc>
        <w:tc>
          <w:tcPr>
            <w:tcW w:w="2167" w:type="dxa"/>
            <w:shd w:val="clear" w:color="auto" w:fill="auto"/>
            <w:noWrap/>
            <w:vAlign w:val="bottom"/>
            <w:hideMark/>
          </w:tcPr>
          <w:p w14:paraId="6E28891C"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Pow-GT-GE7251-0.6</w:t>
            </w:r>
          </w:p>
        </w:tc>
        <w:tc>
          <w:tcPr>
            <w:tcW w:w="783" w:type="dxa"/>
            <w:shd w:val="clear" w:color="auto" w:fill="auto"/>
            <w:noWrap/>
            <w:vAlign w:val="bottom"/>
            <w:hideMark/>
          </w:tcPr>
          <w:p w14:paraId="2420DCA0"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No</w:t>
            </w:r>
          </w:p>
        </w:tc>
        <w:tc>
          <w:tcPr>
            <w:tcW w:w="1217" w:type="dxa"/>
            <w:shd w:val="clear" w:color="auto" w:fill="auto"/>
            <w:noWrap/>
            <w:vAlign w:val="bottom"/>
            <w:hideMark/>
          </w:tcPr>
          <w:p w14:paraId="1BBCBDDE"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Power </w:t>
            </w:r>
            <w:proofErr w:type="spellStart"/>
            <w:r w:rsidRPr="00FA5CB3">
              <w:rPr>
                <w:rFonts w:ascii="Arial" w:eastAsia="Times New Roman" w:hAnsi="Arial" w:cs="Arial"/>
                <w:color w:val="000000"/>
                <w:sz w:val="20"/>
                <w:szCs w:val="20"/>
              </w:rPr>
              <w:t>dist</w:t>
            </w:r>
            <w:proofErr w:type="spellEnd"/>
          </w:p>
        </w:tc>
        <w:tc>
          <w:tcPr>
            <w:tcW w:w="1095" w:type="dxa"/>
            <w:shd w:val="clear" w:color="auto" w:fill="auto"/>
            <w:noWrap/>
            <w:vAlign w:val="bottom"/>
            <w:hideMark/>
          </w:tcPr>
          <w:p w14:paraId="32CCBC06"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Electricity</w:t>
            </w:r>
          </w:p>
        </w:tc>
      </w:tr>
      <w:tr w:rsidR="00FA5CB3" w:rsidRPr="00FA5CB3" w14:paraId="2C9C102D" w14:textId="77777777" w:rsidTr="00FA5CB3">
        <w:trPr>
          <w:trHeight w:val="300"/>
          <w:jc w:val="center"/>
        </w:trPr>
        <w:tc>
          <w:tcPr>
            <w:tcW w:w="960" w:type="dxa"/>
            <w:shd w:val="clear" w:color="auto" w:fill="auto"/>
            <w:noWrap/>
            <w:vAlign w:val="bottom"/>
            <w:hideMark/>
          </w:tcPr>
          <w:p w14:paraId="47122DBF" w14:textId="77777777" w:rsidR="00FA5CB3" w:rsidRPr="00FA5CB3" w:rsidRDefault="00FA5CB3" w:rsidP="00FA5CB3">
            <w:pPr>
              <w:spacing w:after="0" w:line="240" w:lineRule="auto"/>
              <w:jc w:val="right"/>
              <w:rPr>
                <w:rFonts w:ascii="Arial" w:eastAsia="Times New Roman" w:hAnsi="Arial" w:cs="Arial"/>
                <w:color w:val="000000"/>
                <w:sz w:val="20"/>
                <w:szCs w:val="20"/>
              </w:rPr>
            </w:pPr>
            <w:r w:rsidRPr="00FA5CB3">
              <w:rPr>
                <w:rFonts w:ascii="Arial" w:eastAsia="Times New Roman" w:hAnsi="Arial" w:cs="Arial"/>
                <w:color w:val="000000"/>
                <w:sz w:val="20"/>
                <w:szCs w:val="20"/>
              </w:rPr>
              <w:t>7</w:t>
            </w:r>
          </w:p>
        </w:tc>
        <w:tc>
          <w:tcPr>
            <w:tcW w:w="1920" w:type="dxa"/>
            <w:shd w:val="clear" w:color="auto" w:fill="auto"/>
            <w:noWrap/>
            <w:vAlign w:val="bottom"/>
            <w:hideMark/>
          </w:tcPr>
          <w:p w14:paraId="1F71DA05"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NG - </w:t>
            </w:r>
            <w:proofErr w:type="spellStart"/>
            <w:r w:rsidRPr="00FA5CB3">
              <w:rPr>
                <w:rFonts w:ascii="Arial" w:eastAsia="Times New Roman" w:hAnsi="Arial" w:cs="Arial"/>
                <w:color w:val="000000"/>
                <w:sz w:val="20"/>
                <w:szCs w:val="20"/>
              </w:rPr>
              <w:t>ShaleGas</w:t>
            </w:r>
            <w:proofErr w:type="spellEnd"/>
          </w:p>
        </w:tc>
        <w:tc>
          <w:tcPr>
            <w:tcW w:w="1217" w:type="dxa"/>
            <w:shd w:val="clear" w:color="auto" w:fill="auto"/>
            <w:noWrap/>
            <w:vAlign w:val="bottom"/>
            <w:hideMark/>
          </w:tcPr>
          <w:p w14:paraId="6DC5BF4A"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Default</w:t>
            </w:r>
          </w:p>
        </w:tc>
        <w:tc>
          <w:tcPr>
            <w:tcW w:w="2167" w:type="dxa"/>
            <w:shd w:val="clear" w:color="auto" w:fill="auto"/>
            <w:noWrap/>
            <w:vAlign w:val="bottom"/>
            <w:hideMark/>
          </w:tcPr>
          <w:p w14:paraId="5648730A"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Pow-GT-GE7251-0.5</w:t>
            </w:r>
          </w:p>
        </w:tc>
        <w:tc>
          <w:tcPr>
            <w:tcW w:w="783" w:type="dxa"/>
            <w:shd w:val="clear" w:color="auto" w:fill="auto"/>
            <w:noWrap/>
            <w:vAlign w:val="bottom"/>
            <w:hideMark/>
          </w:tcPr>
          <w:p w14:paraId="34723BE6"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No</w:t>
            </w:r>
          </w:p>
        </w:tc>
        <w:tc>
          <w:tcPr>
            <w:tcW w:w="1217" w:type="dxa"/>
            <w:shd w:val="clear" w:color="auto" w:fill="auto"/>
            <w:noWrap/>
            <w:vAlign w:val="bottom"/>
            <w:hideMark/>
          </w:tcPr>
          <w:p w14:paraId="1D70A44C"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Power </w:t>
            </w:r>
            <w:proofErr w:type="spellStart"/>
            <w:r w:rsidRPr="00FA5CB3">
              <w:rPr>
                <w:rFonts w:ascii="Arial" w:eastAsia="Times New Roman" w:hAnsi="Arial" w:cs="Arial"/>
                <w:color w:val="000000"/>
                <w:sz w:val="20"/>
                <w:szCs w:val="20"/>
              </w:rPr>
              <w:t>dist</w:t>
            </w:r>
            <w:proofErr w:type="spellEnd"/>
          </w:p>
        </w:tc>
        <w:tc>
          <w:tcPr>
            <w:tcW w:w="1095" w:type="dxa"/>
            <w:shd w:val="clear" w:color="auto" w:fill="auto"/>
            <w:noWrap/>
            <w:vAlign w:val="bottom"/>
            <w:hideMark/>
          </w:tcPr>
          <w:p w14:paraId="055BC4DD"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Electricity</w:t>
            </w:r>
          </w:p>
        </w:tc>
      </w:tr>
      <w:tr w:rsidR="00FA5CB3" w:rsidRPr="00FA5CB3" w14:paraId="7942B1F5" w14:textId="77777777" w:rsidTr="00FA5CB3">
        <w:trPr>
          <w:trHeight w:val="300"/>
          <w:jc w:val="center"/>
        </w:trPr>
        <w:tc>
          <w:tcPr>
            <w:tcW w:w="960" w:type="dxa"/>
            <w:shd w:val="clear" w:color="auto" w:fill="auto"/>
            <w:noWrap/>
            <w:vAlign w:val="bottom"/>
            <w:hideMark/>
          </w:tcPr>
          <w:p w14:paraId="7A256988" w14:textId="77777777" w:rsidR="00FA5CB3" w:rsidRPr="00FA5CB3" w:rsidRDefault="00FA5CB3" w:rsidP="00FA5CB3">
            <w:pPr>
              <w:spacing w:after="0" w:line="240" w:lineRule="auto"/>
              <w:jc w:val="right"/>
              <w:rPr>
                <w:rFonts w:ascii="Arial" w:eastAsia="Times New Roman" w:hAnsi="Arial" w:cs="Arial"/>
                <w:color w:val="000000"/>
                <w:sz w:val="20"/>
                <w:szCs w:val="20"/>
              </w:rPr>
            </w:pPr>
            <w:r w:rsidRPr="00FA5CB3">
              <w:rPr>
                <w:rFonts w:ascii="Arial" w:eastAsia="Times New Roman" w:hAnsi="Arial" w:cs="Arial"/>
                <w:color w:val="000000"/>
                <w:sz w:val="20"/>
                <w:szCs w:val="20"/>
              </w:rPr>
              <w:t>8</w:t>
            </w:r>
          </w:p>
        </w:tc>
        <w:tc>
          <w:tcPr>
            <w:tcW w:w="1920" w:type="dxa"/>
            <w:shd w:val="clear" w:color="auto" w:fill="auto"/>
            <w:noWrap/>
            <w:vAlign w:val="bottom"/>
            <w:hideMark/>
          </w:tcPr>
          <w:p w14:paraId="084E88C9"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NG - </w:t>
            </w:r>
            <w:proofErr w:type="spellStart"/>
            <w:r w:rsidRPr="00FA5CB3">
              <w:rPr>
                <w:rFonts w:ascii="Arial" w:eastAsia="Times New Roman" w:hAnsi="Arial" w:cs="Arial"/>
                <w:color w:val="000000"/>
                <w:sz w:val="20"/>
                <w:szCs w:val="20"/>
              </w:rPr>
              <w:t>ShaleGas</w:t>
            </w:r>
            <w:proofErr w:type="spellEnd"/>
          </w:p>
        </w:tc>
        <w:tc>
          <w:tcPr>
            <w:tcW w:w="1217" w:type="dxa"/>
            <w:shd w:val="clear" w:color="auto" w:fill="auto"/>
            <w:noWrap/>
            <w:vAlign w:val="bottom"/>
            <w:hideMark/>
          </w:tcPr>
          <w:p w14:paraId="47E23C98"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Default</w:t>
            </w:r>
          </w:p>
        </w:tc>
        <w:tc>
          <w:tcPr>
            <w:tcW w:w="2167" w:type="dxa"/>
            <w:shd w:val="clear" w:color="auto" w:fill="auto"/>
            <w:noWrap/>
            <w:vAlign w:val="bottom"/>
            <w:hideMark/>
          </w:tcPr>
          <w:p w14:paraId="4D3B6830"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Pow-GT-GE7251-0.4</w:t>
            </w:r>
          </w:p>
        </w:tc>
        <w:tc>
          <w:tcPr>
            <w:tcW w:w="783" w:type="dxa"/>
            <w:shd w:val="clear" w:color="auto" w:fill="auto"/>
            <w:noWrap/>
            <w:vAlign w:val="bottom"/>
            <w:hideMark/>
          </w:tcPr>
          <w:p w14:paraId="7B18D286"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No</w:t>
            </w:r>
          </w:p>
        </w:tc>
        <w:tc>
          <w:tcPr>
            <w:tcW w:w="1217" w:type="dxa"/>
            <w:shd w:val="clear" w:color="auto" w:fill="auto"/>
            <w:noWrap/>
            <w:vAlign w:val="bottom"/>
            <w:hideMark/>
          </w:tcPr>
          <w:p w14:paraId="02515DC3"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 xml:space="preserve">Power </w:t>
            </w:r>
            <w:proofErr w:type="spellStart"/>
            <w:r w:rsidRPr="00FA5CB3">
              <w:rPr>
                <w:rFonts w:ascii="Arial" w:eastAsia="Times New Roman" w:hAnsi="Arial" w:cs="Arial"/>
                <w:color w:val="000000"/>
                <w:sz w:val="20"/>
                <w:szCs w:val="20"/>
              </w:rPr>
              <w:t>dist</w:t>
            </w:r>
            <w:proofErr w:type="spellEnd"/>
          </w:p>
        </w:tc>
        <w:tc>
          <w:tcPr>
            <w:tcW w:w="1095" w:type="dxa"/>
            <w:shd w:val="clear" w:color="auto" w:fill="auto"/>
            <w:noWrap/>
            <w:vAlign w:val="bottom"/>
            <w:hideMark/>
          </w:tcPr>
          <w:p w14:paraId="0686B7B8" w14:textId="77777777" w:rsidR="00FA5CB3" w:rsidRPr="00FA5CB3" w:rsidRDefault="00FA5CB3" w:rsidP="00FA5CB3">
            <w:pPr>
              <w:spacing w:after="0" w:line="240" w:lineRule="auto"/>
              <w:jc w:val="left"/>
              <w:rPr>
                <w:rFonts w:ascii="Arial" w:eastAsia="Times New Roman" w:hAnsi="Arial" w:cs="Arial"/>
                <w:color w:val="000000"/>
                <w:sz w:val="20"/>
                <w:szCs w:val="20"/>
              </w:rPr>
            </w:pPr>
            <w:r w:rsidRPr="00FA5CB3">
              <w:rPr>
                <w:rFonts w:ascii="Arial" w:eastAsia="Times New Roman" w:hAnsi="Arial" w:cs="Arial"/>
                <w:color w:val="000000"/>
                <w:sz w:val="20"/>
                <w:szCs w:val="20"/>
              </w:rPr>
              <w:t>Electricity</w:t>
            </w:r>
          </w:p>
        </w:tc>
      </w:tr>
    </w:tbl>
    <w:p w14:paraId="0EB209F8" w14:textId="77777777" w:rsidR="00EB7BE5" w:rsidRDefault="008F720A" w:rsidP="00EC27C1">
      <w:r>
        <w:rPr>
          <w:noProof/>
        </w:rPr>
        <mc:AlternateContent>
          <mc:Choice Requires="wps">
            <w:drawing>
              <wp:anchor distT="0" distB="0" distL="114300" distR="114300" simplePos="0" relativeHeight="251716608" behindDoc="0" locked="0" layoutInCell="1" allowOverlap="1" wp14:anchorId="708F5FB8" wp14:editId="475810CD">
                <wp:simplePos x="0" y="0"/>
                <wp:positionH relativeFrom="column">
                  <wp:posOffset>599440</wp:posOffset>
                </wp:positionH>
                <wp:positionV relativeFrom="paragraph">
                  <wp:posOffset>3037205</wp:posOffset>
                </wp:positionV>
                <wp:extent cx="4593590" cy="635"/>
                <wp:effectExtent l="0" t="0" r="0" b="0"/>
                <wp:wrapTopAndBottom/>
                <wp:docPr id="83" name="Text Box 83"/>
                <wp:cNvGraphicFramePr/>
                <a:graphic xmlns:a="http://schemas.openxmlformats.org/drawingml/2006/main">
                  <a:graphicData uri="http://schemas.microsoft.com/office/word/2010/wordprocessingShape">
                    <wps:wsp>
                      <wps:cNvSpPr txBox="1"/>
                      <wps:spPr>
                        <a:xfrm>
                          <a:off x="0" y="0"/>
                          <a:ext cx="4593590" cy="635"/>
                        </a:xfrm>
                        <a:prstGeom prst="rect">
                          <a:avLst/>
                        </a:prstGeom>
                        <a:solidFill>
                          <a:prstClr val="white"/>
                        </a:solidFill>
                        <a:ln>
                          <a:noFill/>
                        </a:ln>
                      </wps:spPr>
                      <wps:txbx>
                        <w:txbxContent>
                          <w:p w14:paraId="58E93545" w14:textId="70DC3C63" w:rsidR="00227B36" w:rsidRPr="00AA5821" w:rsidRDefault="00227B36" w:rsidP="008F720A">
                            <w:pPr>
                              <w:pStyle w:val="Caption"/>
                              <w:rPr>
                                <w:noProof/>
                              </w:rPr>
                            </w:pPr>
                            <w:bookmarkStart w:id="301" w:name="_Ref15567426"/>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bookmarkEnd w:id="301"/>
                            <w:r>
                              <w:t>7 Life cycle GHG emissions of a combined cycle unit at various partial loadings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F5FB8" id="Text Box 83" o:spid="_x0000_s1030" type="#_x0000_t202" style="position:absolute;left:0;text-align:left;margin-left:47.2pt;margin-top:239.15pt;width:361.7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" stroked="f">
                <v:textbox style="mso-fit-shape-to-text:t" inset="0,0,0,0">
                  <w:txbxContent>
                    <w:p w14:paraId="58E93545" w14:textId="70DC3C63" w:rsidR="00227B36" w:rsidRPr="00AA5821" w:rsidRDefault="00227B36" w:rsidP="008F720A">
                      <w:pPr>
                        <w:pStyle w:val="Caption"/>
                        <w:rPr>
                          <w:noProof/>
                        </w:rPr>
                      </w:pPr>
                      <w:bookmarkStart w:id="302" w:name="_Ref15567426"/>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bookmarkEnd w:id="302"/>
                      <w:r>
                        <w:t>7 Life cycle GHG emissions of a combined cycle unit at various partial loadings</w:t>
                      </w:r>
                    </w:p>
                  </w:txbxContent>
                </v:textbox>
                <w10:wrap type="topAndBottom"/>
              </v:shape>
            </w:pict>
          </mc:Fallback>
        </mc:AlternateContent>
      </w:r>
      <w:r>
        <w:rPr>
          <w:noProof/>
        </w:rPr>
        <w:drawing>
          <wp:anchor distT="0" distB="0" distL="114300" distR="114300" simplePos="0" relativeHeight="251714560" behindDoc="0" locked="0" layoutInCell="1" allowOverlap="1" wp14:anchorId="18896529" wp14:editId="2A33316D">
            <wp:simplePos x="0" y="0"/>
            <wp:positionH relativeFrom="column">
              <wp:posOffset>599819</wp:posOffset>
            </wp:positionH>
            <wp:positionV relativeFrom="paragraph">
              <wp:posOffset>237357</wp:posOffset>
            </wp:positionV>
            <wp:extent cx="4593772" cy="2743200"/>
            <wp:effectExtent l="0" t="0" r="16510" b="0"/>
            <wp:wrapTopAndBottom/>
            <wp:docPr id="82" name="Chart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5F35311B" w14:textId="05B813AA" w:rsidR="008F720A" w:rsidRDefault="008F720A" w:rsidP="008F720A">
      <w:pPr>
        <w:pStyle w:val="Caption"/>
        <w:keepNext/>
      </w:pPr>
      <w:bookmarkStart w:id="303" w:name="_Ref15572512"/>
      <w:r>
        <w:t xml:space="preserve">Table </w:t>
      </w:r>
      <w:r w:rsidR="00DA391D">
        <w:rPr>
          <w:noProof/>
        </w:rPr>
        <w:fldChar w:fldCharType="begin"/>
      </w:r>
      <w:r w:rsidR="00DA391D">
        <w:rPr>
          <w:noProof/>
        </w:rPr>
        <w:instrText xml:space="preserve"> SEQ Table \* ARABIC </w:instrText>
      </w:r>
      <w:r w:rsidR="00DA391D">
        <w:rPr>
          <w:noProof/>
        </w:rPr>
        <w:fldChar w:fldCharType="separate"/>
      </w:r>
      <w:r w:rsidR="00DC321F">
        <w:rPr>
          <w:noProof/>
        </w:rPr>
        <w:t>4</w:t>
      </w:r>
      <w:r w:rsidR="00DA391D">
        <w:rPr>
          <w:noProof/>
        </w:rPr>
        <w:fldChar w:fldCharType="end"/>
      </w:r>
      <w:bookmarkEnd w:id="303"/>
      <w:r>
        <w:t xml:space="preserve"> Life stage components of power generation pathways shown in </w:t>
      </w:r>
      <w:r w:rsidR="00932137">
        <w:fldChar w:fldCharType="begin"/>
      </w:r>
      <w:r w:rsidR="00932137">
        <w:instrText xml:space="preserve"> REF _Ref15567426 \h </w:instrText>
      </w:r>
      <w:r w:rsidR="00932137">
        <w:fldChar w:fldCharType="separate"/>
      </w:r>
      <w:r w:rsidR="00932137">
        <w:t xml:space="preserve">Figure </w:t>
      </w:r>
      <w:r w:rsidR="00932137">
        <w:rPr>
          <w:noProof/>
        </w:rPr>
        <w:t>1</w:t>
      </w:r>
      <w:r w:rsidR="007B199A">
        <w:rPr>
          <w:noProof/>
        </w:rPr>
        <w:t>7</w:t>
      </w:r>
      <w:r w:rsidR="00932137">
        <w:fldChar w:fldCharType="end"/>
      </w:r>
    </w:p>
    <w:tbl>
      <w:tblPr>
        <w:tblW w:w="9360" w:type="dxa"/>
        <w:tblBorders>
          <w:insideH w:val="single" w:sz="4" w:space="0" w:color="auto"/>
        </w:tblBorders>
        <w:tblLook w:val="04A0" w:firstRow="1" w:lastRow="0" w:firstColumn="1" w:lastColumn="0" w:noHBand="0" w:noVBand="1"/>
      </w:tblPr>
      <w:tblGrid>
        <w:gridCol w:w="943"/>
        <w:gridCol w:w="1886"/>
        <w:gridCol w:w="1150"/>
        <w:gridCol w:w="1773"/>
        <w:gridCol w:w="997"/>
        <w:gridCol w:w="1539"/>
        <w:gridCol w:w="1072"/>
      </w:tblGrid>
      <w:tr w:rsidR="008F720A" w:rsidRPr="008F720A" w14:paraId="4CCBB6E5" w14:textId="77777777" w:rsidTr="008F720A">
        <w:trPr>
          <w:trHeight w:val="300"/>
        </w:trPr>
        <w:tc>
          <w:tcPr>
            <w:tcW w:w="943" w:type="dxa"/>
            <w:shd w:val="clear" w:color="auto" w:fill="auto"/>
            <w:noWrap/>
            <w:vAlign w:val="bottom"/>
            <w:hideMark/>
          </w:tcPr>
          <w:p w14:paraId="16A9B3A0" w14:textId="77777777" w:rsidR="008F720A" w:rsidRPr="008F720A" w:rsidRDefault="008F720A" w:rsidP="008F720A">
            <w:pPr>
              <w:spacing w:after="0" w:line="240" w:lineRule="auto"/>
              <w:jc w:val="left"/>
              <w:rPr>
                <w:rFonts w:ascii="Arial" w:eastAsia="Times New Roman" w:hAnsi="Arial" w:cs="Arial"/>
                <w:color w:val="000000"/>
                <w:sz w:val="20"/>
                <w:szCs w:val="20"/>
              </w:rPr>
            </w:pPr>
            <w:r w:rsidRPr="008F720A">
              <w:rPr>
                <w:rFonts w:ascii="Arial" w:eastAsia="Times New Roman" w:hAnsi="Arial" w:cs="Arial"/>
                <w:color w:val="000000"/>
                <w:sz w:val="20"/>
                <w:szCs w:val="20"/>
              </w:rPr>
              <w:t>Case</w:t>
            </w:r>
          </w:p>
        </w:tc>
        <w:tc>
          <w:tcPr>
            <w:tcW w:w="1886" w:type="dxa"/>
            <w:shd w:val="clear" w:color="auto" w:fill="auto"/>
            <w:noWrap/>
            <w:vAlign w:val="bottom"/>
            <w:hideMark/>
          </w:tcPr>
          <w:p w14:paraId="075CBA4D"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Upstream</w:t>
            </w:r>
          </w:p>
        </w:tc>
        <w:tc>
          <w:tcPr>
            <w:tcW w:w="1150" w:type="dxa"/>
            <w:shd w:val="clear" w:color="auto" w:fill="auto"/>
            <w:noWrap/>
            <w:vAlign w:val="bottom"/>
            <w:hideMark/>
          </w:tcPr>
          <w:p w14:paraId="0B63BFCB"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Midstream</w:t>
            </w:r>
          </w:p>
        </w:tc>
        <w:tc>
          <w:tcPr>
            <w:tcW w:w="1773" w:type="dxa"/>
            <w:shd w:val="clear" w:color="auto" w:fill="auto"/>
            <w:noWrap/>
            <w:vAlign w:val="bottom"/>
            <w:hideMark/>
          </w:tcPr>
          <w:p w14:paraId="0CC17B7B"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Process</w:t>
            </w:r>
          </w:p>
        </w:tc>
        <w:tc>
          <w:tcPr>
            <w:tcW w:w="997" w:type="dxa"/>
            <w:shd w:val="clear" w:color="auto" w:fill="auto"/>
            <w:noWrap/>
            <w:vAlign w:val="bottom"/>
            <w:hideMark/>
          </w:tcPr>
          <w:p w14:paraId="75AAE204"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CCUS</w:t>
            </w:r>
          </w:p>
        </w:tc>
        <w:tc>
          <w:tcPr>
            <w:tcW w:w="1539" w:type="dxa"/>
            <w:shd w:val="clear" w:color="auto" w:fill="auto"/>
            <w:noWrap/>
            <w:vAlign w:val="bottom"/>
            <w:hideMark/>
          </w:tcPr>
          <w:p w14:paraId="37ADA678"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Gate to user</w:t>
            </w:r>
          </w:p>
        </w:tc>
        <w:tc>
          <w:tcPr>
            <w:tcW w:w="1072" w:type="dxa"/>
            <w:shd w:val="clear" w:color="auto" w:fill="auto"/>
            <w:noWrap/>
            <w:vAlign w:val="bottom"/>
            <w:hideMark/>
          </w:tcPr>
          <w:p w14:paraId="1BD81C8B"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End use</w:t>
            </w:r>
          </w:p>
        </w:tc>
      </w:tr>
      <w:tr w:rsidR="008F720A" w:rsidRPr="008F720A" w14:paraId="12A635B6" w14:textId="77777777" w:rsidTr="008F720A">
        <w:trPr>
          <w:trHeight w:val="300"/>
        </w:trPr>
        <w:tc>
          <w:tcPr>
            <w:tcW w:w="943" w:type="dxa"/>
            <w:shd w:val="clear" w:color="auto" w:fill="auto"/>
            <w:noWrap/>
            <w:vAlign w:val="bottom"/>
            <w:hideMark/>
          </w:tcPr>
          <w:p w14:paraId="3E344416" w14:textId="77777777" w:rsidR="008F720A" w:rsidRPr="008F720A" w:rsidRDefault="008F720A" w:rsidP="008F720A">
            <w:pPr>
              <w:spacing w:after="0" w:line="240" w:lineRule="auto"/>
              <w:jc w:val="right"/>
              <w:rPr>
                <w:rFonts w:ascii="Arial" w:eastAsia="Times New Roman" w:hAnsi="Arial" w:cs="Arial"/>
                <w:color w:val="000000"/>
                <w:sz w:val="20"/>
                <w:szCs w:val="20"/>
              </w:rPr>
            </w:pPr>
            <w:r w:rsidRPr="008F720A">
              <w:rPr>
                <w:rFonts w:ascii="Arial" w:eastAsia="Times New Roman" w:hAnsi="Arial" w:cs="Arial"/>
                <w:color w:val="000000"/>
                <w:sz w:val="20"/>
                <w:szCs w:val="20"/>
              </w:rPr>
              <w:t>1</w:t>
            </w:r>
          </w:p>
        </w:tc>
        <w:tc>
          <w:tcPr>
            <w:tcW w:w="1886" w:type="dxa"/>
            <w:shd w:val="clear" w:color="auto" w:fill="auto"/>
            <w:noWrap/>
            <w:vAlign w:val="bottom"/>
            <w:hideMark/>
          </w:tcPr>
          <w:p w14:paraId="7624D21C"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NG - </w:t>
            </w:r>
            <w:proofErr w:type="spellStart"/>
            <w:r w:rsidRPr="008F720A">
              <w:rPr>
                <w:rFonts w:ascii="Arial" w:eastAsia="Times New Roman" w:hAnsi="Arial" w:cs="Arial"/>
                <w:color w:val="000000"/>
                <w:sz w:val="20"/>
                <w:szCs w:val="20"/>
              </w:rPr>
              <w:t>ShaleGas</w:t>
            </w:r>
            <w:proofErr w:type="spellEnd"/>
          </w:p>
        </w:tc>
        <w:tc>
          <w:tcPr>
            <w:tcW w:w="1150" w:type="dxa"/>
            <w:shd w:val="clear" w:color="auto" w:fill="auto"/>
            <w:noWrap/>
            <w:vAlign w:val="bottom"/>
            <w:hideMark/>
          </w:tcPr>
          <w:p w14:paraId="7D9D7F5E"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Default</w:t>
            </w:r>
          </w:p>
        </w:tc>
        <w:tc>
          <w:tcPr>
            <w:tcW w:w="1773" w:type="dxa"/>
            <w:shd w:val="clear" w:color="auto" w:fill="auto"/>
            <w:noWrap/>
            <w:vAlign w:val="bottom"/>
            <w:hideMark/>
          </w:tcPr>
          <w:p w14:paraId="1E2C3B73"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Pow-CC-1.0</w:t>
            </w:r>
          </w:p>
        </w:tc>
        <w:tc>
          <w:tcPr>
            <w:tcW w:w="997" w:type="dxa"/>
            <w:shd w:val="clear" w:color="auto" w:fill="auto"/>
            <w:noWrap/>
            <w:vAlign w:val="bottom"/>
            <w:hideMark/>
          </w:tcPr>
          <w:p w14:paraId="21F17FD3"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No</w:t>
            </w:r>
          </w:p>
        </w:tc>
        <w:tc>
          <w:tcPr>
            <w:tcW w:w="1539" w:type="dxa"/>
            <w:shd w:val="clear" w:color="auto" w:fill="auto"/>
            <w:noWrap/>
            <w:vAlign w:val="bottom"/>
            <w:hideMark/>
          </w:tcPr>
          <w:p w14:paraId="48C17B59"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Power </w:t>
            </w:r>
            <w:proofErr w:type="spellStart"/>
            <w:r w:rsidRPr="008F720A">
              <w:rPr>
                <w:rFonts w:ascii="Arial" w:eastAsia="Times New Roman" w:hAnsi="Arial" w:cs="Arial"/>
                <w:color w:val="000000"/>
                <w:sz w:val="20"/>
                <w:szCs w:val="20"/>
              </w:rPr>
              <w:t>dist</w:t>
            </w:r>
            <w:proofErr w:type="spellEnd"/>
          </w:p>
        </w:tc>
        <w:tc>
          <w:tcPr>
            <w:tcW w:w="1072" w:type="dxa"/>
            <w:shd w:val="clear" w:color="auto" w:fill="auto"/>
            <w:noWrap/>
            <w:vAlign w:val="bottom"/>
            <w:hideMark/>
          </w:tcPr>
          <w:p w14:paraId="41A5D9ED"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Electricity</w:t>
            </w:r>
          </w:p>
        </w:tc>
      </w:tr>
      <w:tr w:rsidR="008F720A" w:rsidRPr="008F720A" w14:paraId="2E6883E2" w14:textId="77777777" w:rsidTr="008F720A">
        <w:trPr>
          <w:trHeight w:val="300"/>
        </w:trPr>
        <w:tc>
          <w:tcPr>
            <w:tcW w:w="943" w:type="dxa"/>
            <w:shd w:val="clear" w:color="auto" w:fill="auto"/>
            <w:noWrap/>
            <w:vAlign w:val="bottom"/>
            <w:hideMark/>
          </w:tcPr>
          <w:p w14:paraId="0D674E14" w14:textId="77777777" w:rsidR="008F720A" w:rsidRPr="008F720A" w:rsidRDefault="008F720A" w:rsidP="008F720A">
            <w:pPr>
              <w:spacing w:after="0" w:line="240" w:lineRule="auto"/>
              <w:jc w:val="right"/>
              <w:rPr>
                <w:rFonts w:ascii="Arial" w:eastAsia="Times New Roman" w:hAnsi="Arial" w:cs="Arial"/>
                <w:color w:val="000000"/>
                <w:sz w:val="20"/>
                <w:szCs w:val="20"/>
              </w:rPr>
            </w:pPr>
            <w:r w:rsidRPr="008F720A">
              <w:rPr>
                <w:rFonts w:ascii="Arial" w:eastAsia="Times New Roman" w:hAnsi="Arial" w:cs="Arial"/>
                <w:color w:val="000000"/>
                <w:sz w:val="20"/>
                <w:szCs w:val="20"/>
              </w:rPr>
              <w:t>2</w:t>
            </w:r>
          </w:p>
        </w:tc>
        <w:tc>
          <w:tcPr>
            <w:tcW w:w="1886" w:type="dxa"/>
            <w:shd w:val="clear" w:color="auto" w:fill="auto"/>
            <w:noWrap/>
            <w:vAlign w:val="bottom"/>
            <w:hideMark/>
          </w:tcPr>
          <w:p w14:paraId="4F2B0944"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NG - </w:t>
            </w:r>
            <w:proofErr w:type="spellStart"/>
            <w:r w:rsidRPr="008F720A">
              <w:rPr>
                <w:rFonts w:ascii="Arial" w:eastAsia="Times New Roman" w:hAnsi="Arial" w:cs="Arial"/>
                <w:color w:val="000000"/>
                <w:sz w:val="20"/>
                <w:szCs w:val="20"/>
              </w:rPr>
              <w:t>ShaleGas</w:t>
            </w:r>
            <w:proofErr w:type="spellEnd"/>
          </w:p>
        </w:tc>
        <w:tc>
          <w:tcPr>
            <w:tcW w:w="1150" w:type="dxa"/>
            <w:shd w:val="clear" w:color="auto" w:fill="auto"/>
            <w:noWrap/>
            <w:vAlign w:val="bottom"/>
            <w:hideMark/>
          </w:tcPr>
          <w:p w14:paraId="410F51CA"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Default</w:t>
            </w:r>
          </w:p>
        </w:tc>
        <w:tc>
          <w:tcPr>
            <w:tcW w:w="1773" w:type="dxa"/>
            <w:shd w:val="clear" w:color="auto" w:fill="auto"/>
            <w:noWrap/>
            <w:vAlign w:val="bottom"/>
            <w:hideMark/>
          </w:tcPr>
          <w:p w14:paraId="03C1954B"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Pow-CC-0.9</w:t>
            </w:r>
          </w:p>
        </w:tc>
        <w:tc>
          <w:tcPr>
            <w:tcW w:w="997" w:type="dxa"/>
            <w:shd w:val="clear" w:color="auto" w:fill="auto"/>
            <w:noWrap/>
            <w:vAlign w:val="bottom"/>
            <w:hideMark/>
          </w:tcPr>
          <w:p w14:paraId="348908BB"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No</w:t>
            </w:r>
          </w:p>
        </w:tc>
        <w:tc>
          <w:tcPr>
            <w:tcW w:w="1539" w:type="dxa"/>
            <w:shd w:val="clear" w:color="auto" w:fill="auto"/>
            <w:noWrap/>
            <w:vAlign w:val="bottom"/>
            <w:hideMark/>
          </w:tcPr>
          <w:p w14:paraId="0820C767"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Power </w:t>
            </w:r>
            <w:proofErr w:type="spellStart"/>
            <w:r w:rsidRPr="008F720A">
              <w:rPr>
                <w:rFonts w:ascii="Arial" w:eastAsia="Times New Roman" w:hAnsi="Arial" w:cs="Arial"/>
                <w:color w:val="000000"/>
                <w:sz w:val="20"/>
                <w:szCs w:val="20"/>
              </w:rPr>
              <w:t>dist</w:t>
            </w:r>
            <w:proofErr w:type="spellEnd"/>
          </w:p>
        </w:tc>
        <w:tc>
          <w:tcPr>
            <w:tcW w:w="1072" w:type="dxa"/>
            <w:shd w:val="clear" w:color="auto" w:fill="auto"/>
            <w:noWrap/>
            <w:vAlign w:val="bottom"/>
            <w:hideMark/>
          </w:tcPr>
          <w:p w14:paraId="6C8E693F"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Electricity</w:t>
            </w:r>
          </w:p>
        </w:tc>
      </w:tr>
      <w:tr w:rsidR="008F720A" w:rsidRPr="008F720A" w14:paraId="4411F5D4" w14:textId="77777777" w:rsidTr="008F720A">
        <w:trPr>
          <w:trHeight w:val="300"/>
        </w:trPr>
        <w:tc>
          <w:tcPr>
            <w:tcW w:w="943" w:type="dxa"/>
            <w:shd w:val="clear" w:color="auto" w:fill="auto"/>
            <w:noWrap/>
            <w:vAlign w:val="bottom"/>
            <w:hideMark/>
          </w:tcPr>
          <w:p w14:paraId="7A984173" w14:textId="77777777" w:rsidR="008F720A" w:rsidRPr="008F720A" w:rsidRDefault="008F720A" w:rsidP="008F720A">
            <w:pPr>
              <w:spacing w:after="0" w:line="240" w:lineRule="auto"/>
              <w:jc w:val="right"/>
              <w:rPr>
                <w:rFonts w:ascii="Arial" w:eastAsia="Times New Roman" w:hAnsi="Arial" w:cs="Arial"/>
                <w:color w:val="000000"/>
                <w:sz w:val="20"/>
                <w:szCs w:val="20"/>
              </w:rPr>
            </w:pPr>
            <w:r w:rsidRPr="008F720A">
              <w:rPr>
                <w:rFonts w:ascii="Arial" w:eastAsia="Times New Roman" w:hAnsi="Arial" w:cs="Arial"/>
                <w:color w:val="000000"/>
                <w:sz w:val="20"/>
                <w:szCs w:val="20"/>
              </w:rPr>
              <w:t>3</w:t>
            </w:r>
          </w:p>
        </w:tc>
        <w:tc>
          <w:tcPr>
            <w:tcW w:w="1886" w:type="dxa"/>
            <w:shd w:val="clear" w:color="auto" w:fill="auto"/>
            <w:noWrap/>
            <w:vAlign w:val="bottom"/>
            <w:hideMark/>
          </w:tcPr>
          <w:p w14:paraId="3E13DC80"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NG - </w:t>
            </w:r>
            <w:proofErr w:type="spellStart"/>
            <w:r w:rsidRPr="008F720A">
              <w:rPr>
                <w:rFonts w:ascii="Arial" w:eastAsia="Times New Roman" w:hAnsi="Arial" w:cs="Arial"/>
                <w:color w:val="000000"/>
                <w:sz w:val="20"/>
                <w:szCs w:val="20"/>
              </w:rPr>
              <w:t>ShaleGas</w:t>
            </w:r>
            <w:proofErr w:type="spellEnd"/>
          </w:p>
        </w:tc>
        <w:tc>
          <w:tcPr>
            <w:tcW w:w="1150" w:type="dxa"/>
            <w:shd w:val="clear" w:color="auto" w:fill="auto"/>
            <w:noWrap/>
            <w:vAlign w:val="bottom"/>
            <w:hideMark/>
          </w:tcPr>
          <w:p w14:paraId="1AFF00EE"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Default</w:t>
            </w:r>
          </w:p>
        </w:tc>
        <w:tc>
          <w:tcPr>
            <w:tcW w:w="1773" w:type="dxa"/>
            <w:shd w:val="clear" w:color="auto" w:fill="auto"/>
            <w:noWrap/>
            <w:vAlign w:val="bottom"/>
            <w:hideMark/>
          </w:tcPr>
          <w:p w14:paraId="43D3698D"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Pow-CC-0.8</w:t>
            </w:r>
          </w:p>
        </w:tc>
        <w:tc>
          <w:tcPr>
            <w:tcW w:w="997" w:type="dxa"/>
            <w:shd w:val="clear" w:color="auto" w:fill="auto"/>
            <w:noWrap/>
            <w:vAlign w:val="bottom"/>
            <w:hideMark/>
          </w:tcPr>
          <w:p w14:paraId="20851DD1"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No</w:t>
            </w:r>
          </w:p>
        </w:tc>
        <w:tc>
          <w:tcPr>
            <w:tcW w:w="1539" w:type="dxa"/>
            <w:shd w:val="clear" w:color="auto" w:fill="auto"/>
            <w:noWrap/>
            <w:vAlign w:val="bottom"/>
            <w:hideMark/>
          </w:tcPr>
          <w:p w14:paraId="2DD59B5E"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Power </w:t>
            </w:r>
            <w:proofErr w:type="spellStart"/>
            <w:r w:rsidRPr="008F720A">
              <w:rPr>
                <w:rFonts w:ascii="Arial" w:eastAsia="Times New Roman" w:hAnsi="Arial" w:cs="Arial"/>
                <w:color w:val="000000"/>
                <w:sz w:val="20"/>
                <w:szCs w:val="20"/>
              </w:rPr>
              <w:t>dist</w:t>
            </w:r>
            <w:proofErr w:type="spellEnd"/>
          </w:p>
        </w:tc>
        <w:tc>
          <w:tcPr>
            <w:tcW w:w="1072" w:type="dxa"/>
            <w:shd w:val="clear" w:color="auto" w:fill="auto"/>
            <w:noWrap/>
            <w:vAlign w:val="bottom"/>
            <w:hideMark/>
          </w:tcPr>
          <w:p w14:paraId="76B620B7"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Electricity</w:t>
            </w:r>
          </w:p>
        </w:tc>
      </w:tr>
      <w:tr w:rsidR="008F720A" w:rsidRPr="008F720A" w14:paraId="46035EE9" w14:textId="77777777" w:rsidTr="008F720A">
        <w:trPr>
          <w:trHeight w:val="300"/>
        </w:trPr>
        <w:tc>
          <w:tcPr>
            <w:tcW w:w="943" w:type="dxa"/>
            <w:shd w:val="clear" w:color="auto" w:fill="auto"/>
            <w:noWrap/>
            <w:vAlign w:val="bottom"/>
            <w:hideMark/>
          </w:tcPr>
          <w:p w14:paraId="0010AED8" w14:textId="77777777" w:rsidR="008F720A" w:rsidRPr="008F720A" w:rsidRDefault="008F720A" w:rsidP="008F720A">
            <w:pPr>
              <w:spacing w:after="0" w:line="240" w:lineRule="auto"/>
              <w:jc w:val="right"/>
              <w:rPr>
                <w:rFonts w:ascii="Arial" w:eastAsia="Times New Roman" w:hAnsi="Arial" w:cs="Arial"/>
                <w:color w:val="000000"/>
                <w:sz w:val="20"/>
                <w:szCs w:val="20"/>
              </w:rPr>
            </w:pPr>
            <w:r w:rsidRPr="008F720A">
              <w:rPr>
                <w:rFonts w:ascii="Arial" w:eastAsia="Times New Roman" w:hAnsi="Arial" w:cs="Arial"/>
                <w:color w:val="000000"/>
                <w:sz w:val="20"/>
                <w:szCs w:val="20"/>
              </w:rPr>
              <w:t>4</w:t>
            </w:r>
          </w:p>
        </w:tc>
        <w:tc>
          <w:tcPr>
            <w:tcW w:w="1886" w:type="dxa"/>
            <w:shd w:val="clear" w:color="auto" w:fill="auto"/>
            <w:noWrap/>
            <w:vAlign w:val="bottom"/>
            <w:hideMark/>
          </w:tcPr>
          <w:p w14:paraId="1B104C5E"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NG - </w:t>
            </w:r>
            <w:proofErr w:type="spellStart"/>
            <w:r w:rsidRPr="008F720A">
              <w:rPr>
                <w:rFonts w:ascii="Arial" w:eastAsia="Times New Roman" w:hAnsi="Arial" w:cs="Arial"/>
                <w:color w:val="000000"/>
                <w:sz w:val="20"/>
                <w:szCs w:val="20"/>
              </w:rPr>
              <w:t>ShaleGas</w:t>
            </w:r>
            <w:proofErr w:type="spellEnd"/>
          </w:p>
        </w:tc>
        <w:tc>
          <w:tcPr>
            <w:tcW w:w="1150" w:type="dxa"/>
            <w:shd w:val="clear" w:color="auto" w:fill="auto"/>
            <w:noWrap/>
            <w:vAlign w:val="bottom"/>
            <w:hideMark/>
          </w:tcPr>
          <w:p w14:paraId="5B4E78F5"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Default</w:t>
            </w:r>
          </w:p>
        </w:tc>
        <w:tc>
          <w:tcPr>
            <w:tcW w:w="1773" w:type="dxa"/>
            <w:shd w:val="clear" w:color="auto" w:fill="auto"/>
            <w:noWrap/>
            <w:vAlign w:val="bottom"/>
            <w:hideMark/>
          </w:tcPr>
          <w:p w14:paraId="6C832911"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Pow-CC-0.7</w:t>
            </w:r>
          </w:p>
        </w:tc>
        <w:tc>
          <w:tcPr>
            <w:tcW w:w="997" w:type="dxa"/>
            <w:shd w:val="clear" w:color="auto" w:fill="auto"/>
            <w:noWrap/>
            <w:vAlign w:val="bottom"/>
            <w:hideMark/>
          </w:tcPr>
          <w:p w14:paraId="7ECB57C0"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No</w:t>
            </w:r>
          </w:p>
        </w:tc>
        <w:tc>
          <w:tcPr>
            <w:tcW w:w="1539" w:type="dxa"/>
            <w:shd w:val="clear" w:color="auto" w:fill="auto"/>
            <w:noWrap/>
            <w:vAlign w:val="bottom"/>
            <w:hideMark/>
          </w:tcPr>
          <w:p w14:paraId="59F25437"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Power </w:t>
            </w:r>
            <w:proofErr w:type="spellStart"/>
            <w:r w:rsidRPr="008F720A">
              <w:rPr>
                <w:rFonts w:ascii="Arial" w:eastAsia="Times New Roman" w:hAnsi="Arial" w:cs="Arial"/>
                <w:color w:val="000000"/>
                <w:sz w:val="20"/>
                <w:szCs w:val="20"/>
              </w:rPr>
              <w:t>dist</w:t>
            </w:r>
            <w:proofErr w:type="spellEnd"/>
          </w:p>
        </w:tc>
        <w:tc>
          <w:tcPr>
            <w:tcW w:w="1072" w:type="dxa"/>
            <w:shd w:val="clear" w:color="auto" w:fill="auto"/>
            <w:noWrap/>
            <w:vAlign w:val="bottom"/>
            <w:hideMark/>
          </w:tcPr>
          <w:p w14:paraId="40959860"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Electricity</w:t>
            </w:r>
          </w:p>
        </w:tc>
      </w:tr>
      <w:tr w:rsidR="008F720A" w:rsidRPr="008F720A" w14:paraId="6BB75C58" w14:textId="77777777" w:rsidTr="008F720A">
        <w:trPr>
          <w:trHeight w:val="300"/>
        </w:trPr>
        <w:tc>
          <w:tcPr>
            <w:tcW w:w="943" w:type="dxa"/>
            <w:shd w:val="clear" w:color="auto" w:fill="auto"/>
            <w:noWrap/>
            <w:vAlign w:val="bottom"/>
            <w:hideMark/>
          </w:tcPr>
          <w:p w14:paraId="0A5CE7CA" w14:textId="77777777" w:rsidR="008F720A" w:rsidRPr="008F720A" w:rsidRDefault="008F720A" w:rsidP="008F720A">
            <w:pPr>
              <w:spacing w:after="0" w:line="240" w:lineRule="auto"/>
              <w:jc w:val="right"/>
              <w:rPr>
                <w:rFonts w:ascii="Arial" w:eastAsia="Times New Roman" w:hAnsi="Arial" w:cs="Arial"/>
                <w:color w:val="000000"/>
                <w:sz w:val="20"/>
                <w:szCs w:val="20"/>
              </w:rPr>
            </w:pPr>
            <w:r w:rsidRPr="008F720A">
              <w:rPr>
                <w:rFonts w:ascii="Arial" w:eastAsia="Times New Roman" w:hAnsi="Arial" w:cs="Arial"/>
                <w:color w:val="000000"/>
                <w:sz w:val="20"/>
                <w:szCs w:val="20"/>
              </w:rPr>
              <w:t>5</w:t>
            </w:r>
          </w:p>
        </w:tc>
        <w:tc>
          <w:tcPr>
            <w:tcW w:w="1886" w:type="dxa"/>
            <w:shd w:val="clear" w:color="auto" w:fill="auto"/>
            <w:noWrap/>
            <w:vAlign w:val="bottom"/>
            <w:hideMark/>
          </w:tcPr>
          <w:p w14:paraId="2934ED60"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NG - </w:t>
            </w:r>
            <w:proofErr w:type="spellStart"/>
            <w:r w:rsidRPr="008F720A">
              <w:rPr>
                <w:rFonts w:ascii="Arial" w:eastAsia="Times New Roman" w:hAnsi="Arial" w:cs="Arial"/>
                <w:color w:val="000000"/>
                <w:sz w:val="20"/>
                <w:szCs w:val="20"/>
              </w:rPr>
              <w:t>ShaleGas</w:t>
            </w:r>
            <w:proofErr w:type="spellEnd"/>
          </w:p>
        </w:tc>
        <w:tc>
          <w:tcPr>
            <w:tcW w:w="1150" w:type="dxa"/>
            <w:shd w:val="clear" w:color="auto" w:fill="auto"/>
            <w:noWrap/>
            <w:vAlign w:val="bottom"/>
            <w:hideMark/>
          </w:tcPr>
          <w:p w14:paraId="6E83502B"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Default</w:t>
            </w:r>
          </w:p>
        </w:tc>
        <w:tc>
          <w:tcPr>
            <w:tcW w:w="1773" w:type="dxa"/>
            <w:shd w:val="clear" w:color="auto" w:fill="auto"/>
            <w:noWrap/>
            <w:vAlign w:val="bottom"/>
            <w:hideMark/>
          </w:tcPr>
          <w:p w14:paraId="3EA768B9"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Pow-CC-0.6</w:t>
            </w:r>
          </w:p>
        </w:tc>
        <w:tc>
          <w:tcPr>
            <w:tcW w:w="997" w:type="dxa"/>
            <w:shd w:val="clear" w:color="auto" w:fill="auto"/>
            <w:noWrap/>
            <w:vAlign w:val="bottom"/>
            <w:hideMark/>
          </w:tcPr>
          <w:p w14:paraId="376958A6"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No</w:t>
            </w:r>
          </w:p>
        </w:tc>
        <w:tc>
          <w:tcPr>
            <w:tcW w:w="1539" w:type="dxa"/>
            <w:shd w:val="clear" w:color="auto" w:fill="auto"/>
            <w:noWrap/>
            <w:vAlign w:val="bottom"/>
            <w:hideMark/>
          </w:tcPr>
          <w:p w14:paraId="5F7AB12B"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Power </w:t>
            </w:r>
            <w:proofErr w:type="spellStart"/>
            <w:r w:rsidRPr="008F720A">
              <w:rPr>
                <w:rFonts w:ascii="Arial" w:eastAsia="Times New Roman" w:hAnsi="Arial" w:cs="Arial"/>
                <w:color w:val="000000"/>
                <w:sz w:val="20"/>
                <w:szCs w:val="20"/>
              </w:rPr>
              <w:t>dist</w:t>
            </w:r>
            <w:proofErr w:type="spellEnd"/>
          </w:p>
        </w:tc>
        <w:tc>
          <w:tcPr>
            <w:tcW w:w="1072" w:type="dxa"/>
            <w:shd w:val="clear" w:color="auto" w:fill="auto"/>
            <w:noWrap/>
            <w:vAlign w:val="bottom"/>
            <w:hideMark/>
          </w:tcPr>
          <w:p w14:paraId="00EBA8CC"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Electricity</w:t>
            </w:r>
          </w:p>
        </w:tc>
      </w:tr>
      <w:tr w:rsidR="008F720A" w:rsidRPr="008F720A" w14:paraId="066290C9" w14:textId="77777777" w:rsidTr="008F720A">
        <w:trPr>
          <w:trHeight w:val="300"/>
        </w:trPr>
        <w:tc>
          <w:tcPr>
            <w:tcW w:w="943" w:type="dxa"/>
            <w:tcBorders>
              <w:bottom w:val="single" w:sz="4" w:space="0" w:color="auto"/>
            </w:tcBorders>
            <w:shd w:val="clear" w:color="auto" w:fill="auto"/>
            <w:noWrap/>
            <w:vAlign w:val="bottom"/>
            <w:hideMark/>
          </w:tcPr>
          <w:p w14:paraId="745E8BAF" w14:textId="77777777" w:rsidR="008F720A" w:rsidRPr="008F720A" w:rsidRDefault="008F720A" w:rsidP="008F720A">
            <w:pPr>
              <w:spacing w:after="0" w:line="240" w:lineRule="auto"/>
              <w:jc w:val="right"/>
              <w:rPr>
                <w:rFonts w:ascii="Arial" w:eastAsia="Times New Roman" w:hAnsi="Arial" w:cs="Arial"/>
                <w:color w:val="000000"/>
                <w:sz w:val="20"/>
                <w:szCs w:val="20"/>
              </w:rPr>
            </w:pPr>
            <w:r w:rsidRPr="008F720A">
              <w:rPr>
                <w:rFonts w:ascii="Arial" w:eastAsia="Times New Roman" w:hAnsi="Arial" w:cs="Arial"/>
                <w:color w:val="000000"/>
                <w:sz w:val="20"/>
                <w:szCs w:val="20"/>
              </w:rPr>
              <w:t>6</w:t>
            </w:r>
          </w:p>
        </w:tc>
        <w:tc>
          <w:tcPr>
            <w:tcW w:w="1886" w:type="dxa"/>
            <w:tcBorders>
              <w:bottom w:val="single" w:sz="4" w:space="0" w:color="auto"/>
            </w:tcBorders>
            <w:shd w:val="clear" w:color="auto" w:fill="auto"/>
            <w:noWrap/>
            <w:vAlign w:val="bottom"/>
            <w:hideMark/>
          </w:tcPr>
          <w:p w14:paraId="6A21BDB8"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NG - </w:t>
            </w:r>
            <w:proofErr w:type="spellStart"/>
            <w:r w:rsidRPr="008F720A">
              <w:rPr>
                <w:rFonts w:ascii="Arial" w:eastAsia="Times New Roman" w:hAnsi="Arial" w:cs="Arial"/>
                <w:color w:val="000000"/>
                <w:sz w:val="20"/>
                <w:szCs w:val="20"/>
              </w:rPr>
              <w:t>ShaleGas</w:t>
            </w:r>
            <w:proofErr w:type="spellEnd"/>
          </w:p>
        </w:tc>
        <w:tc>
          <w:tcPr>
            <w:tcW w:w="1150" w:type="dxa"/>
            <w:tcBorders>
              <w:bottom w:val="single" w:sz="4" w:space="0" w:color="auto"/>
            </w:tcBorders>
            <w:shd w:val="clear" w:color="auto" w:fill="auto"/>
            <w:noWrap/>
            <w:vAlign w:val="bottom"/>
            <w:hideMark/>
          </w:tcPr>
          <w:p w14:paraId="2B783381"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Default</w:t>
            </w:r>
          </w:p>
        </w:tc>
        <w:tc>
          <w:tcPr>
            <w:tcW w:w="1773" w:type="dxa"/>
            <w:tcBorders>
              <w:bottom w:val="single" w:sz="4" w:space="0" w:color="auto"/>
            </w:tcBorders>
            <w:shd w:val="clear" w:color="auto" w:fill="auto"/>
            <w:noWrap/>
            <w:vAlign w:val="bottom"/>
            <w:hideMark/>
          </w:tcPr>
          <w:p w14:paraId="3D5CB8C6"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Pow-CC-0.5</w:t>
            </w:r>
          </w:p>
        </w:tc>
        <w:tc>
          <w:tcPr>
            <w:tcW w:w="997" w:type="dxa"/>
            <w:tcBorders>
              <w:bottom w:val="single" w:sz="4" w:space="0" w:color="auto"/>
            </w:tcBorders>
            <w:shd w:val="clear" w:color="auto" w:fill="auto"/>
            <w:noWrap/>
            <w:vAlign w:val="bottom"/>
            <w:hideMark/>
          </w:tcPr>
          <w:p w14:paraId="292966C3"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No</w:t>
            </w:r>
          </w:p>
        </w:tc>
        <w:tc>
          <w:tcPr>
            <w:tcW w:w="1539" w:type="dxa"/>
            <w:tcBorders>
              <w:bottom w:val="single" w:sz="4" w:space="0" w:color="auto"/>
            </w:tcBorders>
            <w:shd w:val="clear" w:color="auto" w:fill="auto"/>
            <w:noWrap/>
            <w:vAlign w:val="bottom"/>
            <w:hideMark/>
          </w:tcPr>
          <w:p w14:paraId="345810B8"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Power </w:t>
            </w:r>
            <w:proofErr w:type="spellStart"/>
            <w:r w:rsidRPr="008F720A">
              <w:rPr>
                <w:rFonts w:ascii="Arial" w:eastAsia="Times New Roman" w:hAnsi="Arial" w:cs="Arial"/>
                <w:color w:val="000000"/>
                <w:sz w:val="20"/>
                <w:szCs w:val="20"/>
              </w:rPr>
              <w:t>dist</w:t>
            </w:r>
            <w:proofErr w:type="spellEnd"/>
          </w:p>
        </w:tc>
        <w:tc>
          <w:tcPr>
            <w:tcW w:w="1072" w:type="dxa"/>
            <w:tcBorders>
              <w:bottom w:val="single" w:sz="4" w:space="0" w:color="auto"/>
            </w:tcBorders>
            <w:shd w:val="clear" w:color="auto" w:fill="auto"/>
            <w:noWrap/>
            <w:vAlign w:val="bottom"/>
            <w:hideMark/>
          </w:tcPr>
          <w:p w14:paraId="3186406E"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Electricity</w:t>
            </w:r>
          </w:p>
        </w:tc>
      </w:tr>
      <w:tr w:rsidR="008F720A" w:rsidRPr="008F720A" w14:paraId="2764CDE6" w14:textId="77777777" w:rsidTr="008F720A">
        <w:trPr>
          <w:trHeight w:val="300"/>
        </w:trPr>
        <w:tc>
          <w:tcPr>
            <w:tcW w:w="943" w:type="dxa"/>
            <w:tcBorders>
              <w:top w:val="single" w:sz="4" w:space="0" w:color="auto"/>
              <w:bottom w:val="single" w:sz="4" w:space="0" w:color="auto"/>
            </w:tcBorders>
            <w:shd w:val="clear" w:color="auto" w:fill="auto"/>
            <w:noWrap/>
            <w:vAlign w:val="bottom"/>
            <w:hideMark/>
          </w:tcPr>
          <w:p w14:paraId="0E5913D0" w14:textId="77777777" w:rsidR="008F720A" w:rsidRPr="008F720A" w:rsidRDefault="008F720A" w:rsidP="008F720A">
            <w:pPr>
              <w:spacing w:after="0" w:line="240" w:lineRule="auto"/>
              <w:jc w:val="right"/>
              <w:rPr>
                <w:rFonts w:ascii="Arial" w:eastAsia="Times New Roman" w:hAnsi="Arial" w:cs="Arial"/>
                <w:color w:val="000000"/>
                <w:sz w:val="20"/>
                <w:szCs w:val="20"/>
              </w:rPr>
            </w:pPr>
            <w:r w:rsidRPr="008F720A">
              <w:rPr>
                <w:rFonts w:ascii="Arial" w:eastAsia="Times New Roman" w:hAnsi="Arial" w:cs="Arial"/>
                <w:color w:val="000000"/>
                <w:sz w:val="20"/>
                <w:szCs w:val="20"/>
              </w:rPr>
              <w:t>7</w:t>
            </w:r>
          </w:p>
        </w:tc>
        <w:tc>
          <w:tcPr>
            <w:tcW w:w="1886" w:type="dxa"/>
            <w:tcBorders>
              <w:top w:val="single" w:sz="4" w:space="0" w:color="auto"/>
              <w:bottom w:val="single" w:sz="4" w:space="0" w:color="auto"/>
            </w:tcBorders>
            <w:shd w:val="clear" w:color="auto" w:fill="auto"/>
            <w:noWrap/>
            <w:vAlign w:val="bottom"/>
            <w:hideMark/>
          </w:tcPr>
          <w:p w14:paraId="0A59CD29"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NG - </w:t>
            </w:r>
            <w:proofErr w:type="spellStart"/>
            <w:r w:rsidRPr="008F720A">
              <w:rPr>
                <w:rFonts w:ascii="Arial" w:eastAsia="Times New Roman" w:hAnsi="Arial" w:cs="Arial"/>
                <w:color w:val="000000"/>
                <w:sz w:val="20"/>
                <w:szCs w:val="20"/>
              </w:rPr>
              <w:t>ShaleGas</w:t>
            </w:r>
            <w:proofErr w:type="spellEnd"/>
          </w:p>
        </w:tc>
        <w:tc>
          <w:tcPr>
            <w:tcW w:w="1150" w:type="dxa"/>
            <w:tcBorders>
              <w:top w:val="single" w:sz="4" w:space="0" w:color="auto"/>
              <w:bottom w:val="single" w:sz="4" w:space="0" w:color="auto"/>
            </w:tcBorders>
            <w:shd w:val="clear" w:color="auto" w:fill="auto"/>
            <w:noWrap/>
            <w:vAlign w:val="bottom"/>
            <w:hideMark/>
          </w:tcPr>
          <w:p w14:paraId="32205305"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Default</w:t>
            </w:r>
          </w:p>
        </w:tc>
        <w:tc>
          <w:tcPr>
            <w:tcW w:w="1773" w:type="dxa"/>
            <w:tcBorders>
              <w:top w:val="single" w:sz="4" w:space="0" w:color="auto"/>
              <w:bottom w:val="single" w:sz="4" w:space="0" w:color="auto"/>
            </w:tcBorders>
            <w:shd w:val="clear" w:color="auto" w:fill="auto"/>
            <w:noWrap/>
            <w:vAlign w:val="bottom"/>
            <w:hideMark/>
          </w:tcPr>
          <w:p w14:paraId="1D1DB857"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Pow-CC-0.4</w:t>
            </w:r>
          </w:p>
        </w:tc>
        <w:tc>
          <w:tcPr>
            <w:tcW w:w="997" w:type="dxa"/>
            <w:tcBorders>
              <w:top w:val="single" w:sz="4" w:space="0" w:color="auto"/>
              <w:bottom w:val="single" w:sz="4" w:space="0" w:color="auto"/>
            </w:tcBorders>
            <w:shd w:val="clear" w:color="auto" w:fill="auto"/>
            <w:noWrap/>
            <w:vAlign w:val="bottom"/>
            <w:hideMark/>
          </w:tcPr>
          <w:p w14:paraId="1835AD10"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No</w:t>
            </w:r>
          </w:p>
        </w:tc>
        <w:tc>
          <w:tcPr>
            <w:tcW w:w="1539" w:type="dxa"/>
            <w:tcBorders>
              <w:top w:val="single" w:sz="4" w:space="0" w:color="auto"/>
              <w:bottom w:val="single" w:sz="4" w:space="0" w:color="auto"/>
            </w:tcBorders>
            <w:shd w:val="clear" w:color="auto" w:fill="auto"/>
            <w:noWrap/>
            <w:vAlign w:val="bottom"/>
            <w:hideMark/>
          </w:tcPr>
          <w:p w14:paraId="5E3CEEEA"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 xml:space="preserve">Power </w:t>
            </w:r>
            <w:proofErr w:type="spellStart"/>
            <w:r w:rsidRPr="008F720A">
              <w:rPr>
                <w:rFonts w:ascii="Arial" w:eastAsia="Times New Roman" w:hAnsi="Arial" w:cs="Arial"/>
                <w:color w:val="000000"/>
                <w:sz w:val="20"/>
                <w:szCs w:val="20"/>
              </w:rPr>
              <w:t>dist</w:t>
            </w:r>
            <w:proofErr w:type="spellEnd"/>
          </w:p>
        </w:tc>
        <w:tc>
          <w:tcPr>
            <w:tcW w:w="1072" w:type="dxa"/>
            <w:tcBorders>
              <w:top w:val="single" w:sz="4" w:space="0" w:color="auto"/>
              <w:bottom w:val="single" w:sz="4" w:space="0" w:color="auto"/>
            </w:tcBorders>
            <w:shd w:val="clear" w:color="auto" w:fill="auto"/>
            <w:noWrap/>
            <w:vAlign w:val="bottom"/>
            <w:hideMark/>
          </w:tcPr>
          <w:p w14:paraId="62A6785F" w14:textId="77777777" w:rsidR="008F720A" w:rsidRPr="008F720A" w:rsidRDefault="008F720A" w:rsidP="008F720A">
            <w:pPr>
              <w:spacing w:after="0" w:line="240" w:lineRule="auto"/>
              <w:jc w:val="center"/>
              <w:rPr>
                <w:rFonts w:ascii="Arial" w:eastAsia="Times New Roman" w:hAnsi="Arial" w:cs="Arial"/>
                <w:color w:val="000000"/>
                <w:sz w:val="20"/>
                <w:szCs w:val="20"/>
              </w:rPr>
            </w:pPr>
            <w:r w:rsidRPr="008F720A">
              <w:rPr>
                <w:rFonts w:ascii="Arial" w:eastAsia="Times New Roman" w:hAnsi="Arial" w:cs="Arial"/>
                <w:color w:val="000000"/>
                <w:sz w:val="20"/>
                <w:szCs w:val="20"/>
              </w:rPr>
              <w:t>Electricity</w:t>
            </w:r>
          </w:p>
        </w:tc>
      </w:tr>
    </w:tbl>
    <w:p w14:paraId="613BADEB" w14:textId="77777777" w:rsidR="00EB7BE5" w:rsidRDefault="00EB7BE5" w:rsidP="00EC27C1"/>
    <w:p w14:paraId="498C0782" w14:textId="1535114A" w:rsidR="003320AE" w:rsidRDefault="003772CD" w:rsidP="003772CD">
      <w:bookmarkStart w:id="304" w:name="_Ref15572510"/>
      <w:r>
        <w:lastRenderedPageBreak/>
        <w:t xml:space="preserve">Although emissions of renewable power generation </w:t>
      </w:r>
      <w:r w:rsidR="007B199A">
        <w:t>are</w:t>
      </w:r>
      <w:r>
        <w:t xml:space="preserve"> significantly lower than the fossil </w:t>
      </w:r>
      <w:proofErr w:type="gramStart"/>
      <w:r>
        <w:t>fuel based</w:t>
      </w:r>
      <w:proofErr w:type="gramEnd"/>
      <w:r>
        <w:t xml:space="preserve"> alternatives, they are not zero. </w:t>
      </w:r>
      <w:bookmarkStart w:id="305" w:name="_GoBack"/>
      <w:bookmarkEnd w:id="305"/>
      <w:r w:rsidRPr="00B47FFA">
        <w:rPr>
          <w:highlight w:val="yellow"/>
          <w:rPrChange w:id="306" w:author="t_ghosh" w:date="2019-08-30T13:15:00Z">
            <w:rPr/>
          </w:rPrChange>
        </w:rPr>
        <w:t>Hence, we have developed and implemented extensive analysis capabilities for solar and wind conversion technologies in SESAME</w:t>
      </w:r>
      <w:r>
        <w:t xml:space="preserve">. A snapshot of results is shown in </w:t>
      </w:r>
      <w:r>
        <w:fldChar w:fldCharType="begin"/>
      </w:r>
      <w:r>
        <w:instrText xml:space="preserve"> REF _Ref15572807 \h </w:instrText>
      </w:r>
      <w:r>
        <w:fldChar w:fldCharType="separate"/>
      </w:r>
      <w:r>
        <w:t xml:space="preserve">Table </w:t>
      </w:r>
      <w:r>
        <w:rPr>
          <w:noProof/>
        </w:rPr>
        <w:t>5</w:t>
      </w:r>
      <w:r>
        <w:fldChar w:fldCharType="end"/>
      </w:r>
      <w:r w:rsidR="007B199A">
        <w:t>. D</w:t>
      </w:r>
      <w:r w:rsidR="00807754">
        <w:t>etails of these modules and an</w:t>
      </w:r>
      <w:r>
        <w:t xml:space="preserve"> analysis on solar PV </w:t>
      </w:r>
      <w:r>
        <w:fldChar w:fldCharType="begin" w:fldLock="1"/>
      </w:r>
      <w:r w:rsidR="001C4AB5">
        <w:instrText>ADDIN CSL_CITATION {"citationItems":[{"id":"ITEM-1","itemData":{"DOI":"10.1016/B978-0-12-818634-3.50177-6","ISBN":"9780128186343","ISSN":"1570-7946","abstract":"A life cycle assessment (LCA) of photovoltaic (PV) power is conducted. The PV LCA is used to estimate the emissions impact of a common PV practice that has not been comprehensively analyzed by LCA: solar tracking. Relative to stationary mounting, solar tracking is found to decrease the greenhouse gas emissions of power from multi-crystalline silicon PV in most regions analyzed (by 0 to ~12%, or 0 to ~4 gCO2e/kWh), and to increase the emissions of power from cadmium telluride PV in most regions analyzed (by 0 to ~12%, or 0 to ~4 gCO2e/kWh). This dependence on cell type is explained by the interaction of tracker production emissions, module production emissions, and tracking energy gain. For both PV cell types, if the ratio of module production emissions to tracker production emissions increases in future, independent of absolute emission values, tracking will more commonly decrease PV carbon intensity. Conversely, if the ratio decreases, tracking will more commonly increase PV carbon intensity. Equations are presented to explain this relationship between module production emissions and tracker production emissions. These equations apply to emissions of all pollutants, not only greenhouse gases.","author":[{"dropping-particle":"","family":"Miller","given":"Ian","non-dropping-particle":"","parse-names":false,"suffix":""},{"dropping-particle":"","family":"Gençer","given":"Emre","non-dropping-particle":"","parse-names":false,"suffix":""},{"dropping-particle":"","family":"O’Sullivan","given":"Francis M.","non-dropping-particle":"","parse-names":false,"suffix":""}],"container-title":"Computer Aided Chemical Engineering","id":"ITEM-1","issued":{"date-parts":[["2019","1","1"]]},"page":"1057-1062","publisher":"Elsevier","title":"Modeling Impacts of Tracking on Greenhouse Gas Emissions from Photovoltaic Power","type":"article-journal","volume":"46"},"uris":["http://www.mendeley.com/documents/?uuid=aca04d00-2e31-399c-b60a-f2fcb5777d4d"]},{"id":"ITEM-2","itemData":{"DOI":"10.1016/j.apenergy.2019.01.012","ISSN":"03062619","author":[{"dropping-particle":"","family":"Miller","given":"Ian","non-dropping-particle":"","parse-names":false,"suffix":""},{"dropping-particle":"","family":"Gençer","given":"Emre","non-dropping-particle":"","parse-names":false,"suffix":""},{"dropping-particle":"","family":"Vogelbaum","given":"Hilary S","non-dropping-particle":"","parse-names":false,"suffix":""},{"dropping-particle":"","family":"Brown","given":"Patrick R","non-dropping-particle":"","parse-names":false,"suffix":""},{"dropping-particle":"","family":"Torkamani","given":"Sarah","non-dropping-particle":"","parse-names":false,"suffix":""},{"dropping-particle":"","family":"O'Sullivan","given":"Francis M.","non-dropping-particle":"","parse-names":false,"suffix":""}],"container-title":"Applied Energy","id":"ITEM-2","issue":"January","issued":{"date-parts":[["2019","3"]]},"page":"760-774","publisher":"Elsevier","title":"Parametric modeling of life cycle greenhouse gas emissions from photovoltaic power","type":"article-journal","volume":"238"},"uris":["http://www.mendeley.com/documents/?uuid=617d7a49-d9ee-4a29-8a7b-ac8343ceb381"]}],"mendeley":{"formattedCitation":"[32,41]","plainTextFormattedCitation":"[32,41]","previouslyFormattedCitation":"[32,40]"},"properties":{"noteIndex":0},"schema":"https://github.com/citation-style-language/schema/raw/master/csl-citation.json"}</w:instrText>
      </w:r>
      <w:r>
        <w:fldChar w:fldCharType="separate"/>
      </w:r>
      <w:r w:rsidR="001C4AB5" w:rsidRPr="001C4AB5">
        <w:rPr>
          <w:noProof/>
        </w:rPr>
        <w:t>[32,41]</w:t>
      </w:r>
      <w:r>
        <w:fldChar w:fldCharType="end"/>
      </w:r>
      <w:r>
        <w:t xml:space="preserve"> and integration of energy storage</w:t>
      </w:r>
      <w:r w:rsidR="00807754">
        <w:t xml:space="preserve"> technologies</w:t>
      </w:r>
      <w:r>
        <w:t xml:space="preserve"> with solar PV and wind power systems </w:t>
      </w:r>
      <w:r>
        <w:fldChar w:fldCharType="begin" w:fldLock="1"/>
      </w:r>
      <w:r w:rsidR="003D2506">
        <w:instrText>ADDIN CSL_CITATION {"citationItems":[{"id":"ITEM-1","itemData":{"DOI":"10.3390/pr6120267","ISSN":"2227-9717","abstract":"&lt;p&gt;The penetration of renewable power generation is increasing at an unprecedented pace. While the operating greenhouse gas (GHG) emissions of photovoltaic (PV) and wind power are negligible, their upstream emissions are not. The great challenge with the deployment of renewable power generators is their intermittent and variable nature. Current electric power systems balance these fluctuations primarily using natural gas fired power plants. Alternatively, these dynamics could be handled by the integration of energy storage technologies to store energy during renewable energy availability and discharge when needed. In this paper, we present a model for estimating emissions from integrated power generation and energy storage. The model applies to emissions of all pollutants, including greenhouse gases (GHGs), and to all storage technologies, including pumped hydroelectric and electrochemical storage. As a case study, the model is used to estimate the GHG emissions of electricity from systems that couple photovoltaic and wind generation with lithium-ion batteries (LBs) and vanadium redox flow batteries (VFBs). To facilitate the case study, we conducted a life cycle assessment (LCA) of photovoltaic (PV) power, as well as a synthesis of existing wind power LCAs. The PV LCA is also used to estimate the emissions impact of a common PV practice that has not been comprehensively analyzed by LCA—solar tracking. The case study of renewables and battery storage indicates that PV and wind power remain much less carbon intensive than fossil-based generation, even when coupled with large amounts of LBs or VFBs. Even the most carbon intensive renewable power analyzed still emits only ~25% of the GHGs of the least carbon intensive mainstream fossil power. Lastly, we find that the pathway to minimize the GHG emissions of power from a coupled system depends upon the generator. Given low-emission generation (&amp;lt;50 gCO2e/kWh), the minimizing pathway is the storage technology with lowest production emissions (VFBs over LBs for our case study). Given high-emission generation (&amp;gt;200 gCO2e/kWh), the minimizing pathway is the storage technology with highest round-trip efficiency (LBs over VFBs).&lt;/p&gt;","author":[{"dropping-particle":"","family":"Miller","given":"Ian","non-dropping-particle":"","parse-names":false,"suffix":""},{"dropping-particle":"","family":"Gençer","given":"Emre","non-dropping-particle":"","parse-names":false,"suffix":""},{"dropping-particle":"","family":"O’Sullivan","given":"Francis","non-dropping-particle":"","parse-names":false,"suffix":""}],"container-title":"Processes","id":"ITEM-1","issued":{"date-parts":[["2018"]]},"title":"A General Model for Estimating Emissions from Integrated Power Generation and Energy Storage. Case Study: Integration of Solar Photovoltaic Power and Wind Power with Batteries","type":"article-journal"},"uris":["http://www.mendeley.com/documents/?uuid=7a61c18f-6ccf-3335-b4bb-555b7b34bd95"]}],"mendeley":{"formattedCitation":"[33]","plainTextFormattedCitation":"[33]","previouslyFormattedCitation":"[33]"},"properties":{"noteIndex":0},"schema":"https://github.com/citation-style-language/schema/raw/master/csl-citation.json"}</w:instrText>
      </w:r>
      <w:r>
        <w:fldChar w:fldCharType="separate"/>
      </w:r>
      <w:r w:rsidRPr="003772CD">
        <w:rPr>
          <w:noProof/>
        </w:rPr>
        <w:t>[33]</w:t>
      </w:r>
      <w:r>
        <w:fldChar w:fldCharType="end"/>
      </w:r>
      <w:r w:rsidR="00807754">
        <w:t xml:space="preserve"> are available in these publications</w:t>
      </w:r>
      <w:r>
        <w:t xml:space="preserve">.   </w:t>
      </w:r>
    </w:p>
    <w:p w14:paraId="1C08D8BA" w14:textId="77777777" w:rsidR="00DC321F" w:rsidRDefault="00DC321F" w:rsidP="00DC321F">
      <w:pPr>
        <w:pStyle w:val="Caption"/>
        <w:keepNext/>
      </w:pPr>
      <w:bookmarkStart w:id="307" w:name="_Ref15572807"/>
      <w:r>
        <w:t xml:space="preserve">Table </w:t>
      </w:r>
      <w:r w:rsidR="00DA391D">
        <w:rPr>
          <w:noProof/>
        </w:rPr>
        <w:fldChar w:fldCharType="begin"/>
      </w:r>
      <w:r w:rsidR="00DA391D">
        <w:rPr>
          <w:noProof/>
        </w:rPr>
        <w:instrText xml:space="preserve"> SEQ Table \* ARABIC </w:instrText>
      </w:r>
      <w:r w:rsidR="00DA391D">
        <w:rPr>
          <w:noProof/>
        </w:rPr>
        <w:fldChar w:fldCharType="separate"/>
      </w:r>
      <w:r>
        <w:rPr>
          <w:noProof/>
        </w:rPr>
        <w:t>5</w:t>
      </w:r>
      <w:r w:rsidR="00DA391D">
        <w:rPr>
          <w:noProof/>
        </w:rPr>
        <w:fldChar w:fldCharType="end"/>
      </w:r>
      <w:bookmarkEnd w:id="304"/>
      <w:bookmarkEnd w:id="307"/>
      <w:r>
        <w:t xml:space="preserve"> Solar PV and wind power life cycle GHG emissions for example cases.</w:t>
      </w:r>
    </w:p>
    <w:tbl>
      <w:tblPr>
        <w:tblW w:w="0" w:type="auto"/>
        <w:jc w:val="center"/>
        <w:tblBorders>
          <w:bottom w:val="single" w:sz="4" w:space="0" w:color="auto"/>
          <w:insideH w:val="single" w:sz="4" w:space="0" w:color="auto"/>
        </w:tblBorders>
        <w:tblLook w:val="04A0" w:firstRow="1" w:lastRow="0" w:firstColumn="1" w:lastColumn="0" w:noHBand="0" w:noVBand="1"/>
      </w:tblPr>
      <w:tblGrid>
        <w:gridCol w:w="695"/>
        <w:gridCol w:w="1105"/>
        <w:gridCol w:w="1072"/>
        <w:gridCol w:w="2184"/>
        <w:gridCol w:w="653"/>
        <w:gridCol w:w="1166"/>
        <w:gridCol w:w="999"/>
        <w:gridCol w:w="1486"/>
      </w:tblGrid>
      <w:tr w:rsidR="00DC321F" w:rsidRPr="00FA5CB3" w14:paraId="5FDA4E20" w14:textId="77777777" w:rsidTr="00885648">
        <w:trPr>
          <w:trHeight w:val="272"/>
          <w:jc w:val="center"/>
        </w:trPr>
        <w:tc>
          <w:tcPr>
            <w:tcW w:w="0" w:type="auto"/>
            <w:shd w:val="clear" w:color="auto" w:fill="auto"/>
            <w:noWrap/>
            <w:vAlign w:val="bottom"/>
            <w:hideMark/>
          </w:tcPr>
          <w:p w14:paraId="1A6F0A86" w14:textId="77777777" w:rsidR="00DC321F" w:rsidRPr="003B0AAD" w:rsidRDefault="00DC321F" w:rsidP="00DC321F">
            <w:pPr>
              <w:spacing w:after="0"/>
              <w:jc w:val="center"/>
              <w:rPr>
                <w:rFonts w:ascii="Arial" w:eastAsia="Times New Roman" w:hAnsi="Arial" w:cs="Arial"/>
                <w:b/>
                <w:color w:val="000000"/>
                <w:sz w:val="20"/>
                <w:szCs w:val="20"/>
              </w:rPr>
            </w:pPr>
            <w:r w:rsidRPr="003B0AAD">
              <w:rPr>
                <w:rFonts w:ascii="Arial" w:eastAsia="Times New Roman" w:hAnsi="Arial" w:cs="Arial"/>
                <w:b/>
                <w:color w:val="000000"/>
                <w:sz w:val="20"/>
                <w:szCs w:val="20"/>
              </w:rPr>
              <w:t>Case</w:t>
            </w:r>
          </w:p>
        </w:tc>
        <w:tc>
          <w:tcPr>
            <w:tcW w:w="0" w:type="auto"/>
            <w:shd w:val="clear" w:color="auto" w:fill="auto"/>
            <w:noWrap/>
            <w:vAlign w:val="bottom"/>
            <w:hideMark/>
          </w:tcPr>
          <w:p w14:paraId="30F37DF0" w14:textId="77777777" w:rsidR="00DC321F" w:rsidRPr="003B0AAD" w:rsidRDefault="00DC321F" w:rsidP="00DC321F">
            <w:pPr>
              <w:spacing w:after="0"/>
              <w:jc w:val="center"/>
              <w:rPr>
                <w:rFonts w:ascii="Arial" w:eastAsia="Times New Roman" w:hAnsi="Arial" w:cs="Arial"/>
                <w:b/>
                <w:color w:val="000000"/>
                <w:sz w:val="20"/>
                <w:szCs w:val="20"/>
              </w:rPr>
            </w:pPr>
            <w:r>
              <w:rPr>
                <w:rFonts w:ascii="Arial" w:eastAsia="Times New Roman" w:hAnsi="Arial" w:cs="Arial"/>
                <w:b/>
                <w:color w:val="000000"/>
                <w:sz w:val="20"/>
                <w:szCs w:val="20"/>
              </w:rPr>
              <w:t>Tech</w:t>
            </w:r>
          </w:p>
        </w:tc>
        <w:tc>
          <w:tcPr>
            <w:tcW w:w="0" w:type="auto"/>
            <w:shd w:val="clear" w:color="auto" w:fill="auto"/>
            <w:noWrap/>
            <w:vAlign w:val="bottom"/>
            <w:hideMark/>
          </w:tcPr>
          <w:p w14:paraId="08333011" w14:textId="77777777" w:rsidR="00DC321F" w:rsidRPr="003B0AAD" w:rsidRDefault="00DC321F" w:rsidP="00DC321F">
            <w:pPr>
              <w:spacing w:after="0"/>
              <w:jc w:val="center"/>
              <w:rPr>
                <w:rFonts w:ascii="Arial" w:eastAsia="Times New Roman" w:hAnsi="Arial" w:cs="Arial"/>
                <w:b/>
                <w:color w:val="000000"/>
                <w:sz w:val="20"/>
                <w:szCs w:val="20"/>
              </w:rPr>
            </w:pPr>
            <w:r>
              <w:rPr>
                <w:rFonts w:ascii="Arial" w:eastAsia="Times New Roman" w:hAnsi="Arial" w:cs="Arial"/>
                <w:b/>
                <w:color w:val="000000"/>
                <w:sz w:val="20"/>
                <w:szCs w:val="20"/>
              </w:rPr>
              <w:t>Location</w:t>
            </w:r>
          </w:p>
        </w:tc>
        <w:tc>
          <w:tcPr>
            <w:tcW w:w="0" w:type="auto"/>
            <w:shd w:val="clear" w:color="auto" w:fill="auto"/>
            <w:noWrap/>
            <w:vAlign w:val="bottom"/>
            <w:hideMark/>
          </w:tcPr>
          <w:p w14:paraId="2EC7A16B" w14:textId="77777777" w:rsidR="00DC321F" w:rsidRPr="003B0AAD" w:rsidRDefault="00DC321F" w:rsidP="00DC321F">
            <w:pPr>
              <w:spacing w:after="0"/>
              <w:jc w:val="center"/>
              <w:rPr>
                <w:rFonts w:ascii="Arial" w:eastAsia="Times New Roman" w:hAnsi="Arial" w:cs="Arial"/>
                <w:b/>
                <w:color w:val="000000"/>
                <w:sz w:val="20"/>
                <w:szCs w:val="20"/>
              </w:rPr>
            </w:pPr>
            <w:r>
              <w:rPr>
                <w:rFonts w:ascii="Arial" w:eastAsia="Times New Roman" w:hAnsi="Arial" w:cs="Arial"/>
                <w:b/>
                <w:color w:val="000000"/>
                <w:sz w:val="20"/>
                <w:szCs w:val="20"/>
              </w:rPr>
              <w:t>Installation type</w:t>
            </w:r>
          </w:p>
        </w:tc>
        <w:tc>
          <w:tcPr>
            <w:tcW w:w="0" w:type="auto"/>
          </w:tcPr>
          <w:p w14:paraId="3B8843EA" w14:textId="77777777" w:rsidR="00DC321F" w:rsidRDefault="00DC321F" w:rsidP="00DC321F">
            <w:pPr>
              <w:spacing w:after="0"/>
              <w:jc w:val="center"/>
              <w:rPr>
                <w:rFonts w:ascii="Arial" w:eastAsia="Times New Roman" w:hAnsi="Arial" w:cs="Arial"/>
                <w:b/>
                <w:color w:val="000000"/>
                <w:sz w:val="20"/>
                <w:szCs w:val="20"/>
              </w:rPr>
            </w:pPr>
            <w:r>
              <w:rPr>
                <w:rFonts w:ascii="Arial" w:eastAsia="Times New Roman" w:hAnsi="Arial" w:cs="Arial"/>
                <w:b/>
                <w:color w:val="000000"/>
                <w:sz w:val="20"/>
                <w:szCs w:val="20"/>
              </w:rPr>
              <w:t>Life (</w:t>
            </w:r>
            <w:proofErr w:type="spellStart"/>
            <w:r>
              <w:rPr>
                <w:rFonts w:ascii="Arial" w:eastAsia="Times New Roman" w:hAnsi="Arial" w:cs="Arial"/>
                <w:b/>
                <w:color w:val="000000"/>
                <w:sz w:val="20"/>
                <w:szCs w:val="20"/>
              </w:rPr>
              <w:t>yrs</w:t>
            </w:r>
            <w:proofErr w:type="spellEnd"/>
            <w:r>
              <w:rPr>
                <w:rFonts w:ascii="Arial" w:eastAsia="Times New Roman" w:hAnsi="Arial" w:cs="Arial"/>
                <w:b/>
                <w:color w:val="000000"/>
                <w:sz w:val="20"/>
                <w:szCs w:val="20"/>
              </w:rPr>
              <w:t>)</w:t>
            </w:r>
          </w:p>
        </w:tc>
        <w:tc>
          <w:tcPr>
            <w:tcW w:w="0" w:type="auto"/>
          </w:tcPr>
          <w:p w14:paraId="75A22AC4" w14:textId="77777777" w:rsidR="00DC321F" w:rsidRDefault="00DC321F" w:rsidP="00DC321F">
            <w:pPr>
              <w:spacing w:after="0"/>
              <w:jc w:val="center"/>
              <w:rPr>
                <w:rFonts w:ascii="Arial" w:eastAsia="Times New Roman" w:hAnsi="Arial" w:cs="Arial"/>
                <w:b/>
                <w:color w:val="000000"/>
                <w:sz w:val="20"/>
                <w:szCs w:val="20"/>
              </w:rPr>
            </w:pPr>
            <w:r>
              <w:rPr>
                <w:rFonts w:ascii="Arial" w:eastAsia="Times New Roman" w:hAnsi="Arial" w:cs="Arial"/>
                <w:b/>
                <w:color w:val="000000"/>
                <w:sz w:val="20"/>
                <w:szCs w:val="20"/>
              </w:rPr>
              <w:t>PV Efficiency (%)</w:t>
            </w:r>
          </w:p>
        </w:tc>
        <w:tc>
          <w:tcPr>
            <w:tcW w:w="0" w:type="auto"/>
          </w:tcPr>
          <w:p w14:paraId="694F9B56" w14:textId="77777777" w:rsidR="00DC321F" w:rsidRDefault="00DC321F" w:rsidP="00DC321F">
            <w:pPr>
              <w:spacing w:after="0"/>
              <w:jc w:val="center"/>
              <w:rPr>
                <w:rFonts w:ascii="Arial" w:eastAsia="Times New Roman" w:hAnsi="Arial" w:cs="Arial"/>
                <w:b/>
                <w:color w:val="000000"/>
                <w:sz w:val="20"/>
                <w:szCs w:val="20"/>
              </w:rPr>
            </w:pPr>
            <w:r>
              <w:rPr>
                <w:rFonts w:ascii="Arial" w:eastAsia="Times New Roman" w:hAnsi="Arial" w:cs="Arial"/>
                <w:b/>
                <w:color w:val="000000"/>
                <w:sz w:val="20"/>
                <w:szCs w:val="20"/>
              </w:rPr>
              <w:t>Turbine maker</w:t>
            </w:r>
          </w:p>
        </w:tc>
        <w:tc>
          <w:tcPr>
            <w:tcW w:w="0" w:type="auto"/>
          </w:tcPr>
          <w:p w14:paraId="2E070F14" w14:textId="77777777" w:rsidR="00DC321F" w:rsidRDefault="00DC321F" w:rsidP="00DC321F">
            <w:pPr>
              <w:spacing w:after="0"/>
              <w:jc w:val="center"/>
              <w:rPr>
                <w:rFonts w:ascii="Arial" w:eastAsia="Times New Roman" w:hAnsi="Arial" w:cs="Arial"/>
                <w:b/>
                <w:color w:val="000000"/>
                <w:sz w:val="20"/>
                <w:szCs w:val="20"/>
              </w:rPr>
            </w:pPr>
            <w:r>
              <w:rPr>
                <w:rFonts w:ascii="Arial" w:eastAsia="Times New Roman" w:hAnsi="Arial" w:cs="Arial"/>
                <w:b/>
                <w:color w:val="000000"/>
                <w:sz w:val="20"/>
                <w:szCs w:val="20"/>
              </w:rPr>
              <w:t>Lifecycle Emissions (gCO2e/kWh)</w:t>
            </w:r>
          </w:p>
        </w:tc>
      </w:tr>
      <w:tr w:rsidR="00DC321F" w:rsidRPr="00FA5CB3" w14:paraId="7BF3D2DE" w14:textId="77777777" w:rsidTr="00DC321F">
        <w:trPr>
          <w:trHeight w:val="272"/>
          <w:jc w:val="center"/>
        </w:trPr>
        <w:tc>
          <w:tcPr>
            <w:tcW w:w="0" w:type="auto"/>
            <w:shd w:val="clear" w:color="auto" w:fill="auto"/>
            <w:noWrap/>
            <w:vAlign w:val="center"/>
            <w:hideMark/>
          </w:tcPr>
          <w:p w14:paraId="54F415FD" w14:textId="77777777" w:rsidR="00DC321F" w:rsidRPr="00FA5CB3" w:rsidRDefault="00DC321F" w:rsidP="00DC321F">
            <w:pPr>
              <w:spacing w:after="0"/>
              <w:jc w:val="center"/>
              <w:rPr>
                <w:rFonts w:ascii="Arial" w:eastAsia="Times New Roman" w:hAnsi="Arial" w:cs="Arial"/>
                <w:color w:val="000000"/>
                <w:sz w:val="20"/>
                <w:szCs w:val="20"/>
              </w:rPr>
            </w:pPr>
            <w:r w:rsidRPr="00FA5CB3">
              <w:rPr>
                <w:rFonts w:ascii="Arial" w:eastAsia="Times New Roman" w:hAnsi="Arial" w:cs="Arial"/>
                <w:color w:val="000000"/>
                <w:sz w:val="20"/>
                <w:szCs w:val="20"/>
              </w:rPr>
              <w:t>1</w:t>
            </w:r>
          </w:p>
        </w:tc>
        <w:tc>
          <w:tcPr>
            <w:tcW w:w="0" w:type="auto"/>
            <w:shd w:val="clear" w:color="auto" w:fill="auto"/>
            <w:noWrap/>
            <w:vAlign w:val="center"/>
            <w:hideMark/>
          </w:tcPr>
          <w:p w14:paraId="32FC681F"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PV, mc-Si</w:t>
            </w:r>
          </w:p>
        </w:tc>
        <w:tc>
          <w:tcPr>
            <w:tcW w:w="0" w:type="auto"/>
            <w:shd w:val="clear" w:color="auto" w:fill="auto"/>
            <w:noWrap/>
            <w:vAlign w:val="center"/>
            <w:hideMark/>
          </w:tcPr>
          <w:p w14:paraId="1833459B"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India SW</w:t>
            </w:r>
          </w:p>
        </w:tc>
        <w:tc>
          <w:tcPr>
            <w:tcW w:w="0" w:type="auto"/>
            <w:shd w:val="clear" w:color="auto" w:fill="auto"/>
            <w:noWrap/>
            <w:vAlign w:val="center"/>
            <w:hideMark/>
          </w:tcPr>
          <w:p w14:paraId="020204B5"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Utility scale, fixed-axis</w:t>
            </w:r>
          </w:p>
        </w:tc>
        <w:tc>
          <w:tcPr>
            <w:tcW w:w="0" w:type="auto"/>
            <w:vAlign w:val="center"/>
          </w:tcPr>
          <w:p w14:paraId="227B4C7A"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30</w:t>
            </w:r>
          </w:p>
        </w:tc>
        <w:tc>
          <w:tcPr>
            <w:tcW w:w="0" w:type="auto"/>
            <w:vAlign w:val="center"/>
          </w:tcPr>
          <w:p w14:paraId="6F31AB0D"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16</w:t>
            </w:r>
          </w:p>
        </w:tc>
        <w:tc>
          <w:tcPr>
            <w:tcW w:w="0" w:type="auto"/>
            <w:vAlign w:val="center"/>
          </w:tcPr>
          <w:p w14:paraId="5F7C148C"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362D1E65"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37</w:t>
            </w:r>
          </w:p>
        </w:tc>
      </w:tr>
      <w:tr w:rsidR="00DC321F" w:rsidRPr="00FA5CB3" w14:paraId="712A6EA4" w14:textId="77777777" w:rsidTr="00DC321F">
        <w:trPr>
          <w:trHeight w:val="272"/>
          <w:jc w:val="center"/>
        </w:trPr>
        <w:tc>
          <w:tcPr>
            <w:tcW w:w="0" w:type="auto"/>
            <w:shd w:val="clear" w:color="auto" w:fill="auto"/>
            <w:noWrap/>
            <w:vAlign w:val="center"/>
            <w:hideMark/>
          </w:tcPr>
          <w:p w14:paraId="53ED881B" w14:textId="77777777" w:rsidR="00DC321F" w:rsidRPr="00FA5CB3" w:rsidRDefault="00DC321F" w:rsidP="00DC321F">
            <w:pPr>
              <w:spacing w:after="0"/>
              <w:jc w:val="center"/>
              <w:rPr>
                <w:rFonts w:ascii="Arial" w:eastAsia="Times New Roman" w:hAnsi="Arial" w:cs="Arial"/>
                <w:color w:val="000000"/>
                <w:sz w:val="20"/>
                <w:szCs w:val="20"/>
              </w:rPr>
            </w:pPr>
            <w:r w:rsidRPr="00FA5CB3">
              <w:rPr>
                <w:rFonts w:ascii="Arial" w:eastAsia="Times New Roman" w:hAnsi="Arial" w:cs="Arial"/>
                <w:color w:val="000000"/>
                <w:sz w:val="20"/>
                <w:szCs w:val="20"/>
              </w:rPr>
              <w:t>2</w:t>
            </w:r>
          </w:p>
        </w:tc>
        <w:tc>
          <w:tcPr>
            <w:tcW w:w="0" w:type="auto"/>
            <w:shd w:val="clear" w:color="auto" w:fill="auto"/>
            <w:noWrap/>
            <w:vAlign w:val="center"/>
            <w:hideMark/>
          </w:tcPr>
          <w:p w14:paraId="5A8B5E95"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PV, mc-Si</w:t>
            </w:r>
          </w:p>
        </w:tc>
        <w:tc>
          <w:tcPr>
            <w:tcW w:w="0" w:type="auto"/>
            <w:shd w:val="clear" w:color="auto" w:fill="auto"/>
            <w:noWrap/>
            <w:vAlign w:val="center"/>
            <w:hideMark/>
          </w:tcPr>
          <w:p w14:paraId="2FB84DC0"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India SW</w:t>
            </w:r>
          </w:p>
        </w:tc>
        <w:tc>
          <w:tcPr>
            <w:tcW w:w="0" w:type="auto"/>
            <w:shd w:val="clear" w:color="auto" w:fill="auto"/>
            <w:noWrap/>
            <w:vAlign w:val="center"/>
            <w:hideMark/>
          </w:tcPr>
          <w:p w14:paraId="4C8B8D80"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Utility scale, tracking</w:t>
            </w:r>
          </w:p>
        </w:tc>
        <w:tc>
          <w:tcPr>
            <w:tcW w:w="0" w:type="auto"/>
            <w:vAlign w:val="center"/>
          </w:tcPr>
          <w:p w14:paraId="20C03DAB"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30</w:t>
            </w:r>
          </w:p>
        </w:tc>
        <w:tc>
          <w:tcPr>
            <w:tcW w:w="0" w:type="auto"/>
            <w:vAlign w:val="center"/>
          </w:tcPr>
          <w:p w14:paraId="0A0A9E9E"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16</w:t>
            </w:r>
          </w:p>
        </w:tc>
        <w:tc>
          <w:tcPr>
            <w:tcW w:w="0" w:type="auto"/>
            <w:vAlign w:val="center"/>
          </w:tcPr>
          <w:p w14:paraId="5473D08A"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7A14205C"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34</w:t>
            </w:r>
          </w:p>
        </w:tc>
      </w:tr>
      <w:tr w:rsidR="00DC321F" w:rsidRPr="00FA5CB3" w14:paraId="655BBBB0" w14:textId="77777777" w:rsidTr="00DC321F">
        <w:trPr>
          <w:trHeight w:val="272"/>
          <w:jc w:val="center"/>
        </w:trPr>
        <w:tc>
          <w:tcPr>
            <w:tcW w:w="0" w:type="auto"/>
            <w:shd w:val="clear" w:color="auto" w:fill="auto"/>
            <w:noWrap/>
            <w:vAlign w:val="center"/>
            <w:hideMark/>
          </w:tcPr>
          <w:p w14:paraId="03E38849" w14:textId="77777777" w:rsidR="00DC321F" w:rsidRPr="00FA5CB3" w:rsidRDefault="00DC321F" w:rsidP="00DC321F">
            <w:pPr>
              <w:spacing w:after="0"/>
              <w:jc w:val="center"/>
              <w:rPr>
                <w:rFonts w:ascii="Arial" w:eastAsia="Times New Roman" w:hAnsi="Arial" w:cs="Arial"/>
                <w:color w:val="000000"/>
                <w:sz w:val="20"/>
                <w:szCs w:val="20"/>
              </w:rPr>
            </w:pPr>
            <w:r w:rsidRPr="00FA5CB3">
              <w:rPr>
                <w:rFonts w:ascii="Arial" w:eastAsia="Times New Roman" w:hAnsi="Arial" w:cs="Arial"/>
                <w:color w:val="000000"/>
                <w:sz w:val="20"/>
                <w:szCs w:val="20"/>
              </w:rPr>
              <w:t>3</w:t>
            </w:r>
          </w:p>
        </w:tc>
        <w:tc>
          <w:tcPr>
            <w:tcW w:w="0" w:type="auto"/>
            <w:shd w:val="clear" w:color="auto" w:fill="auto"/>
            <w:noWrap/>
            <w:vAlign w:val="center"/>
          </w:tcPr>
          <w:p w14:paraId="4AF011FD"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PV, </w:t>
            </w:r>
            <w:proofErr w:type="spellStart"/>
            <w:r>
              <w:rPr>
                <w:rFonts w:ascii="Arial" w:eastAsia="Times New Roman" w:hAnsi="Arial" w:cs="Arial"/>
                <w:color w:val="000000"/>
                <w:sz w:val="20"/>
                <w:szCs w:val="20"/>
              </w:rPr>
              <w:t>sc</w:t>
            </w:r>
            <w:proofErr w:type="spellEnd"/>
            <w:r>
              <w:rPr>
                <w:rFonts w:ascii="Arial" w:eastAsia="Times New Roman" w:hAnsi="Arial" w:cs="Arial"/>
                <w:color w:val="000000"/>
                <w:sz w:val="20"/>
                <w:szCs w:val="20"/>
              </w:rPr>
              <w:t>-Si</w:t>
            </w:r>
          </w:p>
        </w:tc>
        <w:tc>
          <w:tcPr>
            <w:tcW w:w="0" w:type="auto"/>
            <w:shd w:val="clear" w:color="auto" w:fill="auto"/>
            <w:noWrap/>
            <w:vAlign w:val="center"/>
            <w:hideMark/>
          </w:tcPr>
          <w:p w14:paraId="76EEFCF6"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China NE</w:t>
            </w:r>
          </w:p>
        </w:tc>
        <w:tc>
          <w:tcPr>
            <w:tcW w:w="0" w:type="auto"/>
            <w:shd w:val="clear" w:color="auto" w:fill="auto"/>
            <w:noWrap/>
            <w:vAlign w:val="center"/>
            <w:hideMark/>
          </w:tcPr>
          <w:p w14:paraId="496B5257"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Utility scale, fixed-axis</w:t>
            </w:r>
          </w:p>
        </w:tc>
        <w:tc>
          <w:tcPr>
            <w:tcW w:w="0" w:type="auto"/>
            <w:vAlign w:val="center"/>
          </w:tcPr>
          <w:p w14:paraId="3542BFE1"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30</w:t>
            </w:r>
          </w:p>
        </w:tc>
        <w:tc>
          <w:tcPr>
            <w:tcW w:w="0" w:type="auto"/>
            <w:vAlign w:val="center"/>
          </w:tcPr>
          <w:p w14:paraId="5CC7E045"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17</w:t>
            </w:r>
          </w:p>
        </w:tc>
        <w:tc>
          <w:tcPr>
            <w:tcW w:w="0" w:type="auto"/>
            <w:vAlign w:val="center"/>
          </w:tcPr>
          <w:p w14:paraId="7AF3A67B"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7046C0B4"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73</w:t>
            </w:r>
          </w:p>
        </w:tc>
      </w:tr>
      <w:tr w:rsidR="00DC321F" w:rsidRPr="00FA5CB3" w14:paraId="2A097701" w14:textId="77777777" w:rsidTr="00DC321F">
        <w:trPr>
          <w:trHeight w:val="272"/>
          <w:jc w:val="center"/>
        </w:trPr>
        <w:tc>
          <w:tcPr>
            <w:tcW w:w="0" w:type="auto"/>
            <w:shd w:val="clear" w:color="auto" w:fill="auto"/>
            <w:noWrap/>
            <w:vAlign w:val="center"/>
            <w:hideMark/>
          </w:tcPr>
          <w:p w14:paraId="0B3C4A59" w14:textId="77777777" w:rsidR="00DC321F" w:rsidRPr="00FA5CB3" w:rsidRDefault="00DC321F" w:rsidP="00DC321F">
            <w:pPr>
              <w:spacing w:after="0"/>
              <w:jc w:val="center"/>
              <w:rPr>
                <w:rFonts w:ascii="Arial" w:eastAsia="Times New Roman" w:hAnsi="Arial" w:cs="Arial"/>
                <w:color w:val="000000"/>
                <w:sz w:val="20"/>
                <w:szCs w:val="20"/>
              </w:rPr>
            </w:pPr>
            <w:r w:rsidRPr="00FA5CB3">
              <w:rPr>
                <w:rFonts w:ascii="Arial" w:eastAsia="Times New Roman" w:hAnsi="Arial" w:cs="Arial"/>
                <w:color w:val="000000"/>
                <w:sz w:val="20"/>
                <w:szCs w:val="20"/>
              </w:rPr>
              <w:t>4</w:t>
            </w:r>
          </w:p>
        </w:tc>
        <w:tc>
          <w:tcPr>
            <w:tcW w:w="0" w:type="auto"/>
            <w:shd w:val="clear" w:color="auto" w:fill="auto"/>
            <w:noWrap/>
            <w:vAlign w:val="center"/>
            <w:hideMark/>
          </w:tcPr>
          <w:p w14:paraId="22FCF207"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PV, </w:t>
            </w:r>
            <w:proofErr w:type="spellStart"/>
            <w:r>
              <w:rPr>
                <w:rFonts w:ascii="Arial" w:eastAsia="Times New Roman" w:hAnsi="Arial" w:cs="Arial"/>
                <w:color w:val="000000"/>
                <w:sz w:val="20"/>
                <w:szCs w:val="20"/>
              </w:rPr>
              <w:t>sc</w:t>
            </w:r>
            <w:proofErr w:type="spellEnd"/>
            <w:r>
              <w:rPr>
                <w:rFonts w:ascii="Arial" w:eastAsia="Times New Roman" w:hAnsi="Arial" w:cs="Arial"/>
                <w:color w:val="000000"/>
                <w:sz w:val="20"/>
                <w:szCs w:val="20"/>
              </w:rPr>
              <w:t>-Si</w:t>
            </w:r>
          </w:p>
        </w:tc>
        <w:tc>
          <w:tcPr>
            <w:tcW w:w="0" w:type="auto"/>
            <w:shd w:val="clear" w:color="auto" w:fill="auto"/>
            <w:noWrap/>
            <w:vAlign w:val="center"/>
            <w:hideMark/>
          </w:tcPr>
          <w:p w14:paraId="5CDDCB23"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China NE</w:t>
            </w:r>
          </w:p>
        </w:tc>
        <w:tc>
          <w:tcPr>
            <w:tcW w:w="0" w:type="auto"/>
            <w:shd w:val="clear" w:color="auto" w:fill="auto"/>
            <w:noWrap/>
            <w:vAlign w:val="center"/>
            <w:hideMark/>
          </w:tcPr>
          <w:p w14:paraId="43C6DA54"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Residential, rooftop</w:t>
            </w:r>
          </w:p>
        </w:tc>
        <w:tc>
          <w:tcPr>
            <w:tcW w:w="0" w:type="auto"/>
            <w:vAlign w:val="center"/>
          </w:tcPr>
          <w:p w14:paraId="3EB28F79"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30</w:t>
            </w:r>
          </w:p>
        </w:tc>
        <w:tc>
          <w:tcPr>
            <w:tcW w:w="0" w:type="auto"/>
            <w:vAlign w:val="center"/>
          </w:tcPr>
          <w:p w14:paraId="6336EF52"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17</w:t>
            </w:r>
          </w:p>
        </w:tc>
        <w:tc>
          <w:tcPr>
            <w:tcW w:w="0" w:type="auto"/>
            <w:vAlign w:val="center"/>
          </w:tcPr>
          <w:p w14:paraId="4D87F8E0"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74638C47"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77</w:t>
            </w:r>
          </w:p>
        </w:tc>
      </w:tr>
      <w:tr w:rsidR="00DC321F" w:rsidRPr="00FA5CB3" w14:paraId="684B48EF" w14:textId="77777777" w:rsidTr="00DC321F">
        <w:trPr>
          <w:trHeight w:val="272"/>
          <w:jc w:val="center"/>
        </w:trPr>
        <w:tc>
          <w:tcPr>
            <w:tcW w:w="0" w:type="auto"/>
            <w:shd w:val="clear" w:color="auto" w:fill="auto"/>
            <w:noWrap/>
            <w:vAlign w:val="center"/>
            <w:hideMark/>
          </w:tcPr>
          <w:p w14:paraId="48273AE7" w14:textId="77777777" w:rsidR="00DC321F" w:rsidRPr="00FA5CB3" w:rsidRDefault="00DC321F" w:rsidP="00DC321F">
            <w:pPr>
              <w:spacing w:after="0"/>
              <w:jc w:val="center"/>
              <w:rPr>
                <w:rFonts w:ascii="Arial" w:eastAsia="Times New Roman" w:hAnsi="Arial" w:cs="Arial"/>
                <w:color w:val="000000"/>
                <w:sz w:val="20"/>
                <w:szCs w:val="20"/>
              </w:rPr>
            </w:pPr>
            <w:r w:rsidRPr="00FA5CB3">
              <w:rPr>
                <w:rFonts w:ascii="Arial" w:eastAsia="Times New Roman" w:hAnsi="Arial" w:cs="Arial"/>
                <w:color w:val="000000"/>
                <w:sz w:val="20"/>
                <w:szCs w:val="20"/>
              </w:rPr>
              <w:t>5</w:t>
            </w:r>
          </w:p>
        </w:tc>
        <w:tc>
          <w:tcPr>
            <w:tcW w:w="0" w:type="auto"/>
            <w:shd w:val="clear" w:color="auto" w:fill="auto"/>
            <w:noWrap/>
            <w:vAlign w:val="center"/>
            <w:hideMark/>
          </w:tcPr>
          <w:p w14:paraId="240B8C15"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PV, </w:t>
            </w:r>
            <w:proofErr w:type="spellStart"/>
            <w:r>
              <w:rPr>
                <w:rFonts w:ascii="Arial" w:eastAsia="Times New Roman" w:hAnsi="Arial" w:cs="Arial"/>
                <w:color w:val="000000"/>
                <w:sz w:val="20"/>
                <w:szCs w:val="20"/>
              </w:rPr>
              <w:t>CdTe</w:t>
            </w:r>
            <w:proofErr w:type="spellEnd"/>
          </w:p>
        </w:tc>
        <w:tc>
          <w:tcPr>
            <w:tcW w:w="0" w:type="auto"/>
            <w:shd w:val="clear" w:color="auto" w:fill="auto"/>
            <w:noWrap/>
            <w:vAlign w:val="center"/>
            <w:hideMark/>
          </w:tcPr>
          <w:p w14:paraId="6A09C523"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US SW</w:t>
            </w:r>
          </w:p>
        </w:tc>
        <w:tc>
          <w:tcPr>
            <w:tcW w:w="0" w:type="auto"/>
            <w:shd w:val="clear" w:color="auto" w:fill="auto"/>
            <w:noWrap/>
            <w:vAlign w:val="center"/>
            <w:hideMark/>
          </w:tcPr>
          <w:p w14:paraId="13DCC2CF"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Utility scale, tracking</w:t>
            </w:r>
          </w:p>
        </w:tc>
        <w:tc>
          <w:tcPr>
            <w:tcW w:w="0" w:type="auto"/>
            <w:vAlign w:val="center"/>
          </w:tcPr>
          <w:p w14:paraId="172A32AE"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30</w:t>
            </w:r>
          </w:p>
        </w:tc>
        <w:tc>
          <w:tcPr>
            <w:tcW w:w="0" w:type="auto"/>
            <w:vAlign w:val="center"/>
          </w:tcPr>
          <w:p w14:paraId="48E6E885"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15.6</w:t>
            </w:r>
          </w:p>
        </w:tc>
        <w:tc>
          <w:tcPr>
            <w:tcW w:w="0" w:type="auto"/>
            <w:vAlign w:val="center"/>
          </w:tcPr>
          <w:p w14:paraId="5D730FB4"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222E60FB"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14</w:t>
            </w:r>
          </w:p>
        </w:tc>
      </w:tr>
      <w:tr w:rsidR="00DC321F" w:rsidRPr="00FA5CB3" w14:paraId="58EB393A" w14:textId="77777777" w:rsidTr="00DC321F">
        <w:trPr>
          <w:trHeight w:val="272"/>
          <w:jc w:val="center"/>
        </w:trPr>
        <w:tc>
          <w:tcPr>
            <w:tcW w:w="0" w:type="auto"/>
            <w:shd w:val="clear" w:color="auto" w:fill="auto"/>
            <w:noWrap/>
            <w:vAlign w:val="center"/>
            <w:hideMark/>
          </w:tcPr>
          <w:p w14:paraId="2B39EB2B" w14:textId="77777777" w:rsidR="00DC321F" w:rsidRPr="00FA5CB3" w:rsidRDefault="00DC321F" w:rsidP="00DC321F">
            <w:pPr>
              <w:spacing w:after="0"/>
              <w:jc w:val="center"/>
              <w:rPr>
                <w:rFonts w:ascii="Arial" w:eastAsia="Times New Roman" w:hAnsi="Arial" w:cs="Arial"/>
                <w:color w:val="000000"/>
                <w:sz w:val="20"/>
                <w:szCs w:val="20"/>
              </w:rPr>
            </w:pPr>
            <w:r w:rsidRPr="00FA5CB3">
              <w:rPr>
                <w:rFonts w:ascii="Arial" w:eastAsia="Times New Roman" w:hAnsi="Arial" w:cs="Arial"/>
                <w:color w:val="000000"/>
                <w:sz w:val="20"/>
                <w:szCs w:val="20"/>
              </w:rPr>
              <w:t>6</w:t>
            </w:r>
          </w:p>
        </w:tc>
        <w:tc>
          <w:tcPr>
            <w:tcW w:w="0" w:type="auto"/>
            <w:shd w:val="clear" w:color="auto" w:fill="auto"/>
            <w:noWrap/>
            <w:vAlign w:val="center"/>
            <w:hideMark/>
          </w:tcPr>
          <w:p w14:paraId="67FF8B23"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PV, </w:t>
            </w:r>
            <w:proofErr w:type="spellStart"/>
            <w:r>
              <w:rPr>
                <w:rFonts w:ascii="Arial" w:eastAsia="Times New Roman" w:hAnsi="Arial" w:cs="Arial"/>
                <w:color w:val="000000"/>
                <w:sz w:val="20"/>
                <w:szCs w:val="20"/>
              </w:rPr>
              <w:t>CdTe</w:t>
            </w:r>
            <w:proofErr w:type="spellEnd"/>
          </w:p>
        </w:tc>
        <w:tc>
          <w:tcPr>
            <w:tcW w:w="0" w:type="auto"/>
            <w:shd w:val="clear" w:color="auto" w:fill="auto"/>
            <w:noWrap/>
            <w:vAlign w:val="center"/>
            <w:hideMark/>
          </w:tcPr>
          <w:p w14:paraId="5189B899"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US NE</w:t>
            </w:r>
          </w:p>
        </w:tc>
        <w:tc>
          <w:tcPr>
            <w:tcW w:w="0" w:type="auto"/>
            <w:shd w:val="clear" w:color="auto" w:fill="auto"/>
            <w:noWrap/>
            <w:vAlign w:val="center"/>
            <w:hideMark/>
          </w:tcPr>
          <w:p w14:paraId="2B7B9B3A"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Utility scale, fixed</w:t>
            </w:r>
          </w:p>
        </w:tc>
        <w:tc>
          <w:tcPr>
            <w:tcW w:w="0" w:type="auto"/>
            <w:vAlign w:val="center"/>
          </w:tcPr>
          <w:p w14:paraId="3FFECB26"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30</w:t>
            </w:r>
          </w:p>
        </w:tc>
        <w:tc>
          <w:tcPr>
            <w:tcW w:w="0" w:type="auto"/>
            <w:vAlign w:val="center"/>
          </w:tcPr>
          <w:p w14:paraId="2CC44ACC"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16.6</w:t>
            </w:r>
          </w:p>
        </w:tc>
        <w:tc>
          <w:tcPr>
            <w:tcW w:w="0" w:type="auto"/>
            <w:vAlign w:val="center"/>
          </w:tcPr>
          <w:p w14:paraId="01762D5C"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2DB6CD35" w14:textId="77777777" w:rsidR="00DC321F"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20</w:t>
            </w:r>
          </w:p>
        </w:tc>
      </w:tr>
      <w:tr w:rsidR="00DC321F" w:rsidRPr="00FA5CB3" w14:paraId="5231A3E3" w14:textId="77777777" w:rsidTr="00DC321F">
        <w:trPr>
          <w:trHeight w:val="272"/>
          <w:jc w:val="center"/>
        </w:trPr>
        <w:tc>
          <w:tcPr>
            <w:tcW w:w="0" w:type="auto"/>
            <w:shd w:val="clear" w:color="auto" w:fill="auto"/>
            <w:noWrap/>
            <w:vAlign w:val="center"/>
            <w:hideMark/>
          </w:tcPr>
          <w:p w14:paraId="52FF5CA5" w14:textId="77777777" w:rsidR="00DC321F" w:rsidRPr="00FA5CB3" w:rsidRDefault="00DC321F" w:rsidP="00DC321F">
            <w:pPr>
              <w:spacing w:after="0"/>
              <w:jc w:val="center"/>
              <w:rPr>
                <w:rFonts w:ascii="Arial" w:eastAsia="Times New Roman" w:hAnsi="Arial" w:cs="Arial"/>
                <w:color w:val="000000"/>
                <w:sz w:val="20"/>
                <w:szCs w:val="20"/>
              </w:rPr>
            </w:pPr>
            <w:r w:rsidRPr="00FA5CB3">
              <w:rPr>
                <w:rFonts w:ascii="Arial" w:eastAsia="Times New Roman" w:hAnsi="Arial" w:cs="Arial"/>
                <w:color w:val="000000"/>
                <w:sz w:val="20"/>
                <w:szCs w:val="20"/>
              </w:rPr>
              <w:t>7</w:t>
            </w:r>
          </w:p>
        </w:tc>
        <w:tc>
          <w:tcPr>
            <w:tcW w:w="0" w:type="auto"/>
            <w:shd w:val="clear" w:color="auto" w:fill="auto"/>
            <w:noWrap/>
            <w:vAlign w:val="center"/>
            <w:hideMark/>
          </w:tcPr>
          <w:p w14:paraId="2991FDC2"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Wind</w:t>
            </w:r>
          </w:p>
        </w:tc>
        <w:tc>
          <w:tcPr>
            <w:tcW w:w="0" w:type="auto"/>
            <w:shd w:val="clear" w:color="auto" w:fill="auto"/>
            <w:noWrap/>
            <w:vAlign w:val="center"/>
            <w:hideMark/>
          </w:tcPr>
          <w:p w14:paraId="60C0D0D1"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US MW</w:t>
            </w:r>
          </w:p>
        </w:tc>
        <w:tc>
          <w:tcPr>
            <w:tcW w:w="0" w:type="auto"/>
            <w:shd w:val="clear" w:color="auto" w:fill="auto"/>
            <w:noWrap/>
            <w:vAlign w:val="center"/>
            <w:hideMark/>
          </w:tcPr>
          <w:p w14:paraId="6017DDDB"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Onshore</w:t>
            </w:r>
          </w:p>
        </w:tc>
        <w:tc>
          <w:tcPr>
            <w:tcW w:w="0" w:type="auto"/>
            <w:vAlign w:val="center"/>
          </w:tcPr>
          <w:p w14:paraId="0EA70509"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20</w:t>
            </w:r>
          </w:p>
        </w:tc>
        <w:tc>
          <w:tcPr>
            <w:tcW w:w="0" w:type="auto"/>
            <w:vAlign w:val="center"/>
          </w:tcPr>
          <w:p w14:paraId="3878E204"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108392B1"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Vestas</w:t>
            </w:r>
          </w:p>
        </w:tc>
        <w:tc>
          <w:tcPr>
            <w:tcW w:w="0" w:type="auto"/>
            <w:vAlign w:val="center"/>
          </w:tcPr>
          <w:p w14:paraId="229F3E9C"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7</w:t>
            </w:r>
          </w:p>
        </w:tc>
      </w:tr>
      <w:tr w:rsidR="00DC321F" w:rsidRPr="00FA5CB3" w14:paraId="2B9CFF09" w14:textId="77777777" w:rsidTr="00DC321F">
        <w:trPr>
          <w:trHeight w:val="272"/>
          <w:jc w:val="center"/>
        </w:trPr>
        <w:tc>
          <w:tcPr>
            <w:tcW w:w="0" w:type="auto"/>
            <w:shd w:val="clear" w:color="auto" w:fill="auto"/>
            <w:noWrap/>
            <w:vAlign w:val="center"/>
            <w:hideMark/>
          </w:tcPr>
          <w:p w14:paraId="556924AA" w14:textId="77777777" w:rsidR="00DC321F" w:rsidRPr="00FA5CB3" w:rsidRDefault="00DC321F" w:rsidP="00DC321F">
            <w:pPr>
              <w:spacing w:after="0"/>
              <w:jc w:val="center"/>
              <w:rPr>
                <w:rFonts w:ascii="Arial" w:eastAsia="Times New Roman" w:hAnsi="Arial" w:cs="Arial"/>
                <w:color w:val="000000"/>
                <w:sz w:val="20"/>
                <w:szCs w:val="20"/>
              </w:rPr>
            </w:pPr>
            <w:r w:rsidRPr="00FA5CB3">
              <w:rPr>
                <w:rFonts w:ascii="Arial" w:eastAsia="Times New Roman" w:hAnsi="Arial" w:cs="Arial"/>
                <w:color w:val="000000"/>
                <w:sz w:val="20"/>
                <w:szCs w:val="20"/>
              </w:rPr>
              <w:t>8</w:t>
            </w:r>
          </w:p>
        </w:tc>
        <w:tc>
          <w:tcPr>
            <w:tcW w:w="0" w:type="auto"/>
            <w:shd w:val="clear" w:color="auto" w:fill="auto"/>
            <w:noWrap/>
            <w:vAlign w:val="center"/>
            <w:hideMark/>
          </w:tcPr>
          <w:p w14:paraId="3DB0687F"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Wind</w:t>
            </w:r>
          </w:p>
        </w:tc>
        <w:tc>
          <w:tcPr>
            <w:tcW w:w="0" w:type="auto"/>
            <w:shd w:val="clear" w:color="auto" w:fill="auto"/>
            <w:noWrap/>
            <w:vAlign w:val="center"/>
            <w:hideMark/>
          </w:tcPr>
          <w:p w14:paraId="33A5A8B4"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Germany</w:t>
            </w:r>
          </w:p>
        </w:tc>
        <w:tc>
          <w:tcPr>
            <w:tcW w:w="0" w:type="auto"/>
            <w:shd w:val="clear" w:color="auto" w:fill="auto"/>
            <w:noWrap/>
            <w:vAlign w:val="center"/>
            <w:hideMark/>
          </w:tcPr>
          <w:p w14:paraId="7545CFB0"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Onshore</w:t>
            </w:r>
          </w:p>
        </w:tc>
        <w:tc>
          <w:tcPr>
            <w:tcW w:w="0" w:type="auto"/>
            <w:vAlign w:val="center"/>
          </w:tcPr>
          <w:p w14:paraId="123D8C06"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20</w:t>
            </w:r>
          </w:p>
        </w:tc>
        <w:tc>
          <w:tcPr>
            <w:tcW w:w="0" w:type="auto"/>
            <w:vAlign w:val="center"/>
          </w:tcPr>
          <w:p w14:paraId="5E318A09"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2D895C87"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Siemens</w:t>
            </w:r>
          </w:p>
        </w:tc>
        <w:tc>
          <w:tcPr>
            <w:tcW w:w="0" w:type="auto"/>
            <w:vAlign w:val="center"/>
          </w:tcPr>
          <w:p w14:paraId="09AF780B"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5</w:t>
            </w:r>
          </w:p>
        </w:tc>
      </w:tr>
      <w:tr w:rsidR="00DC321F" w:rsidRPr="00FA5CB3" w14:paraId="37E0E9B7" w14:textId="77777777" w:rsidTr="00DC321F">
        <w:trPr>
          <w:trHeight w:val="272"/>
          <w:jc w:val="center"/>
        </w:trPr>
        <w:tc>
          <w:tcPr>
            <w:tcW w:w="0" w:type="auto"/>
            <w:shd w:val="clear" w:color="auto" w:fill="auto"/>
            <w:noWrap/>
            <w:vAlign w:val="center"/>
          </w:tcPr>
          <w:p w14:paraId="40F0C939"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9</w:t>
            </w:r>
          </w:p>
        </w:tc>
        <w:tc>
          <w:tcPr>
            <w:tcW w:w="0" w:type="auto"/>
            <w:shd w:val="clear" w:color="auto" w:fill="auto"/>
            <w:noWrap/>
            <w:vAlign w:val="center"/>
          </w:tcPr>
          <w:p w14:paraId="70645816"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Wind</w:t>
            </w:r>
          </w:p>
        </w:tc>
        <w:tc>
          <w:tcPr>
            <w:tcW w:w="0" w:type="auto"/>
            <w:shd w:val="clear" w:color="auto" w:fill="auto"/>
            <w:noWrap/>
            <w:vAlign w:val="center"/>
          </w:tcPr>
          <w:p w14:paraId="54942FAA"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US NE</w:t>
            </w:r>
          </w:p>
        </w:tc>
        <w:tc>
          <w:tcPr>
            <w:tcW w:w="0" w:type="auto"/>
            <w:shd w:val="clear" w:color="auto" w:fill="auto"/>
            <w:noWrap/>
            <w:vAlign w:val="center"/>
          </w:tcPr>
          <w:p w14:paraId="53F56758"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Offshore</w:t>
            </w:r>
          </w:p>
        </w:tc>
        <w:tc>
          <w:tcPr>
            <w:tcW w:w="0" w:type="auto"/>
            <w:vAlign w:val="center"/>
          </w:tcPr>
          <w:p w14:paraId="088A8BF7"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15</w:t>
            </w:r>
          </w:p>
        </w:tc>
        <w:tc>
          <w:tcPr>
            <w:tcW w:w="0" w:type="auto"/>
            <w:vAlign w:val="center"/>
          </w:tcPr>
          <w:p w14:paraId="462832E9"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0F35E69F"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Siemens</w:t>
            </w:r>
          </w:p>
        </w:tc>
        <w:tc>
          <w:tcPr>
            <w:tcW w:w="0" w:type="auto"/>
            <w:vAlign w:val="center"/>
          </w:tcPr>
          <w:p w14:paraId="21DD0A4D"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13</w:t>
            </w:r>
          </w:p>
        </w:tc>
      </w:tr>
      <w:tr w:rsidR="00DC321F" w:rsidRPr="00FA5CB3" w14:paraId="776C04D4" w14:textId="77777777" w:rsidTr="00DC321F">
        <w:trPr>
          <w:trHeight w:val="272"/>
          <w:jc w:val="center"/>
        </w:trPr>
        <w:tc>
          <w:tcPr>
            <w:tcW w:w="0" w:type="auto"/>
            <w:shd w:val="clear" w:color="auto" w:fill="auto"/>
            <w:noWrap/>
            <w:vAlign w:val="center"/>
          </w:tcPr>
          <w:p w14:paraId="4A72DEBB"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10</w:t>
            </w:r>
          </w:p>
        </w:tc>
        <w:tc>
          <w:tcPr>
            <w:tcW w:w="0" w:type="auto"/>
            <w:shd w:val="clear" w:color="auto" w:fill="auto"/>
            <w:noWrap/>
            <w:vAlign w:val="center"/>
          </w:tcPr>
          <w:p w14:paraId="33D79030"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Wind</w:t>
            </w:r>
          </w:p>
        </w:tc>
        <w:tc>
          <w:tcPr>
            <w:tcW w:w="0" w:type="auto"/>
            <w:shd w:val="clear" w:color="auto" w:fill="auto"/>
            <w:noWrap/>
            <w:vAlign w:val="center"/>
          </w:tcPr>
          <w:p w14:paraId="6FC35C9F"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UK E</w:t>
            </w:r>
          </w:p>
        </w:tc>
        <w:tc>
          <w:tcPr>
            <w:tcW w:w="0" w:type="auto"/>
            <w:shd w:val="clear" w:color="auto" w:fill="auto"/>
            <w:noWrap/>
            <w:vAlign w:val="center"/>
          </w:tcPr>
          <w:p w14:paraId="34C54223"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Offshore</w:t>
            </w:r>
          </w:p>
        </w:tc>
        <w:tc>
          <w:tcPr>
            <w:tcW w:w="0" w:type="auto"/>
            <w:vAlign w:val="center"/>
          </w:tcPr>
          <w:p w14:paraId="0E8714A8"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30</w:t>
            </w:r>
          </w:p>
        </w:tc>
        <w:tc>
          <w:tcPr>
            <w:tcW w:w="0" w:type="auto"/>
            <w:vAlign w:val="center"/>
          </w:tcPr>
          <w:p w14:paraId="6F301FA2"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N/A</w:t>
            </w:r>
          </w:p>
        </w:tc>
        <w:tc>
          <w:tcPr>
            <w:tcW w:w="0" w:type="auto"/>
            <w:vAlign w:val="center"/>
          </w:tcPr>
          <w:p w14:paraId="243A894E"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Siemens</w:t>
            </w:r>
          </w:p>
        </w:tc>
        <w:tc>
          <w:tcPr>
            <w:tcW w:w="0" w:type="auto"/>
            <w:vAlign w:val="center"/>
          </w:tcPr>
          <w:p w14:paraId="74B24E20" w14:textId="77777777" w:rsidR="00DC321F" w:rsidRPr="00FA5CB3" w:rsidRDefault="00DC321F" w:rsidP="00DC321F">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7</w:t>
            </w:r>
          </w:p>
        </w:tc>
      </w:tr>
    </w:tbl>
    <w:p w14:paraId="060225BE" w14:textId="77777777" w:rsidR="00EB7BE5" w:rsidRPr="00EC27C1" w:rsidRDefault="00EB7BE5" w:rsidP="00EC27C1"/>
    <w:p w14:paraId="1B6E8CB8" w14:textId="77777777" w:rsidR="00930011" w:rsidRDefault="00930011" w:rsidP="00930011">
      <w:pPr>
        <w:pStyle w:val="Heading1"/>
      </w:pPr>
      <w:r w:rsidRPr="004C321C">
        <w:t>Conclusion</w:t>
      </w:r>
    </w:p>
    <w:p w14:paraId="7B192623" w14:textId="35CCABFC" w:rsidR="00801D48" w:rsidRDefault="009762EF" w:rsidP="00801D48">
      <w:pPr>
        <w:rPr>
          <w:rFonts w:ascii="Arial" w:hAnsi="Arial" w:cs="Arial"/>
        </w:rPr>
      </w:pPr>
      <w:r>
        <w:rPr>
          <w:color w:val="000000" w:themeColor="text1"/>
        </w:rPr>
        <w:t>Meeting the dual challenge of satisfying growing energy demand while effectively and efficiently reducing emissions requires a deep understanding of both the unit- and system-level responses that arise from the ongoing energy system evolution.</w:t>
      </w:r>
      <w:r w:rsidR="00F65808" w:rsidRPr="00C017F7">
        <w:rPr>
          <w:color w:val="000000" w:themeColor="text1"/>
        </w:rPr>
        <w:t xml:space="preserve"> </w:t>
      </w:r>
      <w:r w:rsidR="00F65808">
        <w:rPr>
          <w:color w:val="000000" w:themeColor="text1"/>
        </w:rPr>
        <w:t>An ongoing transition towards</w:t>
      </w:r>
      <w:r w:rsidR="00F65808" w:rsidRPr="00455C4F">
        <w:rPr>
          <w:color w:val="000000" w:themeColor="text1"/>
        </w:rPr>
        <w:t xml:space="preserve"> low</w:t>
      </w:r>
      <w:r w:rsidR="00F65808">
        <w:rPr>
          <w:color w:val="000000" w:themeColor="text1"/>
        </w:rPr>
        <w:t>er</w:t>
      </w:r>
      <w:r w:rsidR="00F65808" w:rsidRPr="00455C4F">
        <w:rPr>
          <w:color w:val="000000" w:themeColor="text1"/>
        </w:rPr>
        <w:t>-carbon fuel</w:t>
      </w:r>
      <w:r w:rsidR="00F65808">
        <w:rPr>
          <w:color w:val="000000" w:themeColor="text1"/>
        </w:rPr>
        <w:t>s</w:t>
      </w:r>
      <w:r w:rsidR="00F65808" w:rsidRPr="00455C4F">
        <w:rPr>
          <w:color w:val="000000" w:themeColor="text1"/>
        </w:rPr>
        <w:t xml:space="preserve">, </w:t>
      </w:r>
      <w:r w:rsidR="00F65808">
        <w:rPr>
          <w:color w:val="000000" w:themeColor="text1"/>
        </w:rPr>
        <w:t xml:space="preserve">the </w:t>
      </w:r>
      <w:r w:rsidR="00F65808" w:rsidRPr="00455C4F">
        <w:rPr>
          <w:color w:val="000000" w:themeColor="text1"/>
        </w:rPr>
        <w:t xml:space="preserve">expanded </w:t>
      </w:r>
      <w:r w:rsidR="00F65808">
        <w:rPr>
          <w:color w:val="000000" w:themeColor="text1"/>
        </w:rPr>
        <w:t xml:space="preserve">deployment </w:t>
      </w:r>
      <w:r w:rsidR="00F65808" w:rsidRPr="00455C4F">
        <w:rPr>
          <w:color w:val="000000" w:themeColor="text1"/>
        </w:rPr>
        <w:t xml:space="preserve">of new </w:t>
      </w:r>
      <w:r w:rsidR="00F65808">
        <w:rPr>
          <w:color w:val="000000" w:themeColor="text1"/>
        </w:rPr>
        <w:t xml:space="preserve">low-carbon </w:t>
      </w:r>
      <w:r w:rsidR="00F65808" w:rsidRPr="00455C4F">
        <w:rPr>
          <w:color w:val="000000" w:themeColor="text1"/>
        </w:rPr>
        <w:t xml:space="preserve">generation technologies, and </w:t>
      </w:r>
      <w:r w:rsidR="00F65808">
        <w:rPr>
          <w:color w:val="000000" w:themeColor="text1"/>
        </w:rPr>
        <w:t xml:space="preserve">an embracing of </w:t>
      </w:r>
      <w:r w:rsidR="00F65808" w:rsidRPr="00455C4F">
        <w:rPr>
          <w:color w:val="000000" w:themeColor="text1"/>
        </w:rPr>
        <w:t>energy efficiency</w:t>
      </w:r>
      <w:r w:rsidR="00F65808">
        <w:rPr>
          <w:color w:val="000000" w:themeColor="text1"/>
        </w:rPr>
        <w:t xml:space="preserve"> measures have all contributed to </w:t>
      </w:r>
      <w:r w:rsidR="00F65808" w:rsidRPr="00B86380">
        <w:rPr>
          <w:color w:val="000000" w:themeColor="text1"/>
        </w:rPr>
        <w:t>this dynamic</w:t>
      </w:r>
      <w:r w:rsidR="00F65808" w:rsidRPr="00455C4F">
        <w:rPr>
          <w:color w:val="000000" w:themeColor="text1"/>
        </w:rPr>
        <w:t>.</w:t>
      </w:r>
      <w:r w:rsidR="00F65808">
        <w:rPr>
          <w:rFonts w:ascii="Arial" w:hAnsi="Arial" w:cs="Arial"/>
        </w:rPr>
        <w:t xml:space="preserve"> </w:t>
      </w:r>
      <w:r w:rsidR="00F65808">
        <w:rPr>
          <w:color w:val="000000" w:themeColor="text1"/>
        </w:rPr>
        <w:t xml:space="preserve">The widespread adoption of renewable </w:t>
      </w:r>
      <w:r w:rsidR="00F65808" w:rsidRPr="00455C4F">
        <w:rPr>
          <w:color w:val="000000" w:themeColor="text1"/>
        </w:rPr>
        <w:t>generation technologie</w:t>
      </w:r>
      <w:r w:rsidR="00F65808">
        <w:rPr>
          <w:color w:val="000000" w:themeColor="text1"/>
        </w:rPr>
        <w:t xml:space="preserve">s like wind and solar PV is of particular significance because as these technologies begin to play a meaningful role in meeting overall electricity demand, their presence on the system also introduces some challenges linked to their inherent intermittency and diurnal variability. </w:t>
      </w:r>
    </w:p>
    <w:p w14:paraId="0F68BE15" w14:textId="56FA8A07" w:rsidR="006F67A9" w:rsidRDefault="009762EF" w:rsidP="00B21E6C">
      <w:r>
        <w:rPr>
          <w:color w:val="000000" w:themeColor="text1"/>
        </w:rPr>
        <w:t>Here</w:t>
      </w:r>
      <w:r w:rsidR="00801D48">
        <w:rPr>
          <w:color w:val="000000" w:themeColor="text1"/>
        </w:rPr>
        <w:t>,</w:t>
      </w:r>
      <w:r w:rsidR="00F65808" w:rsidRPr="00455C4F">
        <w:rPr>
          <w:color w:val="000000" w:themeColor="text1"/>
        </w:rPr>
        <w:t xml:space="preserve"> we </w:t>
      </w:r>
      <w:r w:rsidR="00801D48">
        <w:rPr>
          <w:color w:val="000000" w:themeColor="text1"/>
        </w:rPr>
        <w:t>present</w:t>
      </w:r>
      <w:r w:rsidR="00F65808" w:rsidRPr="00455C4F">
        <w:rPr>
          <w:color w:val="000000" w:themeColor="text1"/>
        </w:rPr>
        <w:t xml:space="preserve"> a n</w:t>
      </w:r>
      <w:r w:rsidR="00801D48">
        <w:rPr>
          <w:color w:val="000000" w:themeColor="text1"/>
        </w:rPr>
        <w:t>ovel</w:t>
      </w:r>
      <w:r w:rsidR="00F65808" w:rsidRPr="00455C4F">
        <w:rPr>
          <w:color w:val="000000" w:themeColor="text1"/>
        </w:rPr>
        <w:t>, system-</w:t>
      </w:r>
      <w:r w:rsidR="00E202A7">
        <w:rPr>
          <w:color w:val="000000" w:themeColor="text1"/>
        </w:rPr>
        <w:t>scale</w:t>
      </w:r>
      <w:r w:rsidR="00F65808" w:rsidRPr="00455C4F">
        <w:rPr>
          <w:color w:val="000000" w:themeColor="text1"/>
        </w:rPr>
        <w:t xml:space="preserve"> energy analysis tool</w:t>
      </w:r>
      <w:r w:rsidR="00F65808">
        <w:rPr>
          <w:color w:val="000000" w:themeColor="text1"/>
        </w:rPr>
        <w:t>, the</w:t>
      </w:r>
      <w:r w:rsidR="00F65808" w:rsidRPr="00455C4F">
        <w:rPr>
          <w:color w:val="000000" w:themeColor="text1"/>
        </w:rPr>
        <w:t xml:space="preserve"> Sustainable Energy System Analysis Modelling Environment (SESAME)</w:t>
      </w:r>
      <w:r w:rsidR="00F65808">
        <w:rPr>
          <w:color w:val="000000" w:themeColor="text1"/>
        </w:rPr>
        <w:t xml:space="preserve">, to assess the system-level </w:t>
      </w:r>
      <w:r w:rsidR="00F81CA4">
        <w:rPr>
          <w:color w:val="000000" w:themeColor="text1"/>
        </w:rPr>
        <w:t>GHG</w:t>
      </w:r>
      <w:r w:rsidR="00801D48">
        <w:rPr>
          <w:color w:val="000000" w:themeColor="text1"/>
        </w:rPr>
        <w:t xml:space="preserve"> </w:t>
      </w:r>
      <w:r w:rsidR="00F65808">
        <w:rPr>
          <w:color w:val="000000" w:themeColor="text1"/>
        </w:rPr>
        <w:t xml:space="preserve">emission consequences of today’s </w:t>
      </w:r>
      <w:r w:rsidR="00F65808" w:rsidRPr="00455C4F">
        <w:rPr>
          <w:color w:val="000000" w:themeColor="text1"/>
        </w:rPr>
        <w:t>chang</w:t>
      </w:r>
      <w:r w:rsidR="00F65808">
        <w:rPr>
          <w:color w:val="000000" w:themeColor="text1"/>
        </w:rPr>
        <w:t>ing</w:t>
      </w:r>
      <w:r w:rsidR="00801D48">
        <w:rPr>
          <w:color w:val="000000" w:themeColor="text1"/>
        </w:rPr>
        <w:t xml:space="preserve"> energy</w:t>
      </w:r>
      <w:r w:rsidR="00F65808" w:rsidRPr="00455C4F">
        <w:rPr>
          <w:color w:val="000000" w:themeColor="text1"/>
        </w:rPr>
        <w:t xml:space="preserve"> </w:t>
      </w:r>
      <w:r w:rsidR="00801D48">
        <w:rPr>
          <w:color w:val="000000" w:themeColor="text1"/>
        </w:rPr>
        <w:t>s</w:t>
      </w:r>
      <w:r w:rsidR="00F65808">
        <w:rPr>
          <w:color w:val="000000" w:themeColor="text1"/>
        </w:rPr>
        <w:t>ystem.</w:t>
      </w:r>
      <w:r w:rsidR="00B21E6C">
        <w:rPr>
          <w:rFonts w:ascii="Arial" w:hAnsi="Arial" w:cs="Arial"/>
        </w:rPr>
        <w:t xml:space="preserve"> </w:t>
      </w:r>
      <w:r w:rsidR="00A756C4" w:rsidRPr="00113CFE">
        <w:t xml:space="preserve">The underlying analytic engine constitutes </w:t>
      </w:r>
      <w:r w:rsidR="00E202A7">
        <w:t>more than thousand</w:t>
      </w:r>
      <w:r w:rsidR="00A756C4" w:rsidRPr="00113CFE">
        <w:t xml:space="preserve"> individual energy pathways. </w:t>
      </w:r>
      <w:r w:rsidR="005F79E3">
        <w:t>SESAME, developed as a MATLAB application,</w:t>
      </w:r>
      <w:r w:rsidR="00A756C4" w:rsidRPr="00113CFE">
        <w:t xml:space="preserve"> provides a consistent platform to estimate </w:t>
      </w:r>
      <w:r w:rsidR="00E202A7">
        <w:t xml:space="preserve">life </w:t>
      </w:r>
      <w:r w:rsidR="00E202A7">
        <w:lastRenderedPageBreak/>
        <w:t>cycle GHG emissions</w:t>
      </w:r>
      <w:r w:rsidR="00A756C4" w:rsidRPr="00113CFE">
        <w:t xml:space="preserve"> of all </w:t>
      </w:r>
      <w:r w:rsidR="00E202A7">
        <w:t>stages</w:t>
      </w:r>
      <w:r w:rsidR="00A756C4" w:rsidRPr="00113CFE">
        <w:t xml:space="preserve"> of the energy sector. Furthermore, the system representation is embedded into the tool for power and transportation sectors. </w:t>
      </w:r>
      <w:r w:rsidR="008B60FA">
        <w:t xml:space="preserve">Pathway-level and system-level case studies on power and transportation sectors are presented. </w:t>
      </w:r>
      <w:r w:rsidR="006F6BBB">
        <w:t>Various</w:t>
      </w:r>
      <w:r w:rsidR="00914403">
        <w:t xml:space="preserve"> power generation technologies </w:t>
      </w:r>
      <w:r w:rsidR="000362AC">
        <w:t xml:space="preserve">(coal fired power plants, natural gas combined cycle and gas turbine units, solar PV, and wind turbines) </w:t>
      </w:r>
      <w:r w:rsidR="00914403">
        <w:t xml:space="preserve">and </w:t>
      </w:r>
      <w:r w:rsidR="006F6BBB">
        <w:t xml:space="preserve">transportation fuel options </w:t>
      </w:r>
      <w:r w:rsidR="000362AC">
        <w:t xml:space="preserve">(gasoline, diesel, CNG, hydrogen, LNG, LPG, methanol, and DME) </w:t>
      </w:r>
      <w:r w:rsidR="006F6BBB">
        <w:t>are compared based on t</w:t>
      </w:r>
      <w:r w:rsidR="00914403">
        <w:t>heir life cycle GHG footprints. The implications of energy choices for example scenarios</w:t>
      </w:r>
      <w:r w:rsidR="000362AC">
        <w:t xml:space="preserve"> (vehicle fleet projections for US and generator-level hourly power generation)</w:t>
      </w:r>
      <w:r w:rsidR="00914403">
        <w:t xml:space="preserve"> are presented to demonstrate SESAME’s </w:t>
      </w:r>
      <w:proofErr w:type="gramStart"/>
      <w:r w:rsidR="00914403">
        <w:t>high resolution</w:t>
      </w:r>
      <w:proofErr w:type="gramEnd"/>
      <w:r w:rsidR="00914403">
        <w:t xml:space="preserve"> analysis capabilities. </w:t>
      </w:r>
      <w:r w:rsidR="00101765">
        <w:t>Impact of operational variations such as partial loading of power generation</w:t>
      </w:r>
      <w:r w:rsidR="000362AC">
        <w:t xml:space="preserve"> </w:t>
      </w:r>
      <w:r w:rsidR="00101765">
        <w:t xml:space="preserve">units and technology choices such as </w:t>
      </w:r>
      <w:r w:rsidR="002D6024">
        <w:t>treatment of same crude oil in different refinery configurations is explored.</w:t>
      </w:r>
      <w:r w:rsidR="006F67A9">
        <w:t xml:space="preserve"> Performing</w:t>
      </w:r>
      <w:r w:rsidR="00E14783">
        <w:t xml:space="preserve"> uncertainty analysis and energy system optimization based on environmental impacts</w:t>
      </w:r>
      <w:r w:rsidR="006F67A9">
        <w:t xml:space="preserve"> is an indispensable part of any extensive analysis. The modules incorporating these features are </w:t>
      </w:r>
      <w:r w:rsidR="006F67A9" w:rsidRPr="006F67A9">
        <w:t>not in the scope of this article, however,</w:t>
      </w:r>
      <w:r w:rsidR="006F67A9">
        <w:t xml:space="preserve"> subsequent publications will discuss the methodological details as well as use cases.</w:t>
      </w:r>
      <w:r w:rsidR="00E14783">
        <w:t xml:space="preserve">  </w:t>
      </w:r>
    </w:p>
    <w:p w14:paraId="106DC5F5" w14:textId="68D08139" w:rsidR="00213D05" w:rsidRDefault="009A407F" w:rsidP="00B21E6C">
      <w:r>
        <w:t>In the midst of rapidly evolving energy system, m</w:t>
      </w:r>
      <w:r w:rsidRPr="009A407F">
        <w:t>aking informed decisions to properly shape this change requires to understand the system and associated trade-offs.</w:t>
      </w:r>
      <w:r>
        <w:t xml:space="preserve"> </w:t>
      </w:r>
      <w:r w:rsidR="006F67A9">
        <w:t>All the</w:t>
      </w:r>
      <w:r>
        <w:t xml:space="preserve"> presented</w:t>
      </w:r>
      <w:r w:rsidR="006F67A9">
        <w:t xml:space="preserve"> examples underline that GHG emissions are very sensitive to energy choices and a comprehensive systems-level analysis is essential for making informed decisions.</w:t>
      </w:r>
      <w:r>
        <w:t xml:space="preserve"> </w:t>
      </w:r>
      <w:r w:rsidR="008058F5">
        <w:t xml:space="preserve">The introduced </w:t>
      </w:r>
      <w:r w:rsidR="00A96670">
        <w:t xml:space="preserve">SESAME </w:t>
      </w:r>
      <w:r w:rsidR="008058F5">
        <w:t xml:space="preserve">platform </w:t>
      </w:r>
      <w:r w:rsidR="008058F5" w:rsidRPr="008058F5">
        <w:t xml:space="preserve">is developed to address this </w:t>
      </w:r>
      <w:r w:rsidR="008058F5">
        <w:t>pressing</w:t>
      </w:r>
      <w:r w:rsidR="008058F5" w:rsidRPr="008058F5">
        <w:t xml:space="preserve"> need and will continue to evolve to capture the emerging complexities.    </w:t>
      </w:r>
    </w:p>
    <w:p w14:paraId="2A47D16A" w14:textId="77777777" w:rsidR="00D714AE" w:rsidRDefault="00930011" w:rsidP="00930011">
      <w:pPr>
        <w:pStyle w:val="Heading1"/>
        <w:numPr>
          <w:ilvl w:val="0"/>
          <w:numId w:val="0"/>
        </w:numPr>
        <w:ind w:left="432" w:hanging="432"/>
      </w:pPr>
      <w:r>
        <w:t>Acknowledgement</w:t>
      </w:r>
    </w:p>
    <w:p w14:paraId="2039A35B" w14:textId="77777777" w:rsidR="00930011" w:rsidRDefault="00930011" w:rsidP="00930011">
      <w:r w:rsidRPr="00930011">
        <w:t xml:space="preserve">The authors would like to thank: </w:t>
      </w:r>
    </w:p>
    <w:p w14:paraId="5E3C9759" w14:textId="77777777" w:rsidR="006B60FA" w:rsidRDefault="00533431" w:rsidP="00930011">
      <w:r>
        <w:t xml:space="preserve">Dr. </w:t>
      </w:r>
      <w:r w:rsidR="00081B29">
        <w:t xml:space="preserve">Daniel Cherney, Dr. Mike Kerby, Dr. Vijay Swarup, </w:t>
      </w:r>
      <w:r w:rsidR="006B293F">
        <w:t xml:space="preserve">Dr. Jennifer Feeley, </w:t>
      </w:r>
      <w:r w:rsidR="00081B29">
        <w:t xml:space="preserve">Dr. Mike Harper, Dr. </w:t>
      </w:r>
      <w:proofErr w:type="spellStart"/>
      <w:r w:rsidR="00081B29">
        <w:t>Aruna</w:t>
      </w:r>
      <w:proofErr w:type="spellEnd"/>
      <w:r w:rsidR="00081B29">
        <w:t xml:space="preserve"> </w:t>
      </w:r>
      <w:proofErr w:type="spellStart"/>
      <w:r w:rsidR="00081B29">
        <w:t>Ramkrishnan</w:t>
      </w:r>
      <w:proofErr w:type="spellEnd"/>
      <w:r w:rsidR="00081B29">
        <w:t xml:space="preserve">, Dr. Nagore </w:t>
      </w:r>
      <w:proofErr w:type="spellStart"/>
      <w:r w:rsidR="00081B29">
        <w:t>Sabio</w:t>
      </w:r>
      <w:proofErr w:type="spellEnd"/>
      <w:r w:rsidR="00081B29">
        <w:t xml:space="preserve">, Dr. </w:t>
      </w:r>
      <w:r>
        <w:t xml:space="preserve">Mark </w:t>
      </w:r>
      <w:proofErr w:type="spellStart"/>
      <w:r>
        <w:t>Disko</w:t>
      </w:r>
      <w:proofErr w:type="spellEnd"/>
      <w:r>
        <w:t xml:space="preserve">, </w:t>
      </w:r>
      <w:r w:rsidR="00930011" w:rsidRPr="00930011">
        <w:t xml:space="preserve">Dr. Heather </w:t>
      </w:r>
      <w:proofErr w:type="spellStart"/>
      <w:r w:rsidR="00930011" w:rsidRPr="00930011">
        <w:t>Elsen</w:t>
      </w:r>
      <w:proofErr w:type="spellEnd"/>
      <w:r>
        <w:t xml:space="preserve">, Dr. Ian </w:t>
      </w:r>
      <w:proofErr w:type="spellStart"/>
      <w:r>
        <w:t>Laurenzi</w:t>
      </w:r>
      <w:proofErr w:type="spellEnd"/>
      <w:r>
        <w:t xml:space="preserve">, </w:t>
      </w:r>
      <w:r w:rsidR="00930011" w:rsidRPr="00930011">
        <w:t>from Exxo</w:t>
      </w:r>
      <w:r w:rsidR="00496233">
        <w:t xml:space="preserve">nMobil Research and Engineering. </w:t>
      </w:r>
    </w:p>
    <w:p w14:paraId="55872180" w14:textId="77777777" w:rsidR="00930011" w:rsidRDefault="00E334D9" w:rsidP="00930011">
      <w:r>
        <w:t>Prof.</w:t>
      </w:r>
      <w:r w:rsidR="00930011" w:rsidRPr="00930011">
        <w:t xml:space="preserve"> Robert C. Armstrong </w:t>
      </w:r>
      <w:r>
        <w:t xml:space="preserve">and Prof. Maria Zuber </w:t>
      </w:r>
      <w:r w:rsidR="00930011" w:rsidRPr="00930011">
        <w:t xml:space="preserve">for </w:t>
      </w:r>
      <w:r>
        <w:t>their</w:t>
      </w:r>
      <w:r w:rsidR="00930011" w:rsidRPr="00930011">
        <w:t xml:space="preserve"> support and discussion. </w:t>
      </w:r>
    </w:p>
    <w:p w14:paraId="1EA42FE3" w14:textId="22F760AF" w:rsidR="00930011" w:rsidRPr="00D714AE" w:rsidRDefault="00930011" w:rsidP="00D714AE">
      <w:r w:rsidRPr="00930011">
        <w:t>This research was supported by ExxonMobil Research and Engineering</w:t>
      </w:r>
      <w:r>
        <w:t xml:space="preserve"> and MIT Energy Initiative Low Carbon Energy Centers</w:t>
      </w:r>
      <w:r w:rsidRPr="00930011">
        <w:t>.</w:t>
      </w:r>
    </w:p>
    <w:p w14:paraId="1BCDD595" w14:textId="77777777" w:rsidR="00D714AE" w:rsidRDefault="00D714AE" w:rsidP="00D714AE"/>
    <w:p w14:paraId="42877EDC" w14:textId="77777777" w:rsidR="00D714AE" w:rsidRPr="00D714AE" w:rsidRDefault="00D714AE" w:rsidP="00D714AE"/>
    <w:p w14:paraId="631A8D92" w14:textId="77777777" w:rsidR="00362B64" w:rsidRDefault="00362B64" w:rsidP="0044034A">
      <w:pPr>
        <w:rPr>
          <w:rFonts w:cs="Times New Roman"/>
          <w:b/>
          <w:lang w:val="tr-TR"/>
        </w:rPr>
      </w:pPr>
    </w:p>
    <w:p w14:paraId="0CB5F71A" w14:textId="77777777" w:rsidR="00362B64" w:rsidRDefault="00362B64">
      <w:pPr>
        <w:jc w:val="left"/>
        <w:rPr>
          <w:rFonts w:cs="Times New Roman"/>
          <w:b/>
          <w:lang w:val="tr-TR"/>
        </w:rPr>
      </w:pPr>
      <w:r>
        <w:rPr>
          <w:rFonts w:cs="Times New Roman"/>
          <w:b/>
          <w:lang w:val="tr-TR"/>
        </w:rPr>
        <w:br w:type="page"/>
      </w:r>
    </w:p>
    <w:p w14:paraId="3BD56ADA" w14:textId="77777777" w:rsidR="00362B64" w:rsidRDefault="00362B64" w:rsidP="00930011">
      <w:pPr>
        <w:pStyle w:val="Heading1"/>
        <w:numPr>
          <w:ilvl w:val="0"/>
          <w:numId w:val="0"/>
        </w:numPr>
        <w:rPr>
          <w:lang w:val="tr-TR"/>
        </w:rPr>
      </w:pPr>
      <w:r>
        <w:rPr>
          <w:lang w:val="tr-TR"/>
        </w:rPr>
        <w:lastRenderedPageBreak/>
        <w:t>References</w:t>
      </w:r>
    </w:p>
    <w:p w14:paraId="0570EED6" w14:textId="77777777" w:rsidR="00362B64" w:rsidRDefault="00362B64" w:rsidP="00362B64">
      <w:pPr>
        <w:widowControl w:val="0"/>
        <w:autoSpaceDE w:val="0"/>
        <w:autoSpaceDN w:val="0"/>
        <w:adjustRightInd w:val="0"/>
        <w:spacing w:line="240" w:lineRule="auto"/>
        <w:rPr>
          <w:lang w:val="tr-TR"/>
        </w:rPr>
      </w:pPr>
    </w:p>
    <w:p w14:paraId="58873FB6" w14:textId="77777777" w:rsidR="001C4AB5" w:rsidRPr="001C4AB5" w:rsidRDefault="00362B64" w:rsidP="001C4AB5">
      <w:pPr>
        <w:widowControl w:val="0"/>
        <w:autoSpaceDE w:val="0"/>
        <w:autoSpaceDN w:val="0"/>
        <w:adjustRightInd w:val="0"/>
        <w:spacing w:line="240" w:lineRule="auto"/>
        <w:ind w:left="640" w:hanging="640"/>
        <w:rPr>
          <w:rFonts w:cs="Times New Roman"/>
          <w:noProof/>
          <w:szCs w:val="24"/>
        </w:rPr>
      </w:pPr>
      <w:r>
        <w:rPr>
          <w:lang w:val="tr-TR"/>
        </w:rPr>
        <w:fldChar w:fldCharType="begin" w:fldLock="1"/>
      </w:r>
      <w:r>
        <w:rPr>
          <w:lang w:val="tr-TR"/>
        </w:rPr>
        <w:instrText xml:space="preserve">ADDIN Mendeley Bibliography CSL_BIBLIOGRAPHY </w:instrText>
      </w:r>
      <w:r>
        <w:rPr>
          <w:lang w:val="tr-TR"/>
        </w:rPr>
        <w:fldChar w:fldCharType="separate"/>
      </w:r>
      <w:r w:rsidR="001C4AB5" w:rsidRPr="001C4AB5">
        <w:rPr>
          <w:rFonts w:cs="Times New Roman"/>
          <w:noProof/>
          <w:szCs w:val="24"/>
        </w:rPr>
        <w:t>[1]</w:t>
      </w:r>
      <w:r w:rsidR="001C4AB5" w:rsidRPr="001C4AB5">
        <w:rPr>
          <w:rFonts w:cs="Times New Roman"/>
          <w:noProof/>
          <w:szCs w:val="24"/>
        </w:rPr>
        <w:tab/>
        <w:t>EIA. Annual Energy Outlook 2018. 2018.</w:t>
      </w:r>
    </w:p>
    <w:p w14:paraId="57A41D41"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w:t>
      </w:r>
      <w:r w:rsidRPr="001C4AB5">
        <w:rPr>
          <w:rFonts w:cs="Times New Roman"/>
          <w:noProof/>
          <w:szCs w:val="24"/>
        </w:rPr>
        <w:tab/>
        <w:t>Majumdar A, Deutch J. Research Opportunities for CO2Utilization and Negative Emissions at the Gigatonne Scale. Joule 2018;2:805–9. doi:10.1016/j.joule.2018.04.018.</w:t>
      </w:r>
    </w:p>
    <w:p w14:paraId="4E033548"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w:t>
      </w:r>
      <w:r w:rsidRPr="001C4AB5">
        <w:rPr>
          <w:rFonts w:cs="Times New Roman"/>
          <w:noProof/>
          <w:szCs w:val="24"/>
        </w:rPr>
        <w:tab/>
        <w:t>ISO 14040. The International Standards Organisation. Environmental management — Life cycle assessment — Principles and framework. ISO 14040 2006;2006:1–28. doi:10.1136/bmj.332.7550.1107.</w:t>
      </w:r>
    </w:p>
    <w:p w14:paraId="6C1FEFDC"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[4]</w:t>
      </w:r>
      <w:r w:rsidRPr="001C4AB5">
        <w:rPr>
          <w:rFonts w:cs="Times New Roman"/>
          <w:noProof/>
          <w:szCs w:val="24"/>
        </w:rPr>
        <w:tab/>
        <w:t>Frischknecht R, Heath G, Raugei M, Sinha P, de Wild-Scholten M, Fthenakis V, et al. Methodology Guidelines on Life Cycle Assessment of Photovoltaic Electricity, 3rd ed. IEA PVPS Task 12 Int Energy Agency Photovolt Power Syst Progr 2016.</w:t>
      </w:r>
    </w:p>
    <w:p w14:paraId="2041A98F"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[5]</w:t>
      </w:r>
      <w:r w:rsidRPr="001C4AB5">
        <w:rPr>
          <w:rFonts w:cs="Times New Roman"/>
          <w:noProof/>
          <w:szCs w:val="24"/>
        </w:rPr>
        <w:tab/>
        <w:t>Ciroth A. ICT for environment in life cycle applications openLCA — A new open source software for life cycle assessment. Int J Life Cycle Assess 2007;12:209–10. doi:10.1065/lca2007.06.337.</w:t>
      </w:r>
    </w:p>
    <w:p w14:paraId="12129650"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[6]</w:t>
      </w:r>
      <w:r w:rsidRPr="001C4AB5">
        <w:rPr>
          <w:rFonts w:cs="Times New Roman"/>
          <w:noProof/>
          <w:szCs w:val="24"/>
        </w:rPr>
        <w:tab/>
        <w:t>Herrmann IT, Moltesen A. Does it matter which Life Cycle Assessment (LCA) tool you choose? – a comparative assessment of SimaPro and GaBi. J Clean Prod 2015;86:163–9. doi:10.1016/J.JCLEPRO.2014.08.004.</w:t>
      </w:r>
    </w:p>
    <w:p w14:paraId="6E1D39DA"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[7]</w:t>
      </w:r>
      <w:r w:rsidRPr="001C4AB5">
        <w:rPr>
          <w:rFonts w:cs="Times New Roman"/>
          <w:noProof/>
          <w:szCs w:val="24"/>
        </w:rPr>
        <w:tab/>
        <w:t>PRé Sustainability. Manual: SimaPro Tutorial n.d. https://support.simapro.com/articles/Manual/SimaPro-Tutorial/?l=en_US&amp;c=Products%3ASimaPro%3ASP_Tutorials&amp;fs=Search&amp;pn=1 (accessed July 22, 2019).</w:t>
      </w:r>
    </w:p>
    <w:p w14:paraId="72414246"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[8]</w:t>
      </w:r>
      <w:r w:rsidRPr="001C4AB5">
        <w:rPr>
          <w:rFonts w:cs="Times New Roman"/>
          <w:noProof/>
          <w:szCs w:val="24"/>
        </w:rPr>
        <w:tab/>
        <w:t>thinkstep. What is GaBi Software n.d. https://www.gabi-software.com/america/overview/what-is-gabi-software/ (accessed July 22, 2019).</w:t>
      </w:r>
    </w:p>
    <w:p w14:paraId="4C986ECA"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[9]</w:t>
      </w:r>
      <w:r w:rsidRPr="001C4AB5">
        <w:rPr>
          <w:rFonts w:cs="Times New Roman"/>
          <w:noProof/>
          <w:szCs w:val="24"/>
        </w:rPr>
        <w:tab/>
        <w:t>Stanciulescu V, Fleming J. Life Cycle Assessment of Transportation Fuels and GHGenius. 2006 IEEE EIC Clim. Chang. Conf., IEEE; 2006, p. 1–11. doi:10.1109/EICCCC.2006.277203.</w:t>
      </w:r>
    </w:p>
    <w:p w14:paraId="0EDF22DD"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[10]</w:t>
      </w:r>
      <w:r w:rsidRPr="001C4AB5">
        <w:rPr>
          <w:rFonts w:cs="Times New Roman"/>
          <w:noProof/>
          <w:szCs w:val="24"/>
        </w:rPr>
        <w:tab/>
        <w:t>Squared Consultants Inc. GHGenius n.d. https://www.ghgenius.ca/index.php (accessed July 22, 2019).</w:t>
      </w:r>
    </w:p>
    <w:p w14:paraId="214925D8"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[11]</w:t>
      </w:r>
      <w:r w:rsidRPr="001C4AB5">
        <w:rPr>
          <w:rFonts w:cs="Times New Roman"/>
          <w:noProof/>
          <w:szCs w:val="24"/>
        </w:rPr>
        <w:tab/>
        <w:t>Wang MQ, Q M. GREET 1.5 - transportation fuel-cycle model - Vol. 1 : methodology, development, use, and results. Argonne, IL (United States): 1999. doi:10.2172/14775.</w:t>
      </w:r>
    </w:p>
    <w:p w14:paraId="0E3D93BB"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[12]</w:t>
      </w:r>
      <w:r w:rsidRPr="001C4AB5">
        <w:rPr>
          <w:rFonts w:cs="Times New Roman"/>
          <w:noProof/>
          <w:szCs w:val="24"/>
        </w:rPr>
        <w:tab/>
        <w:t>ISO. Environmental management - Life cycle assessement - Requirements and guidelines, ISO 14044, International Organization for Standardization 2006;2006:652–68. doi:10.1007/s11367-011-0297-3.</w:t>
      </w:r>
    </w:p>
    <w:p w14:paraId="6B59329D"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[13]</w:t>
      </w:r>
      <w:r w:rsidRPr="001C4AB5">
        <w:rPr>
          <w:rFonts w:cs="Times New Roman"/>
          <w:noProof/>
          <w:szCs w:val="24"/>
        </w:rPr>
        <w:tab/>
        <w:t>Abella JP, Bergerson JA. Model to Investigate Energy and Greenhouse Gas Emissions Implications of Refining Petroleum: Impacts of Crude Quality and Refinery Configuration. Environ Sci Technol 2012;46:13037–47. doi:10.1021/es3018682.</w:t>
      </w:r>
    </w:p>
    <w:p w14:paraId="57F7AE64"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[14]</w:t>
      </w:r>
      <w:r w:rsidRPr="001C4AB5">
        <w:rPr>
          <w:rFonts w:cs="Times New Roman"/>
          <w:noProof/>
          <w:szCs w:val="24"/>
        </w:rPr>
        <w:tab/>
        <w:t>Gençer E, Agrawal R. Strategy to synthesize integrated solar energy coproduction processes with optimal process intensification. Case study: Efficient solar thermal hydrogen production. Comput Chem Eng 2017;105:328–47. doi:10.1016/j.compchemeng.2017.01.038.</w:t>
      </w:r>
    </w:p>
    <w:p w14:paraId="53EA07D2"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[15]</w:t>
      </w:r>
      <w:r w:rsidRPr="001C4AB5">
        <w:rPr>
          <w:rFonts w:cs="Times New Roman"/>
          <w:noProof/>
          <w:szCs w:val="24"/>
        </w:rPr>
        <w:tab/>
        <w:t>Gençer E, Tawarmalani M, Agrawal R. Integrated Solar Thermal Hydrogen and Power Coproduction Process for Continuous Power Supply and Production of Chemicals. vol. 37. 2015. doi:10.1016/B978-0-444-63576-1.50076-5.</w:t>
      </w:r>
    </w:p>
    <w:p w14:paraId="543AE6CB"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lastRenderedPageBreak/>
        <w:t>[16]</w:t>
      </w:r>
      <w:r w:rsidRPr="001C4AB5">
        <w:rPr>
          <w:rFonts w:cs="Times New Roman"/>
          <w:noProof/>
          <w:szCs w:val="24"/>
        </w:rPr>
        <w:tab/>
        <w:t>Young B, Hottle T, Hawkins T, Jamieson M, Cooney G, Motazedi K, et al. Expansion of the Petroleum Refinery Life Cycle Inventory Model to Support Characterization of a Full Suite of Commonly Tracked Impact Potentials. Environ Sci Technol 2019;53:2238–48. doi:10.1021/acs.est.8b05572.</w:t>
      </w:r>
    </w:p>
    <w:p w14:paraId="72B4DBF9"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[17]</w:t>
      </w:r>
      <w:r w:rsidRPr="001C4AB5">
        <w:rPr>
          <w:rFonts w:cs="Times New Roman"/>
          <w:noProof/>
          <w:szCs w:val="24"/>
        </w:rPr>
        <w:tab/>
        <w:t>Wang M, Elgowainy A, Benavides PT, Burnham A, Cai H, Dai Q, et al. Summary of Expansions and Updates in GREET 2018.</w:t>
      </w:r>
    </w:p>
    <w:p w14:paraId="1F67E4AF"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[18]</w:t>
      </w:r>
      <w:r w:rsidRPr="001C4AB5">
        <w:rPr>
          <w:rFonts w:cs="Times New Roman"/>
          <w:noProof/>
          <w:szCs w:val="24"/>
        </w:rPr>
        <w:tab/>
        <w:t>Frischknecht R, Itten R, Sinha P, de Wild-Scholten M, Zhang J, Fthenakis V. Life cycle inventories and life cycle assessment of photovoltaic systems; Report IEA-PVPS T12-04:2015. Paris, France: 2015.</w:t>
      </w:r>
    </w:p>
    <w:p w14:paraId="6FBCBF8C"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[19]</w:t>
      </w:r>
      <w:r w:rsidRPr="001C4AB5">
        <w:rPr>
          <w:rFonts w:cs="Times New Roman"/>
          <w:noProof/>
          <w:szCs w:val="24"/>
        </w:rPr>
        <w:tab/>
        <w:t>Jungbluth N, Stucki M. Life cycle inventories of photovoltaics. ESU-Services Ltd, … 2012:250.</w:t>
      </w:r>
    </w:p>
    <w:p w14:paraId="370D63FB"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[20]</w:t>
      </w:r>
      <w:r w:rsidRPr="001C4AB5">
        <w:rPr>
          <w:rFonts w:cs="Times New Roman"/>
          <w:noProof/>
          <w:szCs w:val="24"/>
        </w:rPr>
        <w:tab/>
        <w:t>DOE NETL. Cost and Performance Baseline for Fossil Energy Plants. vol. 1a. 2015.</w:t>
      </w:r>
    </w:p>
    <w:p w14:paraId="17C1736C"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[21]</w:t>
      </w:r>
      <w:r w:rsidRPr="001C4AB5">
        <w:rPr>
          <w:rFonts w:cs="Times New Roman"/>
          <w:noProof/>
          <w:szCs w:val="24"/>
        </w:rPr>
        <w:tab/>
        <w:t>Coal B, Gas N, NETL. Cost and Performance Baseline for Fossil Energy Plants Volume 1: Bituminous Coal and Natural Gas to Electricity Revision 2. vol. 1. 2010.</w:t>
      </w:r>
    </w:p>
    <w:p w14:paraId="7375A48A"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[22]</w:t>
      </w:r>
      <w:r w:rsidRPr="001C4AB5">
        <w:rPr>
          <w:rFonts w:cs="Times New Roman"/>
          <w:noProof/>
          <w:szCs w:val="24"/>
        </w:rPr>
        <w:tab/>
        <w:t>Netl DOE. Cost and Performance Baseline for Fossil Energy Plants Volume 3a : Low Rank Coal to Electricity : IGCC Cases 2011;3.</w:t>
      </w:r>
    </w:p>
    <w:p w14:paraId="033625B7"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[23]</w:t>
      </w:r>
      <w:r w:rsidRPr="001C4AB5">
        <w:rPr>
          <w:rFonts w:cs="Times New Roman"/>
          <w:noProof/>
          <w:szCs w:val="24"/>
        </w:rPr>
        <w:tab/>
        <w:t>Netl DOE. Cost and Performance Baseline for Fossil Energy Plants Volume 3c : Natural Gas Combined Cycle at Elevation 2011;3.</w:t>
      </w:r>
    </w:p>
    <w:p w14:paraId="4F51A064"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[24]</w:t>
      </w:r>
      <w:r w:rsidRPr="001C4AB5">
        <w:rPr>
          <w:rFonts w:cs="Times New Roman"/>
          <w:noProof/>
          <w:szCs w:val="24"/>
        </w:rPr>
        <w:tab/>
        <w:t>Ruth M, Laffen M, Timbario TA. Hydrogen Pathways: Cost, Well-to-Wheels Energy Use, and Emissions for the Current Technology Status of Seven Hydrogen Production, Delivery, and Distribution Scenarios. National Renewable Energy Laboratory (NREL); 2013. doi:10.2172/966286.</w:t>
      </w:r>
    </w:p>
    <w:p w14:paraId="0982FE0A"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[25]</w:t>
      </w:r>
      <w:r w:rsidRPr="001C4AB5">
        <w:rPr>
          <w:rFonts w:cs="Times New Roman"/>
          <w:noProof/>
          <w:szCs w:val="24"/>
        </w:rPr>
        <w:tab/>
        <w:t>Wooley RJ, Putsche V. Development of an ASPEN PLUS physical property database for biofuels components. 1996.</w:t>
      </w:r>
    </w:p>
    <w:p w14:paraId="01588AB9"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[26]</w:t>
      </w:r>
      <w:r w:rsidRPr="001C4AB5">
        <w:rPr>
          <w:rFonts w:cs="Times New Roman"/>
          <w:noProof/>
          <w:szCs w:val="24"/>
        </w:rPr>
        <w:tab/>
        <w:t>(NREL) NREL. Life Cycle Greenhouse Gas Emissions from Electricity Generation. Natl Renew Energy Lab 2013.</w:t>
      </w:r>
    </w:p>
    <w:p w14:paraId="3CCE7A74"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[27]</w:t>
      </w:r>
      <w:r w:rsidRPr="001C4AB5">
        <w:rPr>
          <w:rFonts w:cs="Times New Roman"/>
          <w:noProof/>
          <w:szCs w:val="24"/>
        </w:rPr>
        <w:tab/>
        <w:t>Humbird D, Davis R, Tao L, Kinchin C, Hsu D, Aden A, et al. Process Design and Economics for Biochemical Conversion of Lignocellulosic Biomass to Ethanol- Dilute-Acid Pretreatment and Enzymatic Hydrolysis of Corn Stover. 2011.</w:t>
      </w:r>
    </w:p>
    <w:p w14:paraId="583C842A"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[28]</w:t>
      </w:r>
      <w:r w:rsidRPr="001C4AB5">
        <w:rPr>
          <w:rFonts w:cs="Times New Roman"/>
          <w:noProof/>
          <w:szCs w:val="24"/>
        </w:rPr>
        <w:tab/>
        <w:t>Laurenzi IJ, Jersey GR. Life cycle greenhouse gas emissions and freshwater consumption of Marcellus shale gas. Environ Sci Technol 2013;47:4896–903. doi:10.1021/es305162w.</w:t>
      </w:r>
    </w:p>
    <w:p w14:paraId="24A72443"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[29]</w:t>
      </w:r>
      <w:r w:rsidRPr="001C4AB5">
        <w:rPr>
          <w:rFonts w:cs="Times New Roman"/>
          <w:noProof/>
          <w:szCs w:val="24"/>
        </w:rPr>
        <w:tab/>
        <w:t>Laurenzi IJ, Bergerson JA, Motazedi K. Life cycle greenhouse gas emissions and freshwater consumption associated with Bakken tight oil. Proc Natl Acad Sci  2016:7672–80. doi:10.1073/pnas.1607475113.</w:t>
      </w:r>
    </w:p>
    <w:p w14:paraId="3B26F27C"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[30]</w:t>
      </w:r>
      <w:r w:rsidRPr="001C4AB5">
        <w:rPr>
          <w:rFonts w:cs="Times New Roman"/>
          <w:noProof/>
          <w:szCs w:val="24"/>
        </w:rPr>
        <w:tab/>
        <w:t>Locker CR, Torkamani S, Laurenzi IJ, Jin VL, Schmer MR, Karlen DL. Field-to-farm gate greenhouse gas emissions from corn stover production in the Midwestern U.S. J Clean Prod 2019;226:1116–27. doi:10.1016/J.JCLEPRO.2019.03.154.</w:t>
      </w:r>
    </w:p>
    <w:p w14:paraId="60315836"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[31]</w:t>
      </w:r>
      <w:r w:rsidRPr="001C4AB5">
        <w:rPr>
          <w:rFonts w:cs="Times New Roman"/>
          <w:noProof/>
          <w:szCs w:val="24"/>
        </w:rPr>
        <w:tab/>
        <w:t>Gencer E, Mallapragada DS, Tawarmalani M, Agrawal R, Gençer E, Mallapragada DS, et al. Synergistic Biomass and Natural Gas Conversion to Liquid Fuel with Reduced CO2 Emissions. Comput Aided Chem Eng 2014;34:525–30. doi:http://dx.doi.org/10.1016/B978-0-444-63433-7.50072-9.</w:t>
      </w:r>
    </w:p>
    <w:p w14:paraId="6011EF4D"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[32]</w:t>
      </w:r>
      <w:r w:rsidRPr="001C4AB5">
        <w:rPr>
          <w:rFonts w:cs="Times New Roman"/>
          <w:noProof/>
          <w:szCs w:val="24"/>
        </w:rPr>
        <w:tab/>
        <w:t xml:space="preserve">Miller I, Gençer E, Vogelbaum HS, Brown PR, Torkamani S, O’Sullivan FM. Parametric modeling </w:t>
      </w:r>
      <w:r w:rsidRPr="001C4AB5">
        <w:rPr>
          <w:rFonts w:cs="Times New Roman"/>
          <w:noProof/>
          <w:szCs w:val="24"/>
        </w:rPr>
        <w:lastRenderedPageBreak/>
        <w:t>of life cycle greenhouse gas emissions from photovoltaic power. Appl Energy 2019;238:760–74. doi:10.1016/j.apenergy.2019.01.012.</w:t>
      </w:r>
    </w:p>
    <w:p w14:paraId="2B163517"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[33]</w:t>
      </w:r>
      <w:r w:rsidRPr="001C4AB5">
        <w:rPr>
          <w:rFonts w:cs="Times New Roman"/>
          <w:noProof/>
          <w:szCs w:val="24"/>
        </w:rPr>
        <w:tab/>
        <w:t>Miller I, Gençer E, O’Sullivan F. A General Model for Estimating Emissions from Integrated Power Generation and Energy Storage. Case Study: Integration of Solar Photovoltaic Power and Wind Power with Batteries. Processes 2018. doi:10.3390/pr6120267.</w:t>
      </w:r>
    </w:p>
    <w:p w14:paraId="0DFF7E36"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[34]</w:t>
      </w:r>
      <w:r w:rsidRPr="001C4AB5">
        <w:rPr>
          <w:rFonts w:cs="Times New Roman"/>
          <w:noProof/>
          <w:szCs w:val="24"/>
        </w:rPr>
        <w:tab/>
        <w:t>Wang M. GREET Model: The Greenhouse Gases, Regulated Emissions, and Energy Use in Transportation Model. 2011.</w:t>
      </w:r>
    </w:p>
    <w:p w14:paraId="1D99A2B4"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[35]</w:t>
      </w:r>
      <w:r w:rsidRPr="001C4AB5">
        <w:rPr>
          <w:rFonts w:cs="Times New Roman"/>
          <w:noProof/>
          <w:szCs w:val="24"/>
        </w:rPr>
        <w:tab/>
        <w:t>US EPA. Inventory of U.S. Greenhouse Gas Emissions and Sinks 1990-2017: Updates Under Consideration for Incorporating GHGRP Data. 2018.</w:t>
      </w:r>
    </w:p>
    <w:p w14:paraId="2A039900"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[36]</w:t>
      </w:r>
      <w:r w:rsidRPr="001C4AB5">
        <w:rPr>
          <w:rFonts w:cs="Times New Roman"/>
          <w:noProof/>
          <w:szCs w:val="24"/>
        </w:rPr>
        <w:tab/>
        <w:t>U.S. EIA. Annual Energy Outlook 2019 with projections to 2050. Annu Energy Outlook 2019 with Proj to 2050 2019;44:1–64. doi:DOE/EIA-0383(2012) U.S.</w:t>
      </w:r>
    </w:p>
    <w:p w14:paraId="67116505"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[37]</w:t>
      </w:r>
      <w:r w:rsidRPr="001C4AB5">
        <w:rPr>
          <w:rFonts w:cs="Times New Roman"/>
          <w:noProof/>
          <w:szCs w:val="24"/>
        </w:rPr>
        <w:tab/>
        <w:t>Singh M, Vyas A, Steiner E. VISION Model: description of model used to estimate the impact of highway vehicle technologies and fuels on energy use and carbon emissions to 2050. 2004. doi:10.2172/822561.</w:t>
      </w:r>
    </w:p>
    <w:p w14:paraId="215D70B9"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[38]</w:t>
      </w:r>
      <w:r w:rsidRPr="001C4AB5">
        <w:rPr>
          <w:rFonts w:cs="Times New Roman"/>
          <w:noProof/>
          <w:szCs w:val="24"/>
        </w:rPr>
        <w:tab/>
        <w:t>Federal Highway Administration (FHWA). National household travel survey. Washington, DC: 2009.</w:t>
      </w:r>
    </w:p>
    <w:p w14:paraId="18BA1F02"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[39]</w:t>
      </w:r>
      <w:r w:rsidRPr="001C4AB5">
        <w:rPr>
          <w:rFonts w:cs="Times New Roman"/>
          <w:noProof/>
          <w:szCs w:val="24"/>
        </w:rPr>
        <w:tab/>
        <w:t>U.S. EPA. Air Markets Program Data 2018.</w:t>
      </w:r>
    </w:p>
    <w:p w14:paraId="3744533D" w14:textId="77777777" w:rsidR="001C4AB5" w:rsidRPr="001C4AB5" w:rsidRDefault="001C4AB5" w:rsidP="001C4AB5">
      <w:pPr>
        <w:widowControl w:val="0"/>
        <w:autoSpaceDE w:val="0"/>
        <w:autoSpaceDN w:val="0"/>
        <w:adjustRightInd w:val="0"/>
        <w:spacing w:line="240" w:lineRule="auto"/>
        <w:ind w:left="640" w:hanging="640"/>
        <w:rPr>
          <w:rFonts w:cs="Times New Roman"/>
          <w:noProof/>
          <w:szCs w:val="24"/>
        </w:rPr>
      </w:pPr>
      <w:r w:rsidRPr="001C4AB5">
        <w:rPr>
          <w:rFonts w:cs="Times New Roman"/>
          <w:noProof/>
          <w:szCs w:val="24"/>
        </w:rPr>
        <w:t>[40]</w:t>
      </w:r>
      <w:r w:rsidRPr="001C4AB5">
        <w:rPr>
          <w:rFonts w:cs="Times New Roman"/>
          <w:noProof/>
          <w:szCs w:val="24"/>
        </w:rPr>
        <w:tab/>
        <w:t>U.S. Environmental Protection Agency (EPA). Fuel Economy Data 2018. https://www.fueleconomy.gov/feg/download.shtml.</w:t>
      </w:r>
    </w:p>
    <w:p w14:paraId="533A17E3" w14:textId="77777777" w:rsidR="001C4AB5" w:rsidRPr="001C4AB5" w:rsidRDefault="001C4AB5" w:rsidP="001C4AB5">
      <w:pPr>
        <w:widowControl w:val="0"/>
        <w:autoSpaceDE w:val="0"/>
        <w:autoSpaceDN w:val="0"/>
        <w:adjustRightInd w:val="0"/>
        <w:spacing w:line="240" w:lineRule="auto"/>
        <w:ind w:left="640" w:hanging="640"/>
        <w:rPr>
          <w:rFonts w:cs="Times New Roman"/>
          <w:noProof/>
        </w:rPr>
      </w:pPr>
      <w:r w:rsidRPr="001C4AB5">
        <w:rPr>
          <w:rFonts w:cs="Times New Roman"/>
          <w:noProof/>
          <w:szCs w:val="24"/>
        </w:rPr>
        <w:t>[41]</w:t>
      </w:r>
      <w:r w:rsidRPr="001C4AB5">
        <w:rPr>
          <w:rFonts w:cs="Times New Roman"/>
          <w:noProof/>
          <w:szCs w:val="24"/>
        </w:rPr>
        <w:tab/>
        <w:t>Miller I, Gençer E, O’Sullivan FM. Modeling Impacts of Tracking on Greenhouse Gas Emissions from Photovoltaic Power. Comput Aided Chem Eng 2019;46:1057–62. doi:10.1016/B978-0-12-818634-3.50177-6.</w:t>
      </w:r>
    </w:p>
    <w:p w14:paraId="76B3394D" w14:textId="77777777" w:rsidR="00362B64" w:rsidRDefault="00362B64" w:rsidP="00362B64">
      <w:pPr>
        <w:rPr>
          <w:lang w:val="tr-TR"/>
        </w:rPr>
      </w:pPr>
      <w:r>
        <w:rPr>
          <w:lang w:val="tr-TR"/>
        </w:rPr>
        <w:fldChar w:fldCharType="end"/>
      </w:r>
    </w:p>
    <w:p w14:paraId="54AA3702" w14:textId="77777777" w:rsidR="005C4773" w:rsidRDefault="005C4773" w:rsidP="00362B64">
      <w:pPr>
        <w:rPr>
          <w:lang w:val="tr-TR"/>
        </w:rPr>
      </w:pPr>
    </w:p>
    <w:p w14:paraId="210D2145" w14:textId="77777777" w:rsidR="005C4773" w:rsidRDefault="005C4773" w:rsidP="00362B64">
      <w:pPr>
        <w:rPr>
          <w:lang w:val="tr-TR"/>
        </w:rPr>
      </w:pPr>
    </w:p>
    <w:p w14:paraId="0FC209DE" w14:textId="77777777" w:rsidR="005C4773" w:rsidRDefault="005C4773" w:rsidP="00362B64">
      <w:pPr>
        <w:rPr>
          <w:lang w:val="tr-TR"/>
        </w:rPr>
      </w:pPr>
    </w:p>
    <w:p w14:paraId="22014D29" w14:textId="77777777" w:rsidR="00D96B88" w:rsidRDefault="00D96B88">
      <w:pPr>
        <w:jc w:val="left"/>
        <w:rPr>
          <w:b/>
          <w:sz w:val="24"/>
        </w:rPr>
      </w:pPr>
      <w:r>
        <w:rPr>
          <w:b/>
          <w:sz w:val="24"/>
        </w:rPr>
        <w:br w:type="page"/>
      </w:r>
    </w:p>
    <w:p w14:paraId="26F9EA9F" w14:textId="77777777" w:rsidR="005F3F9E" w:rsidRDefault="005F3F9E" w:rsidP="005C4773">
      <w:pPr>
        <w:rPr>
          <w:b/>
          <w:sz w:val="24"/>
        </w:rPr>
        <w:sectPr w:rsidR="005F3F9E">
          <w:footerReference w:type="default" r:id="rId28"/>
          <w:pgSz w:w="12240" w:h="15840"/>
          <w:pgMar w:top="1440" w:right="1440" w:bottom="1440" w:left="1440" w:header="720" w:footer="720" w:gutter="0"/>
          <w:cols w:space="720"/>
          <w:docGrid w:linePitch="360"/>
        </w:sectPr>
      </w:pPr>
    </w:p>
    <w:p w14:paraId="5CAAAF99" w14:textId="77777777" w:rsidR="005C4773" w:rsidRPr="005C4773" w:rsidRDefault="005C4773" w:rsidP="005F3F9E">
      <w:pPr>
        <w:pStyle w:val="Heading1"/>
        <w:numPr>
          <w:ilvl w:val="0"/>
          <w:numId w:val="0"/>
        </w:numPr>
      </w:pPr>
      <w:r w:rsidRPr="005C4773">
        <w:lastRenderedPageBreak/>
        <w:t>Supporting Information</w:t>
      </w:r>
    </w:p>
    <w:p w14:paraId="1B1F789F" w14:textId="77777777" w:rsidR="005C4773" w:rsidRDefault="00A756C4" w:rsidP="005F3F9E">
      <w:pPr>
        <w:pStyle w:val="Heading2"/>
        <w:numPr>
          <w:ilvl w:val="0"/>
          <w:numId w:val="0"/>
        </w:numPr>
        <w:rPr>
          <w:lang w:val="tr-TR"/>
        </w:rPr>
      </w:pPr>
      <w:r>
        <w:rPr>
          <w:lang w:val="tr-TR"/>
        </w:rPr>
        <w:t>System Boundaries</w:t>
      </w:r>
    </w:p>
    <w:p w14:paraId="21631ECA" w14:textId="77777777" w:rsidR="00456239" w:rsidRPr="00456239" w:rsidRDefault="00456239" w:rsidP="00456239">
      <w:pPr>
        <w:rPr>
          <w:lang w:val="tr-TR"/>
        </w:rPr>
      </w:pPr>
      <w:r>
        <w:t xml:space="preserve">Pathway level analysis constitutes the backbone of the computation engine. The platform is capable of calculating all the combinations of modules, presented </w:t>
      </w:r>
      <w:r w:rsidRPr="00456239">
        <w:t xml:space="preserve">in </w:t>
      </w:r>
      <w:r w:rsidRPr="00456239">
        <w:fldChar w:fldCharType="begin"/>
      </w:r>
      <w:r w:rsidRPr="00456239">
        <w:instrText xml:space="preserve"> REF _Ref5094514 \h  \* MERGEFORMAT </w:instrText>
      </w:r>
      <w:r w:rsidRPr="00456239">
        <w:fldChar w:fldCharType="separate"/>
      </w:r>
      <w:r w:rsidRPr="00456239">
        <w:t xml:space="preserve">Figure </w:t>
      </w:r>
      <w:r w:rsidRPr="00456239">
        <w:rPr>
          <w:noProof/>
        </w:rPr>
        <w:t>2</w:t>
      </w:r>
      <w:r w:rsidRPr="00456239">
        <w:fldChar w:fldCharType="end"/>
      </w:r>
      <w:r w:rsidRPr="00456239">
        <w:t xml:space="preserve"> that</w:t>
      </w:r>
      <w:r>
        <w:t xml:space="preserve"> form a meaningful pathway. The individual pathways can be further expanded with the addition of new modules. </w:t>
      </w:r>
      <w:r>
        <w:rPr>
          <w:lang w:val="en-GB"/>
        </w:rPr>
        <w:t>Cradle-to-grave system boundary for every complete pathway is set and the selections are limited to allowed components. Various system boundaries are shown here.</w:t>
      </w:r>
    </w:p>
    <w:p w14:paraId="72A0F99B" w14:textId="77777777" w:rsidR="00A756C4" w:rsidRDefault="005F3F9E" w:rsidP="00D96B88">
      <w:pPr>
        <w:jc w:val="center"/>
        <w:rPr>
          <w:lang w:val="tr-TR"/>
        </w:rPr>
      </w:pPr>
      <w:r>
        <w:rPr>
          <w:noProof/>
        </w:rPr>
        <mc:AlternateContent>
          <mc:Choice Requires="wps">
            <w:drawing>
              <wp:anchor distT="0" distB="0" distL="114300" distR="114300" simplePos="0" relativeHeight="251688960" behindDoc="0" locked="0" layoutInCell="1" allowOverlap="1" wp14:anchorId="4F6B8588" wp14:editId="6AEE8EDE">
                <wp:simplePos x="0" y="0"/>
                <wp:positionH relativeFrom="column">
                  <wp:posOffset>0</wp:posOffset>
                </wp:positionH>
                <wp:positionV relativeFrom="paragraph">
                  <wp:posOffset>2463800</wp:posOffset>
                </wp:positionV>
                <wp:extent cx="5943600" cy="635"/>
                <wp:effectExtent l="0" t="0" r="0" b="0"/>
                <wp:wrapTopAndBottom/>
                <wp:docPr id="66" name="Text Box 6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C3C48D4" w14:textId="77777777" w:rsidR="00227B36" w:rsidRPr="00C65BDD"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1</w:t>
                            </w:r>
                            <w:r>
                              <w:rPr>
                                <w:noProof/>
                              </w:rPr>
                              <w:fldChar w:fldCharType="end"/>
                            </w:r>
                            <w:r>
                              <w:t xml:space="preserve"> System boundary of Coal to Power pathways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B8588" id="Text Box 66" o:spid="_x0000_s1031" type="#_x0000_t202" style="position:absolute;left:0;text-align:left;margin-left:0;margin-top:194pt;width:46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" stroked="f">
                <v:textbox style="mso-fit-shape-to-text:t" inset="0,0,0,0">
                  <w:txbxContent>
                    <w:p w14:paraId="6C3C48D4" w14:textId="77777777" w:rsidR="00227B36" w:rsidRPr="00C65BDD"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1</w:t>
                      </w:r>
                      <w:r>
                        <w:rPr>
                          <w:noProof/>
                        </w:rPr>
                        <w:fldChar w:fldCharType="end"/>
                      </w:r>
                      <w:r>
                        <w:t xml:space="preserve"> System boundary of Coal to Power pathways </w:t>
                      </w:r>
                    </w:p>
                  </w:txbxContent>
                </v:textbox>
                <w10:wrap type="topAndBottom"/>
              </v:shape>
            </w:pict>
          </mc:Fallback>
        </mc:AlternateContent>
      </w:r>
      <w:r w:rsidR="00D96B88">
        <w:rPr>
          <w:noProof/>
        </w:rPr>
        <w:drawing>
          <wp:anchor distT="0" distB="0" distL="114300" distR="114300" simplePos="0" relativeHeight="251676672" behindDoc="0" locked="0" layoutInCell="1" allowOverlap="1" wp14:anchorId="5CEBBA08" wp14:editId="5A4CA796">
            <wp:simplePos x="0" y="0"/>
            <wp:positionH relativeFrom="column">
              <wp:posOffset>0</wp:posOffset>
            </wp:positionH>
            <wp:positionV relativeFrom="paragraph">
              <wp:posOffset>275590</wp:posOffset>
            </wp:positionV>
            <wp:extent cx="5943600" cy="2131060"/>
            <wp:effectExtent l="0" t="0" r="0" b="254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2P_SB.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131060"/>
                    </a:xfrm>
                    <a:prstGeom prst="rect">
                      <a:avLst/>
                    </a:prstGeom>
                  </pic:spPr>
                </pic:pic>
              </a:graphicData>
            </a:graphic>
          </wp:anchor>
        </w:drawing>
      </w:r>
    </w:p>
    <w:p w14:paraId="2494A16D" w14:textId="77777777" w:rsidR="005C4773" w:rsidRDefault="005C4773" w:rsidP="00D96B88">
      <w:pPr>
        <w:jc w:val="center"/>
        <w:rPr>
          <w:lang w:val="tr-TR"/>
        </w:rPr>
      </w:pPr>
    </w:p>
    <w:p w14:paraId="75019EA6" w14:textId="77777777" w:rsidR="00D96B88" w:rsidRDefault="005F3F9E" w:rsidP="002610C2">
      <w:pPr>
        <w:rPr>
          <w:lang w:val="tr-TR"/>
        </w:rPr>
      </w:pPr>
      <w:r>
        <w:rPr>
          <w:noProof/>
        </w:rPr>
        <mc:AlternateContent>
          <mc:Choice Requires="wps">
            <w:drawing>
              <wp:anchor distT="0" distB="0" distL="114300" distR="114300" simplePos="0" relativeHeight="251691008" behindDoc="0" locked="0" layoutInCell="1" allowOverlap="1" wp14:anchorId="49C607CC" wp14:editId="4D2602F0">
                <wp:simplePos x="0" y="0"/>
                <wp:positionH relativeFrom="column">
                  <wp:posOffset>0</wp:posOffset>
                </wp:positionH>
                <wp:positionV relativeFrom="paragraph">
                  <wp:posOffset>2432685</wp:posOffset>
                </wp:positionV>
                <wp:extent cx="5943600" cy="635"/>
                <wp:effectExtent l="0" t="0" r="0" b="0"/>
                <wp:wrapTopAndBottom/>
                <wp:docPr id="67" name="Text Box 6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FFCFE2A" w14:textId="77777777" w:rsidR="00227B36" w:rsidRPr="00541BED"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2</w:t>
                            </w:r>
                            <w:r>
                              <w:rPr>
                                <w:noProof/>
                              </w:rPr>
                              <w:fldChar w:fldCharType="end"/>
                            </w:r>
                            <w:r>
                              <w:t xml:space="preserve"> System boundary of Natural Gas to Power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607CC" id="Text Box 67" o:spid="_x0000_s1032" type="#_x0000_t202" style="position:absolute;left:0;text-align:left;margin-left:0;margin-top:191.55pt;width:468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" stroked="f">
                <v:textbox style="mso-fit-shape-to-text:t" inset="0,0,0,0">
                  <w:txbxContent>
                    <w:p w14:paraId="4FFCFE2A" w14:textId="77777777" w:rsidR="00227B36" w:rsidRPr="00541BED"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2</w:t>
                      </w:r>
                      <w:r>
                        <w:rPr>
                          <w:noProof/>
                        </w:rPr>
                        <w:fldChar w:fldCharType="end"/>
                      </w:r>
                      <w:r>
                        <w:t xml:space="preserve"> System boundary of Natural Gas to Power pathways</w:t>
                      </w:r>
                    </w:p>
                  </w:txbxContent>
                </v:textbox>
                <w10:wrap type="topAndBottom"/>
              </v:shape>
            </w:pict>
          </mc:Fallback>
        </mc:AlternateContent>
      </w:r>
      <w:r w:rsidR="00D96B88">
        <w:rPr>
          <w:noProof/>
        </w:rPr>
        <w:drawing>
          <wp:anchor distT="0" distB="0" distL="114300" distR="114300" simplePos="0" relativeHeight="251677696" behindDoc="0" locked="0" layoutInCell="1" allowOverlap="1" wp14:anchorId="464B8542" wp14:editId="5A44072C">
            <wp:simplePos x="0" y="0"/>
            <wp:positionH relativeFrom="column">
              <wp:posOffset>0</wp:posOffset>
            </wp:positionH>
            <wp:positionV relativeFrom="paragraph">
              <wp:posOffset>276225</wp:posOffset>
            </wp:positionV>
            <wp:extent cx="5943600" cy="209931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2P_SB.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099310"/>
                    </a:xfrm>
                    <a:prstGeom prst="rect">
                      <a:avLst/>
                    </a:prstGeom>
                  </pic:spPr>
                </pic:pic>
              </a:graphicData>
            </a:graphic>
          </wp:anchor>
        </w:drawing>
      </w:r>
    </w:p>
    <w:p w14:paraId="5A302E27" w14:textId="77777777" w:rsidR="005C4773" w:rsidRDefault="005C4773" w:rsidP="00D96B88">
      <w:pPr>
        <w:jc w:val="center"/>
        <w:rPr>
          <w:lang w:val="tr-TR"/>
        </w:rPr>
      </w:pPr>
    </w:p>
    <w:p w14:paraId="05678515" w14:textId="77777777" w:rsidR="00D96B88" w:rsidRDefault="005F3F9E" w:rsidP="00D96B88">
      <w:pPr>
        <w:jc w:val="center"/>
        <w:rPr>
          <w:lang w:val="tr-TR"/>
        </w:rPr>
      </w:pPr>
      <w:r>
        <w:rPr>
          <w:noProof/>
        </w:rPr>
        <w:lastRenderedPageBreak/>
        <mc:AlternateContent>
          <mc:Choice Requires="wps">
            <w:drawing>
              <wp:anchor distT="0" distB="0" distL="114300" distR="114300" simplePos="0" relativeHeight="251693056" behindDoc="0" locked="0" layoutInCell="1" allowOverlap="1" wp14:anchorId="7ED406C9" wp14:editId="27154B20">
                <wp:simplePos x="0" y="0"/>
                <wp:positionH relativeFrom="column">
                  <wp:posOffset>0</wp:posOffset>
                </wp:positionH>
                <wp:positionV relativeFrom="paragraph">
                  <wp:posOffset>2505075</wp:posOffset>
                </wp:positionV>
                <wp:extent cx="5943600" cy="635"/>
                <wp:effectExtent l="0" t="0" r="0" b="0"/>
                <wp:wrapTopAndBottom/>
                <wp:docPr id="68" name="Text Box 6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3BFDC7" w14:textId="77777777" w:rsidR="00227B36" w:rsidRPr="000A66C3"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3</w:t>
                            </w:r>
                            <w:r>
                              <w:rPr>
                                <w:noProof/>
                              </w:rPr>
                              <w:fldChar w:fldCharType="end"/>
                            </w:r>
                            <w:r>
                              <w:t xml:space="preserve"> System boundary of Renewable Power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D406C9" id="Text Box 68" o:spid="_x0000_s1033" type="#_x0000_t202" style="position:absolute;left:0;text-align:left;margin-left:0;margin-top:197.25pt;width:468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" stroked="f">
                <v:textbox style="mso-fit-shape-to-text:t" inset="0,0,0,0">
                  <w:txbxContent>
                    <w:p w14:paraId="613BFDC7" w14:textId="77777777" w:rsidR="00227B36" w:rsidRPr="000A66C3"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3</w:t>
                      </w:r>
                      <w:r>
                        <w:rPr>
                          <w:noProof/>
                        </w:rPr>
                        <w:fldChar w:fldCharType="end"/>
                      </w:r>
                      <w:r>
                        <w:t xml:space="preserve"> System boundary of Renewable Power pathways</w:t>
                      </w:r>
                    </w:p>
                  </w:txbxContent>
                </v:textbox>
                <w10:wrap type="topAndBottom"/>
              </v:shape>
            </w:pict>
          </mc:Fallback>
        </mc:AlternateContent>
      </w:r>
      <w:r w:rsidR="00D96B88">
        <w:rPr>
          <w:noProof/>
        </w:rPr>
        <w:drawing>
          <wp:anchor distT="0" distB="0" distL="114300" distR="114300" simplePos="0" relativeHeight="251678720" behindDoc="0" locked="0" layoutInCell="1" allowOverlap="1" wp14:anchorId="76EFD912" wp14:editId="6A678E8F">
            <wp:simplePos x="0" y="0"/>
            <wp:positionH relativeFrom="column">
              <wp:posOffset>0</wp:posOffset>
            </wp:positionH>
            <wp:positionV relativeFrom="paragraph">
              <wp:posOffset>276225</wp:posOffset>
            </wp:positionV>
            <wp:extent cx="5943600" cy="21717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2P_SB.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anchor>
        </w:drawing>
      </w:r>
    </w:p>
    <w:p w14:paraId="6F693438" w14:textId="77777777" w:rsidR="005C4773" w:rsidRDefault="005C4773" w:rsidP="00D96B88">
      <w:pPr>
        <w:jc w:val="center"/>
        <w:rPr>
          <w:lang w:val="tr-TR"/>
        </w:rPr>
      </w:pPr>
    </w:p>
    <w:p w14:paraId="32052E06" w14:textId="77777777" w:rsidR="005C4773" w:rsidRDefault="005C4773" w:rsidP="00362B64">
      <w:pPr>
        <w:rPr>
          <w:lang w:val="tr-TR"/>
        </w:rPr>
      </w:pPr>
    </w:p>
    <w:p w14:paraId="0BC36264" w14:textId="77777777" w:rsidR="00D96B88" w:rsidRDefault="005F3F9E" w:rsidP="00362B64">
      <w:pPr>
        <w:rPr>
          <w:lang w:val="tr-TR"/>
        </w:rPr>
      </w:pPr>
      <w:r>
        <w:rPr>
          <w:noProof/>
        </w:rPr>
        <mc:AlternateContent>
          <mc:Choice Requires="wps">
            <w:drawing>
              <wp:anchor distT="0" distB="0" distL="114300" distR="114300" simplePos="0" relativeHeight="251695104" behindDoc="0" locked="0" layoutInCell="1" allowOverlap="1" wp14:anchorId="21D4EA14" wp14:editId="0024CAD9">
                <wp:simplePos x="0" y="0"/>
                <wp:positionH relativeFrom="column">
                  <wp:posOffset>0</wp:posOffset>
                </wp:positionH>
                <wp:positionV relativeFrom="paragraph">
                  <wp:posOffset>2360295</wp:posOffset>
                </wp:positionV>
                <wp:extent cx="5943600" cy="635"/>
                <wp:effectExtent l="0" t="0" r="0" b="0"/>
                <wp:wrapTopAndBottom/>
                <wp:docPr id="69" name="Text Box 6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4506746" w14:textId="77777777" w:rsidR="00227B36" w:rsidRPr="001B1D08"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4</w:t>
                            </w:r>
                            <w:r>
                              <w:rPr>
                                <w:noProof/>
                              </w:rPr>
                              <w:fldChar w:fldCharType="end"/>
                            </w:r>
                            <w:r>
                              <w:t xml:space="preserve"> System boundary of Crude oil to Gasoline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D4EA14" id="Text Box 69" o:spid="_x0000_s1034" type="#_x0000_t202" style="position:absolute;left:0;text-align:left;margin-left:0;margin-top:185.85pt;width:468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" stroked="f">
                <v:textbox style="mso-fit-shape-to-text:t" inset="0,0,0,0">
                  <w:txbxContent>
                    <w:p w14:paraId="34506746" w14:textId="77777777" w:rsidR="00227B36" w:rsidRPr="001B1D08"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4</w:t>
                      </w:r>
                      <w:r>
                        <w:rPr>
                          <w:noProof/>
                        </w:rPr>
                        <w:fldChar w:fldCharType="end"/>
                      </w:r>
                      <w:r>
                        <w:t xml:space="preserve"> System boundary of Crude oil to Gasoline pathways</w:t>
                      </w:r>
                    </w:p>
                  </w:txbxContent>
                </v:textbox>
                <w10:wrap type="topAndBottom"/>
              </v:shape>
            </w:pict>
          </mc:Fallback>
        </mc:AlternateContent>
      </w:r>
      <w:r w:rsidR="00D96B88">
        <w:rPr>
          <w:noProof/>
        </w:rPr>
        <w:drawing>
          <wp:anchor distT="0" distB="0" distL="114300" distR="114300" simplePos="0" relativeHeight="251679744" behindDoc="0" locked="0" layoutInCell="1" allowOverlap="1" wp14:anchorId="1E86A88C" wp14:editId="2EFCC1CD">
            <wp:simplePos x="0" y="0"/>
            <wp:positionH relativeFrom="column">
              <wp:posOffset>0</wp:posOffset>
            </wp:positionH>
            <wp:positionV relativeFrom="paragraph">
              <wp:posOffset>170815</wp:posOffset>
            </wp:positionV>
            <wp:extent cx="5943600" cy="2132330"/>
            <wp:effectExtent l="0" t="0" r="0" b="127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r2Ga_SB.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132330"/>
                    </a:xfrm>
                    <a:prstGeom prst="rect">
                      <a:avLst/>
                    </a:prstGeom>
                  </pic:spPr>
                </pic:pic>
              </a:graphicData>
            </a:graphic>
          </wp:anchor>
        </w:drawing>
      </w:r>
    </w:p>
    <w:p w14:paraId="61A2515F" w14:textId="77777777" w:rsidR="005C4773" w:rsidRDefault="005C4773" w:rsidP="00362B64">
      <w:pPr>
        <w:rPr>
          <w:lang w:val="tr-TR"/>
        </w:rPr>
      </w:pPr>
    </w:p>
    <w:p w14:paraId="2B188873" w14:textId="77777777" w:rsidR="005C4773" w:rsidRDefault="005C4773" w:rsidP="00362B64">
      <w:pPr>
        <w:rPr>
          <w:lang w:val="tr-TR"/>
        </w:rPr>
      </w:pPr>
    </w:p>
    <w:p w14:paraId="67375C92" w14:textId="77777777" w:rsidR="00D96B88" w:rsidRDefault="00D96B88" w:rsidP="00362B64">
      <w:pPr>
        <w:rPr>
          <w:lang w:val="tr-TR"/>
        </w:rPr>
      </w:pPr>
    </w:p>
    <w:p w14:paraId="51E7411A" w14:textId="77777777" w:rsidR="00D96B88" w:rsidRDefault="002610C2" w:rsidP="00362B64">
      <w:pPr>
        <w:rPr>
          <w:lang w:val="tr-TR"/>
        </w:rPr>
      </w:pPr>
      <w:r>
        <w:rPr>
          <w:noProof/>
        </w:rPr>
        <w:lastRenderedPageBreak/>
        <mc:AlternateContent>
          <mc:Choice Requires="wps">
            <w:drawing>
              <wp:anchor distT="0" distB="0" distL="114300" distR="114300" simplePos="0" relativeHeight="251699200" behindDoc="0" locked="0" layoutInCell="1" allowOverlap="1" wp14:anchorId="31A3AD84" wp14:editId="6F4464D6">
                <wp:simplePos x="0" y="0"/>
                <wp:positionH relativeFrom="column">
                  <wp:posOffset>1410</wp:posOffset>
                </wp:positionH>
                <wp:positionV relativeFrom="paragraph">
                  <wp:posOffset>5160092</wp:posOffset>
                </wp:positionV>
                <wp:extent cx="5943600" cy="635"/>
                <wp:effectExtent l="0" t="0" r="0" b="0"/>
                <wp:wrapTopAndBottom/>
                <wp:docPr id="71" name="Text Box 7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ECCB25" w14:textId="77777777" w:rsidR="00227B36" w:rsidRPr="00036575"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5</w:t>
                            </w:r>
                            <w:r>
                              <w:rPr>
                                <w:noProof/>
                              </w:rPr>
                              <w:fldChar w:fldCharType="end"/>
                            </w:r>
                            <w:r>
                              <w:t xml:space="preserve"> System boundary of Natural gas to Hydrogen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A3AD84" id="Text Box 71" o:spid="_x0000_s1035" type="#_x0000_t202" style="position:absolute;left:0;text-align:left;margin-left:.1pt;margin-top:406.3pt;width:468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" stroked="f">
                <v:textbox style="mso-fit-shape-to-text:t" inset="0,0,0,0">
                  <w:txbxContent>
                    <w:p w14:paraId="30ECCB25" w14:textId="77777777" w:rsidR="00227B36" w:rsidRPr="00036575"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5</w:t>
                      </w:r>
                      <w:r>
                        <w:rPr>
                          <w:noProof/>
                        </w:rPr>
                        <w:fldChar w:fldCharType="end"/>
                      </w:r>
                      <w:r>
                        <w:t xml:space="preserve"> System boundary of Natural gas to Hydrogen pathways</w:t>
                      </w:r>
                    </w:p>
                  </w:txbxContent>
                </v:textbox>
                <w10:wrap type="topAndBottom"/>
              </v:shape>
            </w:pict>
          </mc:Fallback>
        </mc:AlternateContent>
      </w:r>
      <w:r>
        <w:rPr>
          <w:noProof/>
        </w:rPr>
        <w:drawing>
          <wp:anchor distT="0" distB="0" distL="114300" distR="114300" simplePos="0" relativeHeight="251684864" behindDoc="0" locked="0" layoutInCell="1" allowOverlap="1" wp14:anchorId="2DDD5550" wp14:editId="1F1EA360">
            <wp:simplePos x="0" y="0"/>
            <wp:positionH relativeFrom="column">
              <wp:posOffset>1410</wp:posOffset>
            </wp:positionH>
            <wp:positionV relativeFrom="paragraph">
              <wp:posOffset>3136677</wp:posOffset>
            </wp:positionV>
            <wp:extent cx="5943600" cy="1953260"/>
            <wp:effectExtent l="0" t="0" r="0" b="889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2H2_SB.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953260"/>
                    </a:xfrm>
                    <a:prstGeom prst="rect">
                      <a:avLst/>
                    </a:prstGeom>
                  </pic:spPr>
                </pic:pic>
              </a:graphicData>
            </a:graphic>
          </wp:anchor>
        </w:drawing>
      </w:r>
      <w:r w:rsidR="005F3F9E">
        <w:rPr>
          <w:noProof/>
        </w:rPr>
        <mc:AlternateContent>
          <mc:Choice Requires="wps">
            <w:drawing>
              <wp:anchor distT="0" distB="0" distL="114300" distR="114300" simplePos="0" relativeHeight="251697152" behindDoc="0" locked="0" layoutInCell="1" allowOverlap="1" wp14:anchorId="756E4E06" wp14:editId="23B42635">
                <wp:simplePos x="0" y="0"/>
                <wp:positionH relativeFrom="column">
                  <wp:posOffset>-181610</wp:posOffset>
                </wp:positionH>
                <wp:positionV relativeFrom="paragraph">
                  <wp:posOffset>2805430</wp:posOffset>
                </wp:positionV>
                <wp:extent cx="5943600" cy="635"/>
                <wp:effectExtent l="0" t="0" r="0" b="0"/>
                <wp:wrapTopAndBottom/>
                <wp:docPr id="70" name="Text Box 7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C6391C4" w14:textId="77777777" w:rsidR="00227B36" w:rsidRPr="0028264B"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6</w:t>
                            </w:r>
                            <w:r>
                              <w:rPr>
                                <w:noProof/>
                              </w:rPr>
                              <w:fldChar w:fldCharType="end"/>
                            </w:r>
                            <w:r>
                              <w:t xml:space="preserve"> System boundary of Crude oil to Diesel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E4E06" id="Text Box 70" o:spid="_x0000_s1036" type="#_x0000_t202" style="position:absolute;left:0;text-align:left;margin-left:-14.3pt;margin-top:220.9pt;width:46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" stroked="f">
                <v:textbox style="mso-fit-shape-to-text:t" inset="0,0,0,0">
                  <w:txbxContent>
                    <w:p w14:paraId="5C6391C4" w14:textId="77777777" w:rsidR="00227B36" w:rsidRPr="0028264B"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6</w:t>
                      </w:r>
                      <w:r>
                        <w:rPr>
                          <w:noProof/>
                        </w:rPr>
                        <w:fldChar w:fldCharType="end"/>
                      </w:r>
                      <w:r>
                        <w:t xml:space="preserve"> System boundary of Crude oil to Diesel pathways</w:t>
                      </w:r>
                    </w:p>
                  </w:txbxContent>
                </v:textbox>
                <w10:wrap type="topAndBottom"/>
              </v:shape>
            </w:pict>
          </mc:Fallback>
        </mc:AlternateContent>
      </w:r>
      <w:r w:rsidR="00D96B88">
        <w:rPr>
          <w:noProof/>
        </w:rPr>
        <w:drawing>
          <wp:anchor distT="0" distB="0" distL="114300" distR="114300" simplePos="0" relativeHeight="251680768" behindDoc="0" locked="0" layoutInCell="1" allowOverlap="1" wp14:anchorId="512A73A1" wp14:editId="64A2C00D">
            <wp:simplePos x="0" y="0"/>
            <wp:positionH relativeFrom="column">
              <wp:posOffset>-181729</wp:posOffset>
            </wp:positionH>
            <wp:positionV relativeFrom="paragraph">
              <wp:posOffset>417830</wp:posOffset>
            </wp:positionV>
            <wp:extent cx="5943600" cy="233045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r2Di_SB.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330450"/>
                    </a:xfrm>
                    <a:prstGeom prst="rect">
                      <a:avLst/>
                    </a:prstGeom>
                  </pic:spPr>
                </pic:pic>
              </a:graphicData>
            </a:graphic>
          </wp:anchor>
        </w:drawing>
      </w:r>
    </w:p>
    <w:p w14:paraId="2FB96A26" w14:textId="77777777" w:rsidR="00D96B88" w:rsidRDefault="002610C2" w:rsidP="00362B64">
      <w:pPr>
        <w:rPr>
          <w:lang w:val="tr-TR"/>
        </w:rPr>
      </w:pPr>
      <w:r>
        <w:rPr>
          <w:noProof/>
        </w:rPr>
        <mc:AlternateContent>
          <mc:Choice Requires="wps">
            <w:drawing>
              <wp:anchor distT="0" distB="0" distL="114300" distR="114300" simplePos="0" relativeHeight="251701248" behindDoc="0" locked="0" layoutInCell="1" allowOverlap="1" wp14:anchorId="52AEA763" wp14:editId="115853B0">
                <wp:simplePos x="0" y="0"/>
                <wp:positionH relativeFrom="column">
                  <wp:posOffset>59055</wp:posOffset>
                </wp:positionH>
                <wp:positionV relativeFrom="paragraph">
                  <wp:posOffset>7322639</wp:posOffset>
                </wp:positionV>
                <wp:extent cx="5943600" cy="635"/>
                <wp:effectExtent l="0" t="0" r="0" b="0"/>
                <wp:wrapTopAndBottom/>
                <wp:docPr id="74" name="Text Box 7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C877DF6" w14:textId="77777777" w:rsidR="00227B36" w:rsidRPr="006F1837"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7</w:t>
                            </w:r>
                            <w:r>
                              <w:rPr>
                                <w:noProof/>
                              </w:rPr>
                              <w:fldChar w:fldCharType="end"/>
                            </w:r>
                            <w:r>
                              <w:t xml:space="preserve"> System boundary of Natural gas to Dimethyl ether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EA763" id="Text Box 74" o:spid="_x0000_s1037" type="#_x0000_t202" style="position:absolute;left:0;text-align:left;margin-left:4.65pt;margin-top:576.6pt;width:468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" stroked="f">
                <v:textbox style="mso-fit-shape-to-text:t" inset="0,0,0,0">
                  <w:txbxContent>
                    <w:p w14:paraId="7C877DF6" w14:textId="77777777" w:rsidR="00227B36" w:rsidRPr="006F1837"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7</w:t>
                      </w:r>
                      <w:r>
                        <w:rPr>
                          <w:noProof/>
                        </w:rPr>
                        <w:fldChar w:fldCharType="end"/>
                      </w:r>
                      <w:r>
                        <w:t xml:space="preserve"> System boundary of Natural gas to Dimethyl ether pathways</w:t>
                      </w:r>
                    </w:p>
                  </w:txbxContent>
                </v:textbox>
                <w10:wrap type="topAndBottom"/>
              </v:shape>
            </w:pict>
          </mc:Fallback>
        </mc:AlternateContent>
      </w:r>
      <w:r>
        <w:rPr>
          <w:noProof/>
        </w:rPr>
        <w:drawing>
          <wp:anchor distT="0" distB="0" distL="114300" distR="114300" simplePos="0" relativeHeight="251682816" behindDoc="0" locked="0" layoutInCell="1" allowOverlap="1" wp14:anchorId="048F4ECC" wp14:editId="08CEA302">
            <wp:simplePos x="0" y="0"/>
            <wp:positionH relativeFrom="column">
              <wp:posOffset>0</wp:posOffset>
            </wp:positionH>
            <wp:positionV relativeFrom="paragraph">
              <wp:posOffset>5458353</wp:posOffset>
            </wp:positionV>
            <wp:extent cx="5943600" cy="1861820"/>
            <wp:effectExtent l="0" t="0" r="0" b="508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2DME_SB.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861820"/>
                    </a:xfrm>
                    <a:prstGeom prst="rect">
                      <a:avLst/>
                    </a:prstGeom>
                  </pic:spPr>
                </pic:pic>
              </a:graphicData>
            </a:graphic>
          </wp:anchor>
        </w:drawing>
      </w:r>
    </w:p>
    <w:p w14:paraId="7729F643" w14:textId="77777777" w:rsidR="00D96B88" w:rsidRDefault="00D96B88" w:rsidP="00362B64">
      <w:pPr>
        <w:rPr>
          <w:lang w:val="tr-TR"/>
        </w:rPr>
      </w:pPr>
    </w:p>
    <w:p w14:paraId="1FD96CF7" w14:textId="77777777" w:rsidR="00D96B88" w:rsidRDefault="00DB460D" w:rsidP="00362B64">
      <w:pPr>
        <w:rPr>
          <w:lang w:val="tr-TR"/>
        </w:rPr>
      </w:pPr>
      <w:r>
        <w:rPr>
          <w:noProof/>
        </w:rPr>
        <w:lastRenderedPageBreak/>
        <mc:AlternateContent>
          <mc:Choice Requires="wps">
            <w:drawing>
              <wp:anchor distT="0" distB="0" distL="114300" distR="114300" simplePos="0" relativeHeight="251703296" behindDoc="0" locked="0" layoutInCell="1" allowOverlap="1" wp14:anchorId="7A502E5C" wp14:editId="710F66D2">
                <wp:simplePos x="0" y="0"/>
                <wp:positionH relativeFrom="column">
                  <wp:posOffset>0</wp:posOffset>
                </wp:positionH>
                <wp:positionV relativeFrom="paragraph">
                  <wp:posOffset>2855899</wp:posOffset>
                </wp:positionV>
                <wp:extent cx="5943600" cy="635"/>
                <wp:effectExtent l="0" t="0" r="0" b="0"/>
                <wp:wrapTopAndBottom/>
                <wp:docPr id="75" name="Text Box 7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3C96002" w14:textId="77777777" w:rsidR="00227B36" w:rsidRPr="00793D6F"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8</w:t>
                            </w:r>
                            <w:r>
                              <w:rPr>
                                <w:noProof/>
                              </w:rPr>
                              <w:fldChar w:fldCharType="end"/>
                            </w:r>
                            <w:r>
                              <w:t xml:space="preserve"> System boundary of Biofuel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02E5C" id="Text Box 75" o:spid="_x0000_s1038" type="#_x0000_t202" style="position:absolute;left:0;text-align:left;margin-left:0;margin-top:224.85pt;width:46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" stroked="f">
                <v:textbox style="mso-fit-shape-to-text:t" inset="0,0,0,0">
                  <w:txbxContent>
                    <w:p w14:paraId="73C96002" w14:textId="77777777" w:rsidR="00227B36" w:rsidRPr="00793D6F" w:rsidRDefault="00227B36" w:rsidP="005F3F9E">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8</w:t>
                      </w:r>
                      <w:r>
                        <w:rPr>
                          <w:noProof/>
                        </w:rPr>
                        <w:fldChar w:fldCharType="end"/>
                      </w:r>
                      <w:r>
                        <w:t xml:space="preserve"> System boundary of Biofuel pathways</w:t>
                      </w:r>
                    </w:p>
                  </w:txbxContent>
                </v:textbox>
                <w10:wrap type="topAndBottom"/>
              </v:shape>
            </w:pict>
          </mc:Fallback>
        </mc:AlternateContent>
      </w:r>
    </w:p>
    <w:p w14:paraId="733606AF" w14:textId="77777777" w:rsidR="00D96B88" w:rsidRDefault="002610C2" w:rsidP="00362B64">
      <w:pPr>
        <w:rPr>
          <w:lang w:val="tr-TR"/>
        </w:rPr>
      </w:pPr>
      <w:r>
        <w:rPr>
          <w:noProof/>
        </w:rPr>
        <w:drawing>
          <wp:anchor distT="0" distB="0" distL="114300" distR="114300" simplePos="0" relativeHeight="251686912" behindDoc="0" locked="0" layoutInCell="1" allowOverlap="1" wp14:anchorId="76E8799A" wp14:editId="4F8DF7C3">
            <wp:simplePos x="0" y="0"/>
            <wp:positionH relativeFrom="column">
              <wp:posOffset>124</wp:posOffset>
            </wp:positionH>
            <wp:positionV relativeFrom="paragraph">
              <wp:posOffset>74460</wp:posOffset>
            </wp:positionV>
            <wp:extent cx="5943600" cy="236855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ofuel_SB.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368550"/>
                    </a:xfrm>
                    <a:prstGeom prst="rect">
                      <a:avLst/>
                    </a:prstGeom>
                  </pic:spPr>
                </pic:pic>
              </a:graphicData>
            </a:graphic>
          </wp:anchor>
        </w:drawing>
      </w:r>
    </w:p>
    <w:p w14:paraId="7AAB684C" w14:textId="77777777" w:rsidR="00D96B88" w:rsidRDefault="00D96B88" w:rsidP="00362B64">
      <w:pPr>
        <w:rPr>
          <w:lang w:val="tr-TR"/>
        </w:rPr>
      </w:pPr>
    </w:p>
    <w:p w14:paraId="1CCD2E36" w14:textId="77777777" w:rsidR="00D96B88" w:rsidRPr="00362B64" w:rsidRDefault="00B2767F" w:rsidP="00362B64">
      <w:pPr>
        <w:rPr>
          <w:lang w:val="tr-TR"/>
        </w:rPr>
      </w:pPr>
      <w:r>
        <w:rPr>
          <w:noProof/>
        </w:rPr>
        <mc:AlternateContent>
          <mc:Choice Requires="wps">
            <w:drawing>
              <wp:anchor distT="0" distB="0" distL="114300" distR="114300" simplePos="0" relativeHeight="251712512" behindDoc="0" locked="0" layoutInCell="1" allowOverlap="1" wp14:anchorId="1466E68F" wp14:editId="4AA7B2F2">
                <wp:simplePos x="0" y="0"/>
                <wp:positionH relativeFrom="column">
                  <wp:posOffset>0</wp:posOffset>
                </wp:positionH>
                <wp:positionV relativeFrom="paragraph">
                  <wp:posOffset>2522855</wp:posOffset>
                </wp:positionV>
                <wp:extent cx="5943600" cy="635"/>
                <wp:effectExtent l="0" t="0" r="0" b="0"/>
                <wp:wrapTopAndBottom/>
                <wp:docPr id="80" name="Text Box 8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A91D782" w14:textId="77777777" w:rsidR="00227B36" w:rsidRPr="00036F87" w:rsidRDefault="00227B36" w:rsidP="00B2767F">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9</w:t>
                            </w:r>
                            <w:r>
                              <w:rPr>
                                <w:noProof/>
                              </w:rPr>
                              <w:fldChar w:fldCharType="end"/>
                            </w:r>
                            <w:r>
                              <w:t xml:space="preserve"> System boundary of Natural gas to LNG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66E68F" id="Text Box 80" o:spid="_x0000_s1039" type="#_x0000_t202" style="position:absolute;left:0;text-align:left;margin-left:0;margin-top:198.65pt;width:46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" stroked="f">
                <v:textbox style="mso-fit-shape-to-text:t" inset="0,0,0,0">
                  <w:txbxContent>
                    <w:p w14:paraId="1A91D782" w14:textId="77777777" w:rsidR="00227B36" w:rsidRPr="00036F87" w:rsidRDefault="00227B36" w:rsidP="00B2767F">
                      <w:pPr>
                        <w:pStyle w:val="Caption"/>
                        <w:rPr>
                          <w:noProof/>
                        </w:rPr>
                      </w:pPr>
                      <w:r>
                        <w:t xml:space="preserve">Figure S </w:t>
                      </w:r>
                      <w:r>
                        <w:rPr>
                          <w:noProof/>
                        </w:rPr>
                        <w:fldChar w:fldCharType="begin"/>
                      </w:r>
                      <w:r>
                        <w:rPr>
                          <w:noProof/>
                        </w:rPr>
                        <w:instrText xml:space="preserve"> SEQ Figure_S \* ARABIC </w:instrText>
                      </w:r>
                      <w:r>
                        <w:rPr>
                          <w:noProof/>
                        </w:rPr>
                        <w:fldChar w:fldCharType="separate"/>
                      </w:r>
                      <w:r>
                        <w:rPr>
                          <w:noProof/>
                        </w:rPr>
                        <w:t>9</w:t>
                      </w:r>
                      <w:r>
                        <w:rPr>
                          <w:noProof/>
                        </w:rPr>
                        <w:fldChar w:fldCharType="end"/>
                      </w:r>
                      <w:r>
                        <w:t xml:space="preserve"> System boundary of Natural gas to LNG pathways</w:t>
                      </w:r>
                    </w:p>
                  </w:txbxContent>
                </v:textbox>
                <w10:wrap type="topAndBottom"/>
              </v:shape>
            </w:pict>
          </mc:Fallback>
        </mc:AlternateContent>
      </w:r>
      <w:r w:rsidR="002610C2">
        <w:rPr>
          <w:noProof/>
        </w:rPr>
        <w:drawing>
          <wp:anchor distT="0" distB="0" distL="114300" distR="114300" simplePos="0" relativeHeight="251685888" behindDoc="0" locked="0" layoutInCell="1" allowOverlap="1" wp14:anchorId="1E88D432" wp14:editId="02413352">
            <wp:simplePos x="0" y="0"/>
            <wp:positionH relativeFrom="column">
              <wp:posOffset>-8</wp:posOffset>
            </wp:positionH>
            <wp:positionV relativeFrom="paragraph">
              <wp:posOffset>325219</wp:posOffset>
            </wp:positionV>
            <wp:extent cx="5943600" cy="214058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2LNG_SB.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140585"/>
                    </a:xfrm>
                    <a:prstGeom prst="rect">
                      <a:avLst/>
                    </a:prstGeom>
                  </pic:spPr>
                </pic:pic>
              </a:graphicData>
            </a:graphic>
          </wp:anchor>
        </w:drawing>
      </w:r>
    </w:p>
    <w:sectPr w:rsidR="00D96B88" w:rsidRPr="00362B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2F7C39" w14:textId="77777777" w:rsidR="005744E5" w:rsidRDefault="005744E5" w:rsidP="009E1D85">
      <w:pPr>
        <w:spacing w:after="0" w:line="240" w:lineRule="auto"/>
      </w:pPr>
      <w:r>
        <w:separator/>
      </w:r>
    </w:p>
  </w:endnote>
  <w:endnote w:type="continuationSeparator" w:id="0">
    <w:p w14:paraId="3CD97E7D" w14:textId="77777777" w:rsidR="005744E5" w:rsidRDefault="005744E5" w:rsidP="009E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NexusSan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1461273"/>
      <w:docPartObj>
        <w:docPartGallery w:val="Page Numbers (Bottom of Page)"/>
        <w:docPartUnique/>
      </w:docPartObj>
    </w:sdtPr>
    <w:sdtEndPr>
      <w:rPr>
        <w:noProof/>
      </w:rPr>
    </w:sdtEndPr>
    <w:sdtContent>
      <w:p w14:paraId="73385C82" w14:textId="7C29DE82" w:rsidR="00227B36" w:rsidRDefault="00227B36">
        <w:pPr>
          <w:pStyle w:val="Footer"/>
          <w:jc w:val="right"/>
        </w:pPr>
        <w:r>
          <w:fldChar w:fldCharType="begin"/>
        </w:r>
        <w:r>
          <w:instrText xml:space="preserve"> PAGE   \* MERGEFORMAT </w:instrText>
        </w:r>
        <w:r>
          <w:fldChar w:fldCharType="separate"/>
        </w:r>
        <w:r>
          <w:rPr>
            <w:noProof/>
          </w:rPr>
          <w:t>32</w:t>
        </w:r>
        <w:r>
          <w:rPr>
            <w:noProof/>
          </w:rPr>
          <w:fldChar w:fldCharType="end"/>
        </w:r>
      </w:p>
    </w:sdtContent>
  </w:sdt>
  <w:p w14:paraId="5441E328" w14:textId="77777777" w:rsidR="00227B36" w:rsidRDefault="00227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64F426" w14:textId="77777777" w:rsidR="005744E5" w:rsidRDefault="005744E5" w:rsidP="009E1D85">
      <w:pPr>
        <w:spacing w:after="0" w:line="240" w:lineRule="auto"/>
      </w:pPr>
      <w:r>
        <w:separator/>
      </w:r>
    </w:p>
  </w:footnote>
  <w:footnote w:type="continuationSeparator" w:id="0">
    <w:p w14:paraId="319E021B" w14:textId="77777777" w:rsidR="005744E5" w:rsidRDefault="005744E5" w:rsidP="009E1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FF364276"/>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A26A3398"/>
    <w:lvl w:ilvl="0">
      <w:start w:val="1"/>
      <w:numFmt w:val="decimal"/>
      <w:pStyle w:val="ListNumber"/>
      <w:lvlText w:val="%1."/>
      <w:lvlJc w:val="left"/>
      <w:pPr>
        <w:tabs>
          <w:tab w:val="num" w:pos="360"/>
        </w:tabs>
        <w:ind w:left="360" w:hanging="360"/>
      </w:pPr>
    </w:lvl>
  </w:abstractNum>
  <w:abstractNum w:abstractNumId="2" w15:restartNumberingAfterBreak="0">
    <w:nsid w:val="01816E1B"/>
    <w:multiLevelType w:val="hybridMultilevel"/>
    <w:tmpl w:val="7D9E8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F24C4"/>
    <w:multiLevelType w:val="hybridMultilevel"/>
    <w:tmpl w:val="CF64AD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4C4081"/>
    <w:multiLevelType w:val="hybridMultilevel"/>
    <w:tmpl w:val="028C03A4"/>
    <w:lvl w:ilvl="0" w:tplc="20304BC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C749B"/>
    <w:multiLevelType w:val="hybridMultilevel"/>
    <w:tmpl w:val="1864F6FC"/>
    <w:lvl w:ilvl="0" w:tplc="0742D98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145024"/>
    <w:multiLevelType w:val="hybridMultilevel"/>
    <w:tmpl w:val="8FD208C0"/>
    <w:lvl w:ilvl="0" w:tplc="0658B434">
      <w:start w:val="1"/>
      <w:numFmt w:val="bullet"/>
      <w:lvlText w:val="•"/>
      <w:lvlJc w:val="left"/>
      <w:pPr>
        <w:tabs>
          <w:tab w:val="num" w:pos="720"/>
        </w:tabs>
        <w:ind w:left="720" w:hanging="360"/>
      </w:pPr>
      <w:rPr>
        <w:rFonts w:ascii="Arial" w:hAnsi="Arial" w:hint="default"/>
      </w:rPr>
    </w:lvl>
    <w:lvl w:ilvl="1" w:tplc="9E304504" w:tentative="1">
      <w:start w:val="1"/>
      <w:numFmt w:val="bullet"/>
      <w:lvlText w:val="•"/>
      <w:lvlJc w:val="left"/>
      <w:pPr>
        <w:tabs>
          <w:tab w:val="num" w:pos="1440"/>
        </w:tabs>
        <w:ind w:left="1440" w:hanging="360"/>
      </w:pPr>
      <w:rPr>
        <w:rFonts w:ascii="Arial" w:hAnsi="Arial" w:hint="default"/>
      </w:rPr>
    </w:lvl>
    <w:lvl w:ilvl="2" w:tplc="23EEEA16" w:tentative="1">
      <w:start w:val="1"/>
      <w:numFmt w:val="bullet"/>
      <w:lvlText w:val="•"/>
      <w:lvlJc w:val="left"/>
      <w:pPr>
        <w:tabs>
          <w:tab w:val="num" w:pos="2160"/>
        </w:tabs>
        <w:ind w:left="2160" w:hanging="360"/>
      </w:pPr>
      <w:rPr>
        <w:rFonts w:ascii="Arial" w:hAnsi="Arial" w:hint="default"/>
      </w:rPr>
    </w:lvl>
    <w:lvl w:ilvl="3" w:tplc="F8E8929C" w:tentative="1">
      <w:start w:val="1"/>
      <w:numFmt w:val="bullet"/>
      <w:lvlText w:val="•"/>
      <w:lvlJc w:val="left"/>
      <w:pPr>
        <w:tabs>
          <w:tab w:val="num" w:pos="2880"/>
        </w:tabs>
        <w:ind w:left="2880" w:hanging="360"/>
      </w:pPr>
      <w:rPr>
        <w:rFonts w:ascii="Arial" w:hAnsi="Arial" w:hint="default"/>
      </w:rPr>
    </w:lvl>
    <w:lvl w:ilvl="4" w:tplc="F8BABD62" w:tentative="1">
      <w:start w:val="1"/>
      <w:numFmt w:val="bullet"/>
      <w:lvlText w:val="•"/>
      <w:lvlJc w:val="left"/>
      <w:pPr>
        <w:tabs>
          <w:tab w:val="num" w:pos="3600"/>
        </w:tabs>
        <w:ind w:left="3600" w:hanging="360"/>
      </w:pPr>
      <w:rPr>
        <w:rFonts w:ascii="Arial" w:hAnsi="Arial" w:hint="default"/>
      </w:rPr>
    </w:lvl>
    <w:lvl w:ilvl="5" w:tplc="0B58784E" w:tentative="1">
      <w:start w:val="1"/>
      <w:numFmt w:val="bullet"/>
      <w:lvlText w:val="•"/>
      <w:lvlJc w:val="left"/>
      <w:pPr>
        <w:tabs>
          <w:tab w:val="num" w:pos="4320"/>
        </w:tabs>
        <w:ind w:left="4320" w:hanging="360"/>
      </w:pPr>
      <w:rPr>
        <w:rFonts w:ascii="Arial" w:hAnsi="Arial" w:hint="default"/>
      </w:rPr>
    </w:lvl>
    <w:lvl w:ilvl="6" w:tplc="B05E7308" w:tentative="1">
      <w:start w:val="1"/>
      <w:numFmt w:val="bullet"/>
      <w:lvlText w:val="•"/>
      <w:lvlJc w:val="left"/>
      <w:pPr>
        <w:tabs>
          <w:tab w:val="num" w:pos="5040"/>
        </w:tabs>
        <w:ind w:left="5040" w:hanging="360"/>
      </w:pPr>
      <w:rPr>
        <w:rFonts w:ascii="Arial" w:hAnsi="Arial" w:hint="default"/>
      </w:rPr>
    </w:lvl>
    <w:lvl w:ilvl="7" w:tplc="934E9FE6" w:tentative="1">
      <w:start w:val="1"/>
      <w:numFmt w:val="bullet"/>
      <w:lvlText w:val="•"/>
      <w:lvlJc w:val="left"/>
      <w:pPr>
        <w:tabs>
          <w:tab w:val="num" w:pos="5760"/>
        </w:tabs>
        <w:ind w:left="5760" w:hanging="360"/>
      </w:pPr>
      <w:rPr>
        <w:rFonts w:ascii="Arial" w:hAnsi="Arial" w:hint="default"/>
      </w:rPr>
    </w:lvl>
    <w:lvl w:ilvl="8" w:tplc="B26C790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73B04E0"/>
    <w:multiLevelType w:val="multilevel"/>
    <w:tmpl w:val="76C83E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F026C8E"/>
    <w:multiLevelType w:val="multilevel"/>
    <w:tmpl w:val="85F224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7B45614"/>
    <w:multiLevelType w:val="multilevel"/>
    <w:tmpl w:val="0E4846B2"/>
    <w:lvl w:ilvl="0">
      <w:start w:val="1"/>
      <w:numFmt w:val="decimal"/>
      <w:pStyle w:val="Heading1"/>
      <w:lvlText w:val="%1"/>
      <w:lvlJc w:val="left"/>
      <w:pPr>
        <w:ind w:left="1242" w:hanging="432"/>
      </w:pPr>
      <w:rPr>
        <w:rFonts w:hint="default"/>
      </w:rPr>
    </w:lvl>
    <w:lvl w:ilvl="1">
      <w:start w:val="1"/>
      <w:numFmt w:val="decimal"/>
      <w:pStyle w:val="Heading2"/>
      <w:lvlText w:val="%1.%2"/>
      <w:lvlJc w:val="left"/>
      <w:pPr>
        <w:ind w:left="1476" w:hanging="576"/>
      </w:pPr>
      <w:rPr>
        <w:rFonts w:hint="default"/>
      </w:rPr>
    </w:lvl>
    <w:lvl w:ilvl="2">
      <w:start w:val="1"/>
      <w:numFmt w:val="decimal"/>
      <w:pStyle w:val="Heading3"/>
      <w:lvlText w:val="%1.%2.%3"/>
      <w:lvlJc w:val="left"/>
      <w:pPr>
        <w:ind w:left="1440" w:hanging="720"/>
      </w:pPr>
      <w:rPr>
        <w:rFonts w:hint="default"/>
      </w:rPr>
    </w:lvl>
    <w:lvl w:ilvl="3">
      <w:start w:val="1"/>
      <w:numFmt w:val="decimal"/>
      <w:pStyle w:val="Heading4"/>
      <w:lvlText w:val="%1.%2.%3.%4"/>
      <w:lvlJc w:val="left"/>
      <w:pPr>
        <w:ind w:left="1584" w:hanging="864"/>
      </w:pPr>
      <w:rPr>
        <w:rFonts w:hint="default"/>
      </w:rPr>
    </w:lvl>
    <w:lvl w:ilvl="4">
      <w:start w:val="1"/>
      <w:numFmt w:val="decimal"/>
      <w:pStyle w:val="Heading5"/>
      <w:lvlText w:val="%1.%2.%3.%4.%5"/>
      <w:lvlJc w:val="left"/>
      <w:pPr>
        <w:ind w:left="1728" w:hanging="1008"/>
      </w:pPr>
      <w:rPr>
        <w:rFonts w:hint="default"/>
      </w:rPr>
    </w:lvl>
    <w:lvl w:ilvl="5">
      <w:start w:val="1"/>
      <w:numFmt w:val="decimal"/>
      <w:pStyle w:val="Heading6"/>
      <w:lvlText w:val="%1.%2.%3.%4.%5.%6"/>
      <w:lvlJc w:val="left"/>
      <w:pPr>
        <w:ind w:left="1872" w:hanging="1152"/>
      </w:pPr>
      <w:rPr>
        <w:rFonts w:hint="default"/>
      </w:rPr>
    </w:lvl>
    <w:lvl w:ilvl="6">
      <w:start w:val="1"/>
      <w:numFmt w:val="decimal"/>
      <w:pStyle w:val="Heading7"/>
      <w:lvlText w:val="%1.%2.%3.%4.%5.%6.%7"/>
      <w:lvlJc w:val="left"/>
      <w:pPr>
        <w:ind w:left="2016" w:hanging="1296"/>
      </w:pPr>
      <w:rPr>
        <w:rFonts w:hint="default"/>
      </w:rPr>
    </w:lvl>
    <w:lvl w:ilvl="7">
      <w:start w:val="1"/>
      <w:numFmt w:val="decimal"/>
      <w:pStyle w:val="Heading8"/>
      <w:lvlText w:val="%1.%2.%3.%4.%5.%6.%7.%8"/>
      <w:lvlJc w:val="left"/>
      <w:pPr>
        <w:ind w:left="2160" w:hanging="1440"/>
      </w:pPr>
      <w:rPr>
        <w:rFonts w:hint="default"/>
      </w:rPr>
    </w:lvl>
    <w:lvl w:ilvl="8">
      <w:start w:val="1"/>
      <w:numFmt w:val="decimal"/>
      <w:pStyle w:val="Heading9"/>
      <w:lvlText w:val="%1.%2.%3.%4.%5.%6.%7.%8.%9"/>
      <w:lvlJc w:val="left"/>
      <w:pPr>
        <w:ind w:left="2304" w:hanging="1584"/>
      </w:pPr>
      <w:rPr>
        <w:rFonts w:hint="default"/>
      </w:rPr>
    </w:lvl>
  </w:abstractNum>
  <w:abstractNum w:abstractNumId="10" w15:restartNumberingAfterBreak="0">
    <w:nsid w:val="72A72EB5"/>
    <w:multiLevelType w:val="multilevel"/>
    <w:tmpl w:val="19948B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9"/>
  </w:num>
  <w:num w:numId="3">
    <w:abstractNumId w:val="7"/>
  </w:num>
  <w:num w:numId="4">
    <w:abstractNumId w:val="5"/>
  </w:num>
  <w:num w:numId="5">
    <w:abstractNumId w:val="2"/>
  </w:num>
  <w:num w:numId="6">
    <w:abstractNumId w:val="3"/>
  </w:num>
  <w:num w:numId="7">
    <w:abstractNumId w:val="0"/>
  </w:num>
  <w:num w:numId="8">
    <w:abstractNumId w:val="8"/>
  </w:num>
  <w:num w:numId="9">
    <w:abstractNumId w:val="10"/>
  </w:num>
  <w:num w:numId="10">
    <w:abstractNumId w:val="1"/>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0"/>
  </w:num>
  <w:num w:numId="21">
    <w:abstractNumId w:val="9"/>
  </w:num>
  <w:num w:numId="22">
    <w:abstractNumId w:val="9"/>
  </w:num>
  <w:num w:numId="23">
    <w:abstractNumId w:val="9"/>
  </w:num>
  <w:num w:numId="24">
    <w:abstractNumId w:val="9"/>
  </w:num>
  <w:num w:numId="25">
    <w:abstractNumId w:val="6"/>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num>
  <w:num w:numId="28">
    <w:abstractNumId w:val="9"/>
  </w:num>
  <w:num w:numId="29">
    <w:abstractNumId w:val="9"/>
  </w:num>
  <w:num w:numId="30">
    <w:abstractNumId w:val="9"/>
  </w:num>
  <w:num w:numId="31">
    <w:abstractNumId w:val="9"/>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num>
  <w:num w:numId="36">
    <w:abstractNumId w:val="4"/>
  </w:num>
  <w:num w:numId="37">
    <w:abstractNumId w:val="9"/>
  </w:num>
  <w:num w:numId="3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_ghosh">
    <w15:presenceInfo w15:providerId="None" w15:userId="t_gho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EE"/>
    <w:rsid w:val="000059E1"/>
    <w:rsid w:val="0001713D"/>
    <w:rsid w:val="00024115"/>
    <w:rsid w:val="000362AC"/>
    <w:rsid w:val="00037956"/>
    <w:rsid w:val="0004115E"/>
    <w:rsid w:val="00061CDF"/>
    <w:rsid w:val="00063C4F"/>
    <w:rsid w:val="0007743A"/>
    <w:rsid w:val="00081B29"/>
    <w:rsid w:val="00087744"/>
    <w:rsid w:val="00093666"/>
    <w:rsid w:val="00096E45"/>
    <w:rsid w:val="000B1FB7"/>
    <w:rsid w:val="000D67A8"/>
    <w:rsid w:val="000E4110"/>
    <w:rsid w:val="000E6DE6"/>
    <w:rsid w:val="000F3477"/>
    <w:rsid w:val="000F377A"/>
    <w:rsid w:val="000F4C2C"/>
    <w:rsid w:val="0010156E"/>
    <w:rsid w:val="00101765"/>
    <w:rsid w:val="00106BE0"/>
    <w:rsid w:val="00110CE9"/>
    <w:rsid w:val="001122AA"/>
    <w:rsid w:val="00113CFE"/>
    <w:rsid w:val="001168CC"/>
    <w:rsid w:val="0012162B"/>
    <w:rsid w:val="00123F44"/>
    <w:rsid w:val="00125BC2"/>
    <w:rsid w:val="00130EBA"/>
    <w:rsid w:val="00131C98"/>
    <w:rsid w:val="0013432B"/>
    <w:rsid w:val="00150E9F"/>
    <w:rsid w:val="00152688"/>
    <w:rsid w:val="0015318B"/>
    <w:rsid w:val="00155C5F"/>
    <w:rsid w:val="001579B6"/>
    <w:rsid w:val="0016488B"/>
    <w:rsid w:val="001707AA"/>
    <w:rsid w:val="00170B10"/>
    <w:rsid w:val="00176D4D"/>
    <w:rsid w:val="0018194D"/>
    <w:rsid w:val="00182E20"/>
    <w:rsid w:val="001A1EE2"/>
    <w:rsid w:val="001A2AFE"/>
    <w:rsid w:val="001B1370"/>
    <w:rsid w:val="001B5031"/>
    <w:rsid w:val="001C4AB5"/>
    <w:rsid w:val="001D1C4C"/>
    <w:rsid w:val="001D4E3F"/>
    <w:rsid w:val="001D57A7"/>
    <w:rsid w:val="001D57F3"/>
    <w:rsid w:val="001D5A9D"/>
    <w:rsid w:val="001E01D7"/>
    <w:rsid w:val="001E249B"/>
    <w:rsid w:val="001F5D52"/>
    <w:rsid w:val="001F6FF5"/>
    <w:rsid w:val="00206BDF"/>
    <w:rsid w:val="00213D05"/>
    <w:rsid w:val="00215907"/>
    <w:rsid w:val="00217515"/>
    <w:rsid w:val="00227548"/>
    <w:rsid w:val="00227B36"/>
    <w:rsid w:val="00231641"/>
    <w:rsid w:val="002317C2"/>
    <w:rsid w:val="00243321"/>
    <w:rsid w:val="002468A9"/>
    <w:rsid w:val="00250422"/>
    <w:rsid w:val="00260074"/>
    <w:rsid w:val="002610C2"/>
    <w:rsid w:val="002678B7"/>
    <w:rsid w:val="00270DBA"/>
    <w:rsid w:val="00275478"/>
    <w:rsid w:val="00295BBE"/>
    <w:rsid w:val="002B07E6"/>
    <w:rsid w:val="002C1424"/>
    <w:rsid w:val="002C7838"/>
    <w:rsid w:val="002D1546"/>
    <w:rsid w:val="002D6024"/>
    <w:rsid w:val="002D66F5"/>
    <w:rsid w:val="002E4946"/>
    <w:rsid w:val="002E599C"/>
    <w:rsid w:val="002F09AC"/>
    <w:rsid w:val="00307258"/>
    <w:rsid w:val="00311466"/>
    <w:rsid w:val="00316C3E"/>
    <w:rsid w:val="0031785B"/>
    <w:rsid w:val="00321148"/>
    <w:rsid w:val="0032292A"/>
    <w:rsid w:val="00327388"/>
    <w:rsid w:val="003320AE"/>
    <w:rsid w:val="003352CB"/>
    <w:rsid w:val="0035032F"/>
    <w:rsid w:val="003518C7"/>
    <w:rsid w:val="00356F52"/>
    <w:rsid w:val="00360DCC"/>
    <w:rsid w:val="00362B64"/>
    <w:rsid w:val="00373D43"/>
    <w:rsid w:val="00376565"/>
    <w:rsid w:val="003772CD"/>
    <w:rsid w:val="003809B5"/>
    <w:rsid w:val="00382737"/>
    <w:rsid w:val="003843AD"/>
    <w:rsid w:val="003933A0"/>
    <w:rsid w:val="00395783"/>
    <w:rsid w:val="003A0C43"/>
    <w:rsid w:val="003A2C0A"/>
    <w:rsid w:val="003B0AAD"/>
    <w:rsid w:val="003C58C2"/>
    <w:rsid w:val="003C59F8"/>
    <w:rsid w:val="003C69FA"/>
    <w:rsid w:val="003D2506"/>
    <w:rsid w:val="003E2E38"/>
    <w:rsid w:val="003F0C69"/>
    <w:rsid w:val="003F1B4D"/>
    <w:rsid w:val="003F2C80"/>
    <w:rsid w:val="003F4E89"/>
    <w:rsid w:val="003F6E9C"/>
    <w:rsid w:val="00406966"/>
    <w:rsid w:val="00407018"/>
    <w:rsid w:val="004140D7"/>
    <w:rsid w:val="004163E5"/>
    <w:rsid w:val="00416BCE"/>
    <w:rsid w:val="00417F00"/>
    <w:rsid w:val="00424E36"/>
    <w:rsid w:val="004255A4"/>
    <w:rsid w:val="0043389B"/>
    <w:rsid w:val="0044034A"/>
    <w:rsid w:val="00451C71"/>
    <w:rsid w:val="00455663"/>
    <w:rsid w:val="00456239"/>
    <w:rsid w:val="004624EE"/>
    <w:rsid w:val="00463778"/>
    <w:rsid w:val="0046565B"/>
    <w:rsid w:val="004661B8"/>
    <w:rsid w:val="00467421"/>
    <w:rsid w:val="00480C86"/>
    <w:rsid w:val="0048536F"/>
    <w:rsid w:val="00485538"/>
    <w:rsid w:val="004942C7"/>
    <w:rsid w:val="00496233"/>
    <w:rsid w:val="0049658A"/>
    <w:rsid w:val="00497753"/>
    <w:rsid w:val="004A0466"/>
    <w:rsid w:val="004A17DF"/>
    <w:rsid w:val="004A44C2"/>
    <w:rsid w:val="004A68BE"/>
    <w:rsid w:val="004B51C9"/>
    <w:rsid w:val="004B5DD7"/>
    <w:rsid w:val="004C144D"/>
    <w:rsid w:val="004C321C"/>
    <w:rsid w:val="004C4680"/>
    <w:rsid w:val="004C5AAB"/>
    <w:rsid w:val="004C6E4E"/>
    <w:rsid w:val="004D215B"/>
    <w:rsid w:val="004D2226"/>
    <w:rsid w:val="004D3F0E"/>
    <w:rsid w:val="004D74C8"/>
    <w:rsid w:val="004E4BF1"/>
    <w:rsid w:val="004E614F"/>
    <w:rsid w:val="004E7052"/>
    <w:rsid w:val="004F3A7F"/>
    <w:rsid w:val="004F620A"/>
    <w:rsid w:val="005144E5"/>
    <w:rsid w:val="005270FF"/>
    <w:rsid w:val="0053068A"/>
    <w:rsid w:val="00533431"/>
    <w:rsid w:val="00535635"/>
    <w:rsid w:val="005362C1"/>
    <w:rsid w:val="00550142"/>
    <w:rsid w:val="00550CFF"/>
    <w:rsid w:val="0055643C"/>
    <w:rsid w:val="00560CCA"/>
    <w:rsid w:val="005664B1"/>
    <w:rsid w:val="00570ABC"/>
    <w:rsid w:val="0057284A"/>
    <w:rsid w:val="00574164"/>
    <w:rsid w:val="005744E5"/>
    <w:rsid w:val="00582E1D"/>
    <w:rsid w:val="005A1A2A"/>
    <w:rsid w:val="005B1EE6"/>
    <w:rsid w:val="005B4B62"/>
    <w:rsid w:val="005C4773"/>
    <w:rsid w:val="005E0F6A"/>
    <w:rsid w:val="005E1E88"/>
    <w:rsid w:val="005E2C11"/>
    <w:rsid w:val="005E6C00"/>
    <w:rsid w:val="005F0EEA"/>
    <w:rsid w:val="005F3F9E"/>
    <w:rsid w:val="005F50E0"/>
    <w:rsid w:val="005F5491"/>
    <w:rsid w:val="005F79E3"/>
    <w:rsid w:val="005F7DF8"/>
    <w:rsid w:val="00600B27"/>
    <w:rsid w:val="00601142"/>
    <w:rsid w:val="00604A56"/>
    <w:rsid w:val="00611812"/>
    <w:rsid w:val="00612D36"/>
    <w:rsid w:val="006159BA"/>
    <w:rsid w:val="006160B6"/>
    <w:rsid w:val="006235D4"/>
    <w:rsid w:val="00623CEB"/>
    <w:rsid w:val="0063068D"/>
    <w:rsid w:val="00633A0B"/>
    <w:rsid w:val="0063541A"/>
    <w:rsid w:val="00635629"/>
    <w:rsid w:val="006373AC"/>
    <w:rsid w:val="00641BA9"/>
    <w:rsid w:val="0064550E"/>
    <w:rsid w:val="0064611E"/>
    <w:rsid w:val="00646788"/>
    <w:rsid w:val="006509D9"/>
    <w:rsid w:val="00682D49"/>
    <w:rsid w:val="00684CC3"/>
    <w:rsid w:val="00693BDD"/>
    <w:rsid w:val="006A76BC"/>
    <w:rsid w:val="006B0E52"/>
    <w:rsid w:val="006B293F"/>
    <w:rsid w:val="006B2C96"/>
    <w:rsid w:val="006B60FA"/>
    <w:rsid w:val="006D08A8"/>
    <w:rsid w:val="006E6BB3"/>
    <w:rsid w:val="006F5C30"/>
    <w:rsid w:val="006F67A9"/>
    <w:rsid w:val="006F6BBB"/>
    <w:rsid w:val="006F74C7"/>
    <w:rsid w:val="00704BDE"/>
    <w:rsid w:val="00705FA0"/>
    <w:rsid w:val="00717B79"/>
    <w:rsid w:val="0072660A"/>
    <w:rsid w:val="00735901"/>
    <w:rsid w:val="00756D30"/>
    <w:rsid w:val="0076288C"/>
    <w:rsid w:val="007710AD"/>
    <w:rsid w:val="00772CDA"/>
    <w:rsid w:val="00774C55"/>
    <w:rsid w:val="007801E6"/>
    <w:rsid w:val="00790127"/>
    <w:rsid w:val="007B199A"/>
    <w:rsid w:val="007C3C50"/>
    <w:rsid w:val="007C5704"/>
    <w:rsid w:val="007D2E09"/>
    <w:rsid w:val="007D35E6"/>
    <w:rsid w:val="007D3E00"/>
    <w:rsid w:val="007D59AE"/>
    <w:rsid w:val="007E2673"/>
    <w:rsid w:val="007E2892"/>
    <w:rsid w:val="007E79F1"/>
    <w:rsid w:val="00801D48"/>
    <w:rsid w:val="008058F5"/>
    <w:rsid w:val="00807754"/>
    <w:rsid w:val="008214C7"/>
    <w:rsid w:val="00825BDF"/>
    <w:rsid w:val="008406B7"/>
    <w:rsid w:val="008429E3"/>
    <w:rsid w:val="00842A34"/>
    <w:rsid w:val="008513AC"/>
    <w:rsid w:val="0085592D"/>
    <w:rsid w:val="00871013"/>
    <w:rsid w:val="0087219D"/>
    <w:rsid w:val="008728EB"/>
    <w:rsid w:val="00883837"/>
    <w:rsid w:val="00885648"/>
    <w:rsid w:val="008877CD"/>
    <w:rsid w:val="008A30E2"/>
    <w:rsid w:val="008B1051"/>
    <w:rsid w:val="008B60FA"/>
    <w:rsid w:val="008B7C41"/>
    <w:rsid w:val="008C2FCB"/>
    <w:rsid w:val="008C340C"/>
    <w:rsid w:val="008C3EDF"/>
    <w:rsid w:val="008D4202"/>
    <w:rsid w:val="008E2B6F"/>
    <w:rsid w:val="008E3751"/>
    <w:rsid w:val="008F54F8"/>
    <w:rsid w:val="008F720A"/>
    <w:rsid w:val="00907F0C"/>
    <w:rsid w:val="009103B2"/>
    <w:rsid w:val="009138E0"/>
    <w:rsid w:val="00913CA9"/>
    <w:rsid w:val="00914403"/>
    <w:rsid w:val="00920308"/>
    <w:rsid w:val="00920B36"/>
    <w:rsid w:val="00930011"/>
    <w:rsid w:val="00932137"/>
    <w:rsid w:val="0093463D"/>
    <w:rsid w:val="009477C3"/>
    <w:rsid w:val="0095394C"/>
    <w:rsid w:val="0095436E"/>
    <w:rsid w:val="009549C2"/>
    <w:rsid w:val="00954B3D"/>
    <w:rsid w:val="009748E9"/>
    <w:rsid w:val="009762EF"/>
    <w:rsid w:val="00981370"/>
    <w:rsid w:val="00987322"/>
    <w:rsid w:val="0099122B"/>
    <w:rsid w:val="00993ECA"/>
    <w:rsid w:val="00994D71"/>
    <w:rsid w:val="00994E74"/>
    <w:rsid w:val="009A1BEE"/>
    <w:rsid w:val="009A2EB5"/>
    <w:rsid w:val="009A407F"/>
    <w:rsid w:val="009B07C9"/>
    <w:rsid w:val="009C061A"/>
    <w:rsid w:val="009C4602"/>
    <w:rsid w:val="009C5B1B"/>
    <w:rsid w:val="009E1D85"/>
    <w:rsid w:val="009E3B4B"/>
    <w:rsid w:val="00A003F8"/>
    <w:rsid w:val="00A05313"/>
    <w:rsid w:val="00A137E9"/>
    <w:rsid w:val="00A15B98"/>
    <w:rsid w:val="00A303D9"/>
    <w:rsid w:val="00A33F4D"/>
    <w:rsid w:val="00A37ABA"/>
    <w:rsid w:val="00A4222E"/>
    <w:rsid w:val="00A43254"/>
    <w:rsid w:val="00A449FD"/>
    <w:rsid w:val="00A52422"/>
    <w:rsid w:val="00A5327F"/>
    <w:rsid w:val="00A55936"/>
    <w:rsid w:val="00A56C5A"/>
    <w:rsid w:val="00A73E13"/>
    <w:rsid w:val="00A756C4"/>
    <w:rsid w:val="00A76B7C"/>
    <w:rsid w:val="00A92793"/>
    <w:rsid w:val="00A96670"/>
    <w:rsid w:val="00AA21B8"/>
    <w:rsid w:val="00AB18B9"/>
    <w:rsid w:val="00AB77C5"/>
    <w:rsid w:val="00AC20FF"/>
    <w:rsid w:val="00AC46D5"/>
    <w:rsid w:val="00AD5809"/>
    <w:rsid w:val="00AE255B"/>
    <w:rsid w:val="00AE369D"/>
    <w:rsid w:val="00AE7455"/>
    <w:rsid w:val="00AF61AB"/>
    <w:rsid w:val="00B01863"/>
    <w:rsid w:val="00B07676"/>
    <w:rsid w:val="00B10266"/>
    <w:rsid w:val="00B11C80"/>
    <w:rsid w:val="00B135AB"/>
    <w:rsid w:val="00B20C45"/>
    <w:rsid w:val="00B21334"/>
    <w:rsid w:val="00B21E6C"/>
    <w:rsid w:val="00B2605A"/>
    <w:rsid w:val="00B2767F"/>
    <w:rsid w:val="00B30780"/>
    <w:rsid w:val="00B33CA6"/>
    <w:rsid w:val="00B37CFB"/>
    <w:rsid w:val="00B4099D"/>
    <w:rsid w:val="00B47FFA"/>
    <w:rsid w:val="00B66561"/>
    <w:rsid w:val="00B7704C"/>
    <w:rsid w:val="00B8083D"/>
    <w:rsid w:val="00B85481"/>
    <w:rsid w:val="00B857EC"/>
    <w:rsid w:val="00B91BC3"/>
    <w:rsid w:val="00BA42FA"/>
    <w:rsid w:val="00BB111A"/>
    <w:rsid w:val="00BB1B1E"/>
    <w:rsid w:val="00BB3CFC"/>
    <w:rsid w:val="00BB533C"/>
    <w:rsid w:val="00BB7F49"/>
    <w:rsid w:val="00BC7583"/>
    <w:rsid w:val="00BD3880"/>
    <w:rsid w:val="00BD3AFF"/>
    <w:rsid w:val="00BD606B"/>
    <w:rsid w:val="00BE31B0"/>
    <w:rsid w:val="00BE49EF"/>
    <w:rsid w:val="00BE5FAF"/>
    <w:rsid w:val="00BF70E5"/>
    <w:rsid w:val="00BF7E59"/>
    <w:rsid w:val="00C00CE7"/>
    <w:rsid w:val="00C25F73"/>
    <w:rsid w:val="00C26B3C"/>
    <w:rsid w:val="00C31583"/>
    <w:rsid w:val="00C40302"/>
    <w:rsid w:val="00C42C9B"/>
    <w:rsid w:val="00C55F77"/>
    <w:rsid w:val="00C67251"/>
    <w:rsid w:val="00C750CD"/>
    <w:rsid w:val="00C833D9"/>
    <w:rsid w:val="00C93778"/>
    <w:rsid w:val="00C9488F"/>
    <w:rsid w:val="00CA00DE"/>
    <w:rsid w:val="00CA1D75"/>
    <w:rsid w:val="00CB06CE"/>
    <w:rsid w:val="00CB0E0D"/>
    <w:rsid w:val="00CB2EFC"/>
    <w:rsid w:val="00CB30CB"/>
    <w:rsid w:val="00CB4B46"/>
    <w:rsid w:val="00CD59D1"/>
    <w:rsid w:val="00CE1CA3"/>
    <w:rsid w:val="00CE722D"/>
    <w:rsid w:val="00CE76CA"/>
    <w:rsid w:val="00D0189A"/>
    <w:rsid w:val="00D04085"/>
    <w:rsid w:val="00D04D12"/>
    <w:rsid w:val="00D065F4"/>
    <w:rsid w:val="00D10915"/>
    <w:rsid w:val="00D11C7E"/>
    <w:rsid w:val="00D1277A"/>
    <w:rsid w:val="00D20C24"/>
    <w:rsid w:val="00D32188"/>
    <w:rsid w:val="00D37946"/>
    <w:rsid w:val="00D431B5"/>
    <w:rsid w:val="00D4640C"/>
    <w:rsid w:val="00D505AA"/>
    <w:rsid w:val="00D60C79"/>
    <w:rsid w:val="00D624C2"/>
    <w:rsid w:val="00D63170"/>
    <w:rsid w:val="00D64CEA"/>
    <w:rsid w:val="00D674CD"/>
    <w:rsid w:val="00D704C8"/>
    <w:rsid w:val="00D70F0D"/>
    <w:rsid w:val="00D7136D"/>
    <w:rsid w:val="00D714AE"/>
    <w:rsid w:val="00D720ED"/>
    <w:rsid w:val="00D73151"/>
    <w:rsid w:val="00D746EF"/>
    <w:rsid w:val="00D8370A"/>
    <w:rsid w:val="00D84FD2"/>
    <w:rsid w:val="00D90B6C"/>
    <w:rsid w:val="00D956A6"/>
    <w:rsid w:val="00D96B88"/>
    <w:rsid w:val="00DA2C3F"/>
    <w:rsid w:val="00DA391D"/>
    <w:rsid w:val="00DB24FA"/>
    <w:rsid w:val="00DB3F49"/>
    <w:rsid w:val="00DB460D"/>
    <w:rsid w:val="00DC0A97"/>
    <w:rsid w:val="00DC321F"/>
    <w:rsid w:val="00DD49B4"/>
    <w:rsid w:val="00DE0CA3"/>
    <w:rsid w:val="00DE60A2"/>
    <w:rsid w:val="00E0068D"/>
    <w:rsid w:val="00E02A80"/>
    <w:rsid w:val="00E0787C"/>
    <w:rsid w:val="00E142F7"/>
    <w:rsid w:val="00E14783"/>
    <w:rsid w:val="00E202A7"/>
    <w:rsid w:val="00E22FA3"/>
    <w:rsid w:val="00E22FEB"/>
    <w:rsid w:val="00E26BEA"/>
    <w:rsid w:val="00E32C7A"/>
    <w:rsid w:val="00E334D9"/>
    <w:rsid w:val="00E47A51"/>
    <w:rsid w:val="00E505D3"/>
    <w:rsid w:val="00E64B1D"/>
    <w:rsid w:val="00E726C3"/>
    <w:rsid w:val="00E73CCF"/>
    <w:rsid w:val="00E75C45"/>
    <w:rsid w:val="00E76B6D"/>
    <w:rsid w:val="00E87837"/>
    <w:rsid w:val="00E904DC"/>
    <w:rsid w:val="00EA2033"/>
    <w:rsid w:val="00EA3351"/>
    <w:rsid w:val="00EB12CF"/>
    <w:rsid w:val="00EB274F"/>
    <w:rsid w:val="00EB7BE5"/>
    <w:rsid w:val="00EC27C1"/>
    <w:rsid w:val="00EC41CD"/>
    <w:rsid w:val="00EC4B08"/>
    <w:rsid w:val="00ED449C"/>
    <w:rsid w:val="00ED6343"/>
    <w:rsid w:val="00EE2C4F"/>
    <w:rsid w:val="00EE4DAE"/>
    <w:rsid w:val="00EF2E38"/>
    <w:rsid w:val="00F00CC9"/>
    <w:rsid w:val="00F066C2"/>
    <w:rsid w:val="00F1635D"/>
    <w:rsid w:val="00F214FD"/>
    <w:rsid w:val="00F2368F"/>
    <w:rsid w:val="00F3569A"/>
    <w:rsid w:val="00F449B0"/>
    <w:rsid w:val="00F5034D"/>
    <w:rsid w:val="00F53E1B"/>
    <w:rsid w:val="00F65808"/>
    <w:rsid w:val="00F747F9"/>
    <w:rsid w:val="00F75AB2"/>
    <w:rsid w:val="00F81CA4"/>
    <w:rsid w:val="00F84FA0"/>
    <w:rsid w:val="00F85A5E"/>
    <w:rsid w:val="00F869A7"/>
    <w:rsid w:val="00FA5CB3"/>
    <w:rsid w:val="00FA6998"/>
    <w:rsid w:val="00FB293C"/>
    <w:rsid w:val="00FB3006"/>
    <w:rsid w:val="00FB4CD5"/>
    <w:rsid w:val="00FC24B7"/>
    <w:rsid w:val="00FC770C"/>
    <w:rsid w:val="00FD0E8F"/>
    <w:rsid w:val="00FD4CEA"/>
    <w:rsid w:val="00FE0EA5"/>
    <w:rsid w:val="00FF0F2D"/>
    <w:rsid w:val="00FF2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22FA3"/>
  <w15:chartTrackingRefBased/>
  <w15:docId w15:val="{52D931BF-1DF8-4FEB-BDF5-FE55381F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3351"/>
    <w:pPr>
      <w:spacing w:line="360" w:lineRule="auto"/>
      <w:jc w:val="both"/>
    </w:pPr>
    <w:rPr>
      <w:rFonts w:ascii="Times New Roman" w:hAnsi="Times New Roman"/>
    </w:rPr>
  </w:style>
  <w:style w:type="paragraph" w:styleId="Heading1">
    <w:name w:val="heading 1"/>
    <w:basedOn w:val="ListNumber"/>
    <w:next w:val="Normal"/>
    <w:link w:val="Heading1Char"/>
    <w:uiPriority w:val="9"/>
    <w:qFormat/>
    <w:rsid w:val="00AC20FF"/>
    <w:pPr>
      <w:keepNext/>
      <w:keepLines/>
      <w:numPr>
        <w:numId w:val="19"/>
      </w:numPr>
      <w:spacing w:before="240" w:after="0"/>
      <w:outlineLvl w:val="0"/>
    </w:pPr>
    <w:rPr>
      <w:rFonts w:eastAsiaTheme="majorEastAsia" w:cstheme="majorBidi"/>
      <w:b/>
      <w:sz w:val="24"/>
      <w:szCs w:val="32"/>
    </w:rPr>
  </w:style>
  <w:style w:type="paragraph" w:styleId="Heading2">
    <w:name w:val="heading 2"/>
    <w:basedOn w:val="ListNumber"/>
    <w:next w:val="Normal"/>
    <w:link w:val="Heading2Char"/>
    <w:uiPriority w:val="9"/>
    <w:unhideWhenUsed/>
    <w:qFormat/>
    <w:rsid w:val="00AC20FF"/>
    <w:pPr>
      <w:keepNext/>
      <w:keepLines/>
      <w:numPr>
        <w:ilvl w:val="1"/>
        <w:numId w:val="19"/>
      </w:numPr>
      <w:spacing w:before="40" w:after="0"/>
      <w:ind w:left="1296"/>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87219D"/>
    <w:pPr>
      <w:keepNext/>
      <w:keepLines/>
      <w:numPr>
        <w:ilvl w:val="2"/>
        <w:numId w:val="19"/>
      </w:numPr>
      <w:spacing w:before="40" w:after="0"/>
      <w:outlineLvl w:val="2"/>
    </w:pPr>
    <w:rPr>
      <w:rFonts w:eastAsiaTheme="majorEastAsia" w:cstheme="majorBidi"/>
      <w:b/>
      <w:color w:val="000000" w:themeColor="text1"/>
      <w:sz w:val="24"/>
      <w:szCs w:val="24"/>
    </w:rPr>
  </w:style>
  <w:style w:type="paragraph" w:styleId="Heading4">
    <w:name w:val="heading 4"/>
    <w:basedOn w:val="Heading3"/>
    <w:next w:val="Normal"/>
    <w:link w:val="Heading4Char"/>
    <w:uiPriority w:val="9"/>
    <w:unhideWhenUsed/>
    <w:qFormat/>
    <w:rsid w:val="0087219D"/>
    <w:pPr>
      <w:numPr>
        <w:ilvl w:val="3"/>
      </w:numPr>
      <w:outlineLvl w:val="3"/>
    </w:pPr>
    <w:rPr>
      <w:i/>
      <w:iCs/>
    </w:rPr>
  </w:style>
  <w:style w:type="paragraph" w:styleId="Heading5">
    <w:name w:val="heading 5"/>
    <w:basedOn w:val="Normal"/>
    <w:next w:val="Normal"/>
    <w:link w:val="Heading5Char"/>
    <w:uiPriority w:val="9"/>
    <w:unhideWhenUsed/>
    <w:qFormat/>
    <w:rsid w:val="0087219D"/>
    <w:pPr>
      <w:keepNext/>
      <w:keepLines/>
      <w:numPr>
        <w:ilvl w:val="4"/>
        <w:numId w:val="19"/>
      </w:numPr>
      <w:spacing w:before="40" w:after="0"/>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87219D"/>
    <w:pPr>
      <w:keepNext/>
      <w:keepLines/>
      <w:numPr>
        <w:ilvl w:val="5"/>
        <w:numId w:val="1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7219D"/>
    <w:pPr>
      <w:keepNext/>
      <w:keepLines/>
      <w:numPr>
        <w:ilvl w:val="6"/>
        <w:numId w:val="1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7219D"/>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7219D"/>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20FF"/>
    <w:rPr>
      <w:rFonts w:ascii="Times New Roman" w:eastAsiaTheme="majorEastAsia" w:hAnsi="Times New Roman" w:cstheme="majorBidi"/>
      <w:b/>
      <w:sz w:val="26"/>
      <w:szCs w:val="26"/>
    </w:rPr>
  </w:style>
  <w:style w:type="paragraph" w:styleId="ListNumber">
    <w:name w:val="List Number"/>
    <w:basedOn w:val="Normal"/>
    <w:uiPriority w:val="99"/>
    <w:semiHidden/>
    <w:unhideWhenUsed/>
    <w:rsid w:val="0087219D"/>
    <w:pPr>
      <w:numPr>
        <w:numId w:val="10"/>
      </w:numPr>
      <w:contextualSpacing/>
    </w:pPr>
  </w:style>
  <w:style w:type="paragraph" w:styleId="Header">
    <w:name w:val="header"/>
    <w:basedOn w:val="Normal"/>
    <w:link w:val="HeaderChar"/>
    <w:uiPriority w:val="99"/>
    <w:unhideWhenUsed/>
    <w:rsid w:val="00872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19D"/>
    <w:rPr>
      <w:rFonts w:ascii="Times New Roman" w:hAnsi="Times New Roman"/>
    </w:rPr>
  </w:style>
  <w:style w:type="paragraph" w:styleId="Footer">
    <w:name w:val="footer"/>
    <w:basedOn w:val="Normal"/>
    <w:link w:val="FooterChar"/>
    <w:uiPriority w:val="99"/>
    <w:unhideWhenUsed/>
    <w:rsid w:val="00872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19D"/>
    <w:rPr>
      <w:rFonts w:ascii="Times New Roman" w:hAnsi="Times New Roman"/>
    </w:rPr>
  </w:style>
  <w:style w:type="paragraph" w:styleId="ListParagraph">
    <w:name w:val="List Paragraph"/>
    <w:basedOn w:val="Normal"/>
    <w:uiPriority w:val="34"/>
    <w:qFormat/>
    <w:rsid w:val="0087219D"/>
    <w:pPr>
      <w:ind w:left="720"/>
      <w:contextualSpacing/>
    </w:pPr>
  </w:style>
  <w:style w:type="paragraph" w:styleId="Caption">
    <w:name w:val="caption"/>
    <w:basedOn w:val="Normal"/>
    <w:next w:val="Normal"/>
    <w:uiPriority w:val="35"/>
    <w:unhideWhenUsed/>
    <w:qFormat/>
    <w:rsid w:val="0087219D"/>
    <w:pPr>
      <w:spacing w:after="200" w:line="240" w:lineRule="auto"/>
      <w:jc w:val="center"/>
    </w:pPr>
    <w:rPr>
      <w:iCs/>
      <w:sz w:val="20"/>
      <w:szCs w:val="18"/>
    </w:rPr>
  </w:style>
  <w:style w:type="paragraph" w:customStyle="1" w:styleId="Els-body-text">
    <w:name w:val="Els-body-text"/>
    <w:rsid w:val="00110CE9"/>
    <w:pPr>
      <w:spacing w:after="0" w:line="240" w:lineRule="auto"/>
      <w:jc w:val="both"/>
    </w:pPr>
    <w:rPr>
      <w:rFonts w:ascii="Times New Roman" w:eastAsia="Times New Roman" w:hAnsi="Times New Roman" w:cs="Times New Roman"/>
      <w:sz w:val="20"/>
      <w:szCs w:val="20"/>
    </w:rPr>
  </w:style>
  <w:style w:type="paragraph" w:customStyle="1" w:styleId="Els-Affiliation">
    <w:name w:val="Els-Affiliation"/>
    <w:rsid w:val="00110CE9"/>
    <w:pPr>
      <w:suppressAutoHyphens/>
      <w:spacing w:after="0" w:line="240" w:lineRule="exact"/>
    </w:pPr>
    <w:rPr>
      <w:rFonts w:ascii="Times New Roman" w:eastAsia="Times New Roman" w:hAnsi="Times New Roman" w:cs="Times New Roman"/>
      <w:i/>
      <w:noProof/>
      <w:sz w:val="20"/>
      <w:szCs w:val="20"/>
      <w:lang w:val="en-GB"/>
    </w:rPr>
  </w:style>
  <w:style w:type="character" w:customStyle="1" w:styleId="Heading1Char">
    <w:name w:val="Heading 1 Char"/>
    <w:basedOn w:val="DefaultParagraphFont"/>
    <w:link w:val="Heading1"/>
    <w:uiPriority w:val="9"/>
    <w:rsid w:val="00AC20F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87219D"/>
    <w:rPr>
      <w:rFonts w:ascii="Times New Roman" w:eastAsiaTheme="majorEastAsia" w:hAnsi="Times New Roman" w:cstheme="majorBidi"/>
      <w:b/>
      <w:color w:val="000000" w:themeColor="text1"/>
      <w:sz w:val="24"/>
      <w:szCs w:val="24"/>
    </w:rPr>
  </w:style>
  <w:style w:type="paragraph" w:styleId="BalloonText">
    <w:name w:val="Balloon Text"/>
    <w:basedOn w:val="Normal"/>
    <w:link w:val="BalloonTextChar"/>
    <w:uiPriority w:val="99"/>
    <w:semiHidden/>
    <w:unhideWhenUsed/>
    <w:rsid w:val="008721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219D"/>
    <w:rPr>
      <w:rFonts w:ascii="Segoe UI" w:hAnsi="Segoe UI" w:cs="Segoe UI"/>
      <w:sz w:val="18"/>
      <w:szCs w:val="18"/>
    </w:rPr>
  </w:style>
  <w:style w:type="character" w:styleId="CommentReference">
    <w:name w:val="annotation reference"/>
    <w:basedOn w:val="DefaultParagraphFont"/>
    <w:uiPriority w:val="99"/>
    <w:semiHidden/>
    <w:unhideWhenUsed/>
    <w:rsid w:val="0087219D"/>
    <w:rPr>
      <w:sz w:val="16"/>
      <w:szCs w:val="16"/>
    </w:rPr>
  </w:style>
  <w:style w:type="paragraph" w:styleId="CommentText">
    <w:name w:val="annotation text"/>
    <w:basedOn w:val="Normal"/>
    <w:link w:val="CommentTextChar"/>
    <w:uiPriority w:val="99"/>
    <w:semiHidden/>
    <w:unhideWhenUsed/>
    <w:rsid w:val="0087219D"/>
    <w:pPr>
      <w:spacing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87219D"/>
    <w:rPr>
      <w:sz w:val="20"/>
      <w:szCs w:val="20"/>
    </w:rPr>
  </w:style>
  <w:style w:type="character" w:customStyle="1" w:styleId="Heading4Char">
    <w:name w:val="Heading 4 Char"/>
    <w:basedOn w:val="DefaultParagraphFont"/>
    <w:link w:val="Heading4"/>
    <w:uiPriority w:val="9"/>
    <w:rsid w:val="0087219D"/>
    <w:rPr>
      <w:rFonts w:ascii="Times New Roman" w:eastAsiaTheme="majorEastAsia" w:hAnsi="Times New Roman" w:cstheme="majorBidi"/>
      <w:b/>
      <w:i/>
      <w:iCs/>
      <w:color w:val="000000" w:themeColor="text1"/>
      <w:sz w:val="24"/>
      <w:szCs w:val="24"/>
    </w:rPr>
  </w:style>
  <w:style w:type="character" w:customStyle="1" w:styleId="Heading5Char">
    <w:name w:val="Heading 5 Char"/>
    <w:basedOn w:val="DefaultParagraphFont"/>
    <w:link w:val="Heading5"/>
    <w:uiPriority w:val="9"/>
    <w:rsid w:val="0087219D"/>
    <w:rPr>
      <w:rFonts w:ascii="Times New Roman" w:eastAsiaTheme="majorEastAsia" w:hAnsi="Times New Roman" w:cstheme="majorBidi"/>
      <w:b/>
      <w:i/>
    </w:rPr>
  </w:style>
  <w:style w:type="character" w:customStyle="1" w:styleId="Heading6Char">
    <w:name w:val="Heading 6 Char"/>
    <w:basedOn w:val="DefaultParagraphFont"/>
    <w:link w:val="Heading6"/>
    <w:uiPriority w:val="9"/>
    <w:semiHidden/>
    <w:rsid w:val="0087219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7219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721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7219D"/>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87219D"/>
    <w:rPr>
      <w:color w:val="0563C1" w:themeColor="hyperlink"/>
      <w:u w:val="single"/>
    </w:rPr>
  </w:style>
  <w:style w:type="paragraph" w:styleId="ListContinue">
    <w:name w:val="List Continue"/>
    <w:basedOn w:val="Normal"/>
    <w:uiPriority w:val="99"/>
    <w:semiHidden/>
    <w:unhideWhenUsed/>
    <w:rsid w:val="0087219D"/>
    <w:pPr>
      <w:spacing w:after="120"/>
      <w:ind w:left="360"/>
      <w:contextualSpacing/>
    </w:pPr>
  </w:style>
  <w:style w:type="paragraph" w:styleId="ListNumber2">
    <w:name w:val="List Number 2"/>
    <w:basedOn w:val="Normal"/>
    <w:uiPriority w:val="99"/>
    <w:semiHidden/>
    <w:unhideWhenUsed/>
    <w:rsid w:val="0087219D"/>
    <w:pPr>
      <w:numPr>
        <w:numId w:val="20"/>
      </w:numPr>
      <w:contextualSpacing/>
    </w:pPr>
  </w:style>
  <w:style w:type="paragraph" w:styleId="TOC1">
    <w:name w:val="toc 1"/>
    <w:basedOn w:val="Normal"/>
    <w:next w:val="Normal"/>
    <w:autoRedefine/>
    <w:uiPriority w:val="39"/>
    <w:unhideWhenUsed/>
    <w:rsid w:val="0087219D"/>
    <w:pPr>
      <w:spacing w:after="100"/>
    </w:pPr>
  </w:style>
  <w:style w:type="paragraph" w:styleId="TOC2">
    <w:name w:val="toc 2"/>
    <w:basedOn w:val="Normal"/>
    <w:next w:val="Normal"/>
    <w:autoRedefine/>
    <w:uiPriority w:val="39"/>
    <w:unhideWhenUsed/>
    <w:rsid w:val="0087219D"/>
    <w:pPr>
      <w:spacing w:after="100"/>
      <w:ind w:left="220"/>
    </w:pPr>
  </w:style>
  <w:style w:type="paragraph" w:styleId="TOC3">
    <w:name w:val="toc 3"/>
    <w:basedOn w:val="Normal"/>
    <w:next w:val="Normal"/>
    <w:autoRedefine/>
    <w:uiPriority w:val="39"/>
    <w:unhideWhenUsed/>
    <w:rsid w:val="0087219D"/>
    <w:pPr>
      <w:spacing w:after="100"/>
      <w:ind w:left="440"/>
    </w:pPr>
  </w:style>
  <w:style w:type="paragraph" w:styleId="TOCHeading">
    <w:name w:val="TOC Heading"/>
    <w:basedOn w:val="Heading1"/>
    <w:next w:val="Normal"/>
    <w:uiPriority w:val="39"/>
    <w:unhideWhenUsed/>
    <w:qFormat/>
    <w:rsid w:val="0087219D"/>
    <w:pPr>
      <w:numPr>
        <w:numId w:val="0"/>
      </w:numPr>
      <w:contextualSpacing w:val="0"/>
      <w:outlineLvl w:val="9"/>
    </w:pPr>
    <w:rPr>
      <w:rFonts w:asciiTheme="majorHAnsi" w:hAnsiTheme="majorHAnsi"/>
      <w:b w:val="0"/>
      <w:color w:val="2E74B5" w:themeColor="accent1" w:themeShade="BF"/>
      <w:sz w:val="32"/>
    </w:rPr>
  </w:style>
  <w:style w:type="character" w:styleId="Emphasis">
    <w:name w:val="Emphasis"/>
    <w:basedOn w:val="DefaultParagraphFont"/>
    <w:uiPriority w:val="20"/>
    <w:qFormat/>
    <w:rsid w:val="00ED6343"/>
    <w:rPr>
      <w:i/>
      <w:iCs/>
    </w:rPr>
  </w:style>
  <w:style w:type="character" w:styleId="Strong">
    <w:name w:val="Strong"/>
    <w:basedOn w:val="DefaultParagraphFont"/>
    <w:uiPriority w:val="22"/>
    <w:qFormat/>
    <w:rsid w:val="00ED6343"/>
    <w:rPr>
      <w:b/>
      <w:bCs/>
    </w:rPr>
  </w:style>
  <w:style w:type="paragraph" w:styleId="NormalWeb">
    <w:name w:val="Normal (Web)"/>
    <w:basedOn w:val="Normal"/>
    <w:uiPriority w:val="99"/>
    <w:semiHidden/>
    <w:unhideWhenUsed/>
    <w:rsid w:val="00ED6343"/>
    <w:pPr>
      <w:spacing w:after="0" w:line="240" w:lineRule="auto"/>
      <w:jc w:val="left"/>
    </w:pPr>
    <w:rPr>
      <w:rFonts w:ascii="inherit" w:eastAsia="Times New Roman" w:hAnsi="inherit" w:cs="Times New Roman"/>
      <w:sz w:val="24"/>
      <w:szCs w:val="24"/>
    </w:rPr>
  </w:style>
  <w:style w:type="table" w:styleId="TableGrid">
    <w:name w:val="Table Grid"/>
    <w:basedOn w:val="TableNormal"/>
    <w:uiPriority w:val="39"/>
    <w:rsid w:val="00227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B2605A"/>
    <w:pPr>
      <w:spacing w:after="0" w:line="240" w:lineRule="auto"/>
      <w:jc w:val="left"/>
    </w:pPr>
    <w:rPr>
      <w:rFonts w:ascii="Calibri" w:hAnsi="Calibri"/>
      <w:szCs w:val="21"/>
    </w:rPr>
  </w:style>
  <w:style w:type="character" w:customStyle="1" w:styleId="PlainTextChar">
    <w:name w:val="Plain Text Char"/>
    <w:basedOn w:val="DefaultParagraphFont"/>
    <w:link w:val="PlainText"/>
    <w:uiPriority w:val="99"/>
    <w:semiHidden/>
    <w:rsid w:val="00B2605A"/>
    <w:rPr>
      <w:rFonts w:ascii="Calibri" w:hAnsi="Calibri"/>
      <w:szCs w:val="21"/>
    </w:rPr>
  </w:style>
  <w:style w:type="character" w:customStyle="1" w:styleId="title-text">
    <w:name w:val="title-text"/>
    <w:basedOn w:val="DefaultParagraphFont"/>
    <w:rsid w:val="00646788"/>
  </w:style>
  <w:style w:type="paragraph" w:styleId="CommentSubject">
    <w:name w:val="annotation subject"/>
    <w:basedOn w:val="CommentText"/>
    <w:next w:val="CommentText"/>
    <w:link w:val="CommentSubjectChar"/>
    <w:uiPriority w:val="99"/>
    <w:semiHidden/>
    <w:unhideWhenUsed/>
    <w:rsid w:val="00AC46D5"/>
    <w:pPr>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AC46D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302913">
      <w:bodyDiv w:val="1"/>
      <w:marLeft w:val="0"/>
      <w:marRight w:val="0"/>
      <w:marTop w:val="0"/>
      <w:marBottom w:val="0"/>
      <w:divBdr>
        <w:top w:val="none" w:sz="0" w:space="0" w:color="auto"/>
        <w:left w:val="none" w:sz="0" w:space="0" w:color="auto"/>
        <w:bottom w:val="none" w:sz="0" w:space="0" w:color="auto"/>
        <w:right w:val="none" w:sz="0" w:space="0" w:color="auto"/>
      </w:divBdr>
      <w:divsChild>
        <w:div w:id="1933203879">
          <w:marLeft w:val="0"/>
          <w:marRight w:val="0"/>
          <w:marTop w:val="0"/>
          <w:marBottom w:val="0"/>
          <w:divBdr>
            <w:top w:val="none" w:sz="0" w:space="0" w:color="auto"/>
            <w:left w:val="none" w:sz="0" w:space="0" w:color="auto"/>
            <w:bottom w:val="none" w:sz="0" w:space="0" w:color="auto"/>
            <w:right w:val="none" w:sz="0" w:space="0" w:color="auto"/>
          </w:divBdr>
          <w:divsChild>
            <w:div w:id="1882743234">
              <w:marLeft w:val="0"/>
              <w:marRight w:val="0"/>
              <w:marTop w:val="100"/>
              <w:marBottom w:val="100"/>
              <w:divBdr>
                <w:top w:val="none" w:sz="0" w:space="0" w:color="auto"/>
                <w:left w:val="none" w:sz="0" w:space="0" w:color="auto"/>
                <w:bottom w:val="none" w:sz="0" w:space="0" w:color="auto"/>
                <w:right w:val="none" w:sz="0" w:space="0" w:color="auto"/>
              </w:divBdr>
              <w:divsChild>
                <w:div w:id="1568804147">
                  <w:marLeft w:val="0"/>
                  <w:marRight w:val="0"/>
                  <w:marTop w:val="0"/>
                  <w:marBottom w:val="0"/>
                  <w:divBdr>
                    <w:top w:val="none" w:sz="0" w:space="0" w:color="auto"/>
                    <w:left w:val="none" w:sz="0" w:space="0" w:color="auto"/>
                    <w:bottom w:val="none" w:sz="0" w:space="0" w:color="auto"/>
                    <w:right w:val="none" w:sz="0" w:space="0" w:color="auto"/>
                  </w:divBdr>
                  <w:divsChild>
                    <w:div w:id="1922327485">
                      <w:marLeft w:val="0"/>
                      <w:marRight w:val="0"/>
                      <w:marTop w:val="0"/>
                      <w:marBottom w:val="0"/>
                      <w:divBdr>
                        <w:top w:val="none" w:sz="0" w:space="0" w:color="auto"/>
                        <w:left w:val="none" w:sz="0" w:space="0" w:color="auto"/>
                        <w:bottom w:val="none" w:sz="0" w:space="0" w:color="auto"/>
                        <w:right w:val="none" w:sz="0" w:space="0" w:color="auto"/>
                      </w:divBdr>
                      <w:divsChild>
                        <w:div w:id="1917781309">
                          <w:marLeft w:val="0"/>
                          <w:marRight w:val="0"/>
                          <w:marTop w:val="0"/>
                          <w:marBottom w:val="0"/>
                          <w:divBdr>
                            <w:top w:val="none" w:sz="0" w:space="0" w:color="auto"/>
                            <w:left w:val="none" w:sz="0" w:space="0" w:color="auto"/>
                            <w:bottom w:val="none" w:sz="0" w:space="0" w:color="auto"/>
                            <w:right w:val="none" w:sz="0" w:space="0" w:color="auto"/>
                          </w:divBdr>
                          <w:divsChild>
                            <w:div w:id="424423854">
                              <w:marLeft w:val="0"/>
                              <w:marRight w:val="0"/>
                              <w:marTop w:val="0"/>
                              <w:marBottom w:val="0"/>
                              <w:divBdr>
                                <w:top w:val="none" w:sz="0" w:space="0" w:color="auto"/>
                                <w:left w:val="none" w:sz="0" w:space="0" w:color="auto"/>
                                <w:bottom w:val="none" w:sz="0" w:space="0" w:color="auto"/>
                                <w:right w:val="none" w:sz="0" w:space="0" w:color="auto"/>
                              </w:divBdr>
                              <w:divsChild>
                                <w:div w:id="1348403704">
                                  <w:marLeft w:val="0"/>
                                  <w:marRight w:val="0"/>
                                  <w:marTop w:val="0"/>
                                  <w:marBottom w:val="0"/>
                                  <w:divBdr>
                                    <w:top w:val="none" w:sz="0" w:space="0" w:color="auto"/>
                                    <w:left w:val="none" w:sz="0" w:space="0" w:color="auto"/>
                                    <w:bottom w:val="none" w:sz="0" w:space="0" w:color="auto"/>
                                    <w:right w:val="none" w:sz="0" w:space="0" w:color="auto"/>
                                  </w:divBdr>
                                  <w:divsChild>
                                    <w:div w:id="831719537">
                                      <w:marLeft w:val="165"/>
                                      <w:marRight w:val="165"/>
                                      <w:marTop w:val="0"/>
                                      <w:marBottom w:val="0"/>
                                      <w:divBdr>
                                        <w:top w:val="none" w:sz="0" w:space="0" w:color="auto"/>
                                        <w:left w:val="none" w:sz="0" w:space="0" w:color="auto"/>
                                        <w:bottom w:val="none" w:sz="0" w:space="0" w:color="auto"/>
                                        <w:right w:val="none" w:sz="0" w:space="0" w:color="auto"/>
                                      </w:divBdr>
                                      <w:divsChild>
                                        <w:div w:id="885291208">
                                          <w:marLeft w:val="0"/>
                                          <w:marRight w:val="0"/>
                                          <w:marTop w:val="0"/>
                                          <w:marBottom w:val="0"/>
                                          <w:divBdr>
                                            <w:top w:val="none" w:sz="0" w:space="0" w:color="auto"/>
                                            <w:left w:val="none" w:sz="0" w:space="0" w:color="auto"/>
                                            <w:bottom w:val="none" w:sz="0" w:space="0" w:color="auto"/>
                                            <w:right w:val="none" w:sz="0" w:space="0" w:color="auto"/>
                                          </w:divBdr>
                                        </w:div>
                                        <w:div w:id="13031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2642402">
      <w:bodyDiv w:val="1"/>
      <w:marLeft w:val="0"/>
      <w:marRight w:val="0"/>
      <w:marTop w:val="0"/>
      <w:marBottom w:val="0"/>
      <w:divBdr>
        <w:top w:val="none" w:sz="0" w:space="0" w:color="auto"/>
        <w:left w:val="none" w:sz="0" w:space="0" w:color="auto"/>
        <w:bottom w:val="none" w:sz="0" w:space="0" w:color="auto"/>
        <w:right w:val="none" w:sz="0" w:space="0" w:color="auto"/>
      </w:divBdr>
    </w:div>
    <w:div w:id="417947667">
      <w:bodyDiv w:val="1"/>
      <w:marLeft w:val="0"/>
      <w:marRight w:val="0"/>
      <w:marTop w:val="0"/>
      <w:marBottom w:val="0"/>
      <w:divBdr>
        <w:top w:val="none" w:sz="0" w:space="0" w:color="auto"/>
        <w:left w:val="none" w:sz="0" w:space="0" w:color="auto"/>
        <w:bottom w:val="none" w:sz="0" w:space="0" w:color="auto"/>
        <w:right w:val="none" w:sz="0" w:space="0" w:color="auto"/>
      </w:divBdr>
      <w:divsChild>
        <w:div w:id="1910340467">
          <w:marLeft w:val="317"/>
          <w:marRight w:val="0"/>
          <w:marTop w:val="0"/>
          <w:marBottom w:val="0"/>
          <w:divBdr>
            <w:top w:val="none" w:sz="0" w:space="0" w:color="auto"/>
            <w:left w:val="none" w:sz="0" w:space="0" w:color="auto"/>
            <w:bottom w:val="none" w:sz="0" w:space="0" w:color="auto"/>
            <w:right w:val="none" w:sz="0" w:space="0" w:color="auto"/>
          </w:divBdr>
        </w:div>
      </w:divsChild>
    </w:div>
    <w:div w:id="805591073">
      <w:bodyDiv w:val="1"/>
      <w:marLeft w:val="0"/>
      <w:marRight w:val="0"/>
      <w:marTop w:val="0"/>
      <w:marBottom w:val="0"/>
      <w:divBdr>
        <w:top w:val="none" w:sz="0" w:space="0" w:color="auto"/>
        <w:left w:val="none" w:sz="0" w:space="0" w:color="auto"/>
        <w:bottom w:val="none" w:sz="0" w:space="0" w:color="auto"/>
        <w:right w:val="none" w:sz="0" w:space="0" w:color="auto"/>
      </w:divBdr>
      <w:divsChild>
        <w:div w:id="312293751">
          <w:marLeft w:val="0"/>
          <w:marRight w:val="0"/>
          <w:marTop w:val="0"/>
          <w:marBottom w:val="0"/>
          <w:divBdr>
            <w:top w:val="none" w:sz="0" w:space="0" w:color="auto"/>
            <w:left w:val="none" w:sz="0" w:space="0" w:color="auto"/>
            <w:bottom w:val="none" w:sz="0" w:space="0" w:color="auto"/>
            <w:right w:val="none" w:sz="0" w:space="0" w:color="auto"/>
          </w:divBdr>
          <w:divsChild>
            <w:div w:id="1048576898">
              <w:marLeft w:val="0"/>
              <w:marRight w:val="0"/>
              <w:marTop w:val="100"/>
              <w:marBottom w:val="100"/>
              <w:divBdr>
                <w:top w:val="none" w:sz="0" w:space="0" w:color="auto"/>
                <w:left w:val="none" w:sz="0" w:space="0" w:color="auto"/>
                <w:bottom w:val="none" w:sz="0" w:space="0" w:color="auto"/>
                <w:right w:val="none" w:sz="0" w:space="0" w:color="auto"/>
              </w:divBdr>
              <w:divsChild>
                <w:div w:id="553929538">
                  <w:marLeft w:val="0"/>
                  <w:marRight w:val="0"/>
                  <w:marTop w:val="0"/>
                  <w:marBottom w:val="0"/>
                  <w:divBdr>
                    <w:top w:val="none" w:sz="0" w:space="0" w:color="auto"/>
                    <w:left w:val="none" w:sz="0" w:space="0" w:color="auto"/>
                    <w:bottom w:val="none" w:sz="0" w:space="0" w:color="auto"/>
                    <w:right w:val="none" w:sz="0" w:space="0" w:color="auto"/>
                  </w:divBdr>
                  <w:divsChild>
                    <w:div w:id="601300745">
                      <w:marLeft w:val="0"/>
                      <w:marRight w:val="0"/>
                      <w:marTop w:val="0"/>
                      <w:marBottom w:val="0"/>
                      <w:divBdr>
                        <w:top w:val="none" w:sz="0" w:space="0" w:color="auto"/>
                        <w:left w:val="none" w:sz="0" w:space="0" w:color="auto"/>
                        <w:bottom w:val="none" w:sz="0" w:space="0" w:color="auto"/>
                        <w:right w:val="none" w:sz="0" w:space="0" w:color="auto"/>
                      </w:divBdr>
                      <w:divsChild>
                        <w:div w:id="1544558317">
                          <w:marLeft w:val="0"/>
                          <w:marRight w:val="0"/>
                          <w:marTop w:val="0"/>
                          <w:marBottom w:val="0"/>
                          <w:divBdr>
                            <w:top w:val="none" w:sz="0" w:space="0" w:color="auto"/>
                            <w:left w:val="none" w:sz="0" w:space="0" w:color="auto"/>
                            <w:bottom w:val="none" w:sz="0" w:space="0" w:color="auto"/>
                            <w:right w:val="none" w:sz="0" w:space="0" w:color="auto"/>
                          </w:divBdr>
                          <w:divsChild>
                            <w:div w:id="1284532907">
                              <w:marLeft w:val="0"/>
                              <w:marRight w:val="0"/>
                              <w:marTop w:val="0"/>
                              <w:marBottom w:val="0"/>
                              <w:divBdr>
                                <w:top w:val="none" w:sz="0" w:space="0" w:color="auto"/>
                                <w:left w:val="none" w:sz="0" w:space="0" w:color="auto"/>
                                <w:bottom w:val="none" w:sz="0" w:space="0" w:color="auto"/>
                                <w:right w:val="none" w:sz="0" w:space="0" w:color="auto"/>
                              </w:divBdr>
                              <w:divsChild>
                                <w:div w:id="292443988">
                                  <w:marLeft w:val="0"/>
                                  <w:marRight w:val="0"/>
                                  <w:marTop w:val="0"/>
                                  <w:marBottom w:val="0"/>
                                  <w:divBdr>
                                    <w:top w:val="none" w:sz="0" w:space="0" w:color="auto"/>
                                    <w:left w:val="none" w:sz="0" w:space="0" w:color="auto"/>
                                    <w:bottom w:val="none" w:sz="0" w:space="0" w:color="auto"/>
                                    <w:right w:val="none" w:sz="0" w:space="0" w:color="auto"/>
                                  </w:divBdr>
                                  <w:divsChild>
                                    <w:div w:id="293483167">
                                      <w:marLeft w:val="165"/>
                                      <w:marRight w:val="165"/>
                                      <w:marTop w:val="0"/>
                                      <w:marBottom w:val="0"/>
                                      <w:divBdr>
                                        <w:top w:val="none" w:sz="0" w:space="0" w:color="auto"/>
                                        <w:left w:val="none" w:sz="0" w:space="0" w:color="auto"/>
                                        <w:bottom w:val="none" w:sz="0" w:space="0" w:color="auto"/>
                                        <w:right w:val="none" w:sz="0" w:space="0" w:color="auto"/>
                                      </w:divBdr>
                                      <w:divsChild>
                                        <w:div w:id="667514626">
                                          <w:marLeft w:val="0"/>
                                          <w:marRight w:val="0"/>
                                          <w:marTop w:val="0"/>
                                          <w:marBottom w:val="0"/>
                                          <w:divBdr>
                                            <w:top w:val="none" w:sz="0" w:space="0" w:color="auto"/>
                                            <w:left w:val="none" w:sz="0" w:space="0" w:color="auto"/>
                                            <w:bottom w:val="none" w:sz="0" w:space="0" w:color="auto"/>
                                            <w:right w:val="none" w:sz="0" w:space="0" w:color="auto"/>
                                          </w:divBdr>
                                        </w:div>
                                        <w:div w:id="11171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177380">
      <w:bodyDiv w:val="1"/>
      <w:marLeft w:val="0"/>
      <w:marRight w:val="0"/>
      <w:marTop w:val="0"/>
      <w:marBottom w:val="0"/>
      <w:divBdr>
        <w:top w:val="none" w:sz="0" w:space="0" w:color="auto"/>
        <w:left w:val="none" w:sz="0" w:space="0" w:color="auto"/>
        <w:bottom w:val="none" w:sz="0" w:space="0" w:color="auto"/>
        <w:right w:val="none" w:sz="0" w:space="0" w:color="auto"/>
      </w:divBdr>
    </w:div>
    <w:div w:id="947347581">
      <w:bodyDiv w:val="1"/>
      <w:marLeft w:val="0"/>
      <w:marRight w:val="0"/>
      <w:marTop w:val="0"/>
      <w:marBottom w:val="0"/>
      <w:divBdr>
        <w:top w:val="none" w:sz="0" w:space="0" w:color="auto"/>
        <w:left w:val="none" w:sz="0" w:space="0" w:color="auto"/>
        <w:bottom w:val="none" w:sz="0" w:space="0" w:color="auto"/>
        <w:right w:val="none" w:sz="0" w:space="0" w:color="auto"/>
      </w:divBdr>
    </w:div>
    <w:div w:id="1046832610">
      <w:bodyDiv w:val="1"/>
      <w:marLeft w:val="0"/>
      <w:marRight w:val="0"/>
      <w:marTop w:val="0"/>
      <w:marBottom w:val="0"/>
      <w:divBdr>
        <w:top w:val="none" w:sz="0" w:space="0" w:color="auto"/>
        <w:left w:val="none" w:sz="0" w:space="0" w:color="auto"/>
        <w:bottom w:val="none" w:sz="0" w:space="0" w:color="auto"/>
        <w:right w:val="none" w:sz="0" w:space="0" w:color="auto"/>
      </w:divBdr>
    </w:div>
    <w:div w:id="1112360988">
      <w:bodyDiv w:val="1"/>
      <w:marLeft w:val="0"/>
      <w:marRight w:val="0"/>
      <w:marTop w:val="0"/>
      <w:marBottom w:val="0"/>
      <w:divBdr>
        <w:top w:val="none" w:sz="0" w:space="0" w:color="auto"/>
        <w:left w:val="none" w:sz="0" w:space="0" w:color="auto"/>
        <w:bottom w:val="none" w:sz="0" w:space="0" w:color="auto"/>
        <w:right w:val="none" w:sz="0" w:space="0" w:color="auto"/>
      </w:divBdr>
    </w:div>
    <w:div w:id="1156066705">
      <w:bodyDiv w:val="1"/>
      <w:marLeft w:val="0"/>
      <w:marRight w:val="0"/>
      <w:marTop w:val="0"/>
      <w:marBottom w:val="0"/>
      <w:divBdr>
        <w:top w:val="none" w:sz="0" w:space="0" w:color="auto"/>
        <w:left w:val="none" w:sz="0" w:space="0" w:color="auto"/>
        <w:bottom w:val="none" w:sz="0" w:space="0" w:color="auto"/>
        <w:right w:val="none" w:sz="0" w:space="0" w:color="auto"/>
      </w:divBdr>
      <w:divsChild>
        <w:div w:id="1162770646">
          <w:marLeft w:val="0"/>
          <w:marRight w:val="0"/>
          <w:marTop w:val="0"/>
          <w:marBottom w:val="0"/>
          <w:divBdr>
            <w:top w:val="none" w:sz="0" w:space="0" w:color="auto"/>
            <w:left w:val="none" w:sz="0" w:space="0" w:color="auto"/>
            <w:bottom w:val="none" w:sz="0" w:space="0" w:color="auto"/>
            <w:right w:val="none" w:sz="0" w:space="0" w:color="auto"/>
          </w:divBdr>
          <w:divsChild>
            <w:div w:id="1588540528">
              <w:marLeft w:val="0"/>
              <w:marRight w:val="0"/>
              <w:marTop w:val="100"/>
              <w:marBottom w:val="100"/>
              <w:divBdr>
                <w:top w:val="none" w:sz="0" w:space="0" w:color="auto"/>
                <w:left w:val="none" w:sz="0" w:space="0" w:color="auto"/>
                <w:bottom w:val="none" w:sz="0" w:space="0" w:color="auto"/>
                <w:right w:val="none" w:sz="0" w:space="0" w:color="auto"/>
              </w:divBdr>
              <w:divsChild>
                <w:div w:id="383218095">
                  <w:marLeft w:val="0"/>
                  <w:marRight w:val="0"/>
                  <w:marTop w:val="0"/>
                  <w:marBottom w:val="0"/>
                  <w:divBdr>
                    <w:top w:val="none" w:sz="0" w:space="0" w:color="auto"/>
                    <w:left w:val="none" w:sz="0" w:space="0" w:color="auto"/>
                    <w:bottom w:val="none" w:sz="0" w:space="0" w:color="auto"/>
                    <w:right w:val="none" w:sz="0" w:space="0" w:color="auto"/>
                  </w:divBdr>
                  <w:divsChild>
                    <w:div w:id="1830631829">
                      <w:marLeft w:val="0"/>
                      <w:marRight w:val="0"/>
                      <w:marTop w:val="0"/>
                      <w:marBottom w:val="0"/>
                      <w:divBdr>
                        <w:top w:val="none" w:sz="0" w:space="0" w:color="auto"/>
                        <w:left w:val="none" w:sz="0" w:space="0" w:color="auto"/>
                        <w:bottom w:val="none" w:sz="0" w:space="0" w:color="auto"/>
                        <w:right w:val="none" w:sz="0" w:space="0" w:color="auto"/>
                      </w:divBdr>
                      <w:divsChild>
                        <w:div w:id="1982733954">
                          <w:marLeft w:val="0"/>
                          <w:marRight w:val="0"/>
                          <w:marTop w:val="100"/>
                          <w:marBottom w:val="100"/>
                          <w:divBdr>
                            <w:top w:val="none" w:sz="0" w:space="0" w:color="auto"/>
                            <w:left w:val="none" w:sz="0" w:space="0" w:color="auto"/>
                            <w:bottom w:val="none" w:sz="0" w:space="0" w:color="auto"/>
                            <w:right w:val="none" w:sz="0" w:space="0" w:color="auto"/>
                          </w:divBdr>
                          <w:divsChild>
                            <w:div w:id="1113209820">
                              <w:marLeft w:val="0"/>
                              <w:marRight w:val="0"/>
                              <w:marTop w:val="0"/>
                              <w:marBottom w:val="120"/>
                              <w:divBdr>
                                <w:top w:val="none" w:sz="0" w:space="0" w:color="auto"/>
                                <w:left w:val="none" w:sz="0" w:space="0" w:color="auto"/>
                                <w:bottom w:val="single" w:sz="12" w:space="9" w:color="EBEBEB"/>
                                <w:right w:val="none" w:sz="0" w:space="0" w:color="auto"/>
                              </w:divBdr>
                              <w:divsChild>
                                <w:div w:id="97650333">
                                  <w:marLeft w:val="0"/>
                                  <w:marRight w:val="0"/>
                                  <w:marTop w:val="100"/>
                                  <w:marBottom w:val="100"/>
                                  <w:divBdr>
                                    <w:top w:val="none" w:sz="0" w:space="0" w:color="auto"/>
                                    <w:left w:val="none" w:sz="0" w:space="0" w:color="auto"/>
                                    <w:bottom w:val="none" w:sz="0" w:space="0" w:color="auto"/>
                                    <w:right w:val="none" w:sz="0" w:space="0" w:color="auto"/>
                                  </w:divBdr>
                                  <w:divsChild>
                                    <w:div w:id="874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261350">
      <w:bodyDiv w:val="1"/>
      <w:marLeft w:val="0"/>
      <w:marRight w:val="0"/>
      <w:marTop w:val="0"/>
      <w:marBottom w:val="0"/>
      <w:divBdr>
        <w:top w:val="none" w:sz="0" w:space="0" w:color="auto"/>
        <w:left w:val="none" w:sz="0" w:space="0" w:color="auto"/>
        <w:bottom w:val="none" w:sz="0" w:space="0" w:color="auto"/>
        <w:right w:val="none" w:sz="0" w:space="0" w:color="auto"/>
      </w:divBdr>
    </w:div>
    <w:div w:id="1460487397">
      <w:bodyDiv w:val="1"/>
      <w:marLeft w:val="0"/>
      <w:marRight w:val="0"/>
      <w:marTop w:val="0"/>
      <w:marBottom w:val="0"/>
      <w:divBdr>
        <w:top w:val="none" w:sz="0" w:space="0" w:color="auto"/>
        <w:left w:val="none" w:sz="0" w:space="0" w:color="auto"/>
        <w:bottom w:val="none" w:sz="0" w:space="0" w:color="auto"/>
        <w:right w:val="none" w:sz="0" w:space="0" w:color="auto"/>
      </w:divBdr>
    </w:div>
    <w:div w:id="1802843131">
      <w:bodyDiv w:val="1"/>
      <w:marLeft w:val="0"/>
      <w:marRight w:val="0"/>
      <w:marTop w:val="0"/>
      <w:marBottom w:val="0"/>
      <w:divBdr>
        <w:top w:val="none" w:sz="0" w:space="0" w:color="auto"/>
        <w:left w:val="none" w:sz="0" w:space="0" w:color="auto"/>
        <w:bottom w:val="none" w:sz="0" w:space="0" w:color="auto"/>
        <w:right w:val="none" w:sz="0" w:space="0" w:color="auto"/>
      </w:divBdr>
    </w:div>
    <w:div w:id="1831291983">
      <w:bodyDiv w:val="1"/>
      <w:marLeft w:val="0"/>
      <w:marRight w:val="0"/>
      <w:marTop w:val="0"/>
      <w:marBottom w:val="0"/>
      <w:divBdr>
        <w:top w:val="none" w:sz="0" w:space="0" w:color="auto"/>
        <w:left w:val="none" w:sz="0" w:space="0" w:color="auto"/>
        <w:bottom w:val="none" w:sz="0" w:space="0" w:color="auto"/>
        <w:right w:val="none" w:sz="0" w:space="0" w:color="auto"/>
      </w:divBdr>
    </w:div>
    <w:div w:id="1885824608">
      <w:bodyDiv w:val="1"/>
      <w:marLeft w:val="0"/>
      <w:marRight w:val="0"/>
      <w:marTop w:val="0"/>
      <w:marBottom w:val="0"/>
      <w:divBdr>
        <w:top w:val="none" w:sz="0" w:space="0" w:color="auto"/>
        <w:left w:val="none" w:sz="0" w:space="0" w:color="auto"/>
        <w:bottom w:val="none" w:sz="0" w:space="0" w:color="auto"/>
        <w:right w:val="none" w:sz="0" w:space="0" w:color="auto"/>
      </w:divBdr>
      <w:divsChild>
        <w:div w:id="2008439003">
          <w:marLeft w:val="0"/>
          <w:marRight w:val="0"/>
          <w:marTop w:val="0"/>
          <w:marBottom w:val="0"/>
          <w:divBdr>
            <w:top w:val="none" w:sz="0" w:space="0" w:color="auto"/>
            <w:left w:val="none" w:sz="0" w:space="0" w:color="auto"/>
            <w:bottom w:val="none" w:sz="0" w:space="0" w:color="auto"/>
            <w:right w:val="none" w:sz="0" w:space="0" w:color="auto"/>
          </w:divBdr>
          <w:divsChild>
            <w:div w:id="1913737865">
              <w:marLeft w:val="0"/>
              <w:marRight w:val="0"/>
              <w:marTop w:val="0"/>
              <w:marBottom w:val="0"/>
              <w:divBdr>
                <w:top w:val="none" w:sz="0" w:space="0" w:color="auto"/>
                <w:left w:val="none" w:sz="0" w:space="0" w:color="auto"/>
                <w:bottom w:val="none" w:sz="0" w:space="0" w:color="auto"/>
                <w:right w:val="none" w:sz="0" w:space="0" w:color="auto"/>
              </w:divBdr>
              <w:divsChild>
                <w:div w:id="2077044829">
                  <w:marLeft w:val="0"/>
                  <w:marRight w:val="0"/>
                  <w:marTop w:val="0"/>
                  <w:marBottom w:val="0"/>
                  <w:divBdr>
                    <w:top w:val="none" w:sz="0" w:space="0" w:color="auto"/>
                    <w:left w:val="none" w:sz="0" w:space="0" w:color="auto"/>
                    <w:bottom w:val="none" w:sz="0" w:space="0" w:color="auto"/>
                    <w:right w:val="none" w:sz="0" w:space="0" w:color="auto"/>
                  </w:divBdr>
                  <w:divsChild>
                    <w:div w:id="1254970570">
                      <w:marLeft w:val="0"/>
                      <w:marRight w:val="0"/>
                      <w:marTop w:val="0"/>
                      <w:marBottom w:val="0"/>
                      <w:divBdr>
                        <w:top w:val="none" w:sz="0" w:space="0" w:color="auto"/>
                        <w:left w:val="none" w:sz="0" w:space="0" w:color="auto"/>
                        <w:bottom w:val="none" w:sz="0" w:space="0" w:color="auto"/>
                        <w:right w:val="none" w:sz="0" w:space="0" w:color="auto"/>
                      </w:divBdr>
                      <w:divsChild>
                        <w:div w:id="7605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66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2.xml"/><Relationship Id="rId26" Type="http://schemas.openxmlformats.org/officeDocument/2006/relationships/chart" Target="charts/chart8.xml"/><Relationship Id="rId39"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1.xml"/><Relationship Id="rId25" Type="http://schemas.openxmlformats.org/officeDocument/2006/relationships/chart" Target="charts/chart7.xml"/><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6.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5.xml"/><Relationship Id="rId28" Type="http://schemas.openxmlformats.org/officeDocument/2006/relationships/footer" Target="footer1.xm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chart" Target="charts/chart3.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image" Target="media/image13.png"/><Relationship Id="rId35"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oleObject" Target="file:///\\Volumes\Macintosh%20HD\documents\0a-MITei%20spring%202019\article\fleet%20docs\Current%20VISION%20Models\test%20of%20sales%20&amp;%20stock%20approac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Volumes\Macintosh%20HD\documents\0a-MITei%20spring%202019\article\fleet%20docs\Current%20VISION%20Models\test%20of%20sales%20&amp;%20stock%20approac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Volumes\Macintosh%20HD\documents\0a-MITei%20spring%202019\article\fleet%20docs\Current%20VISION%20Models\EI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IanMiller\Dropbox%20(MIT)\1-Transport%20LCA\from%20Ian\19.05.14%20-%20v9\Figure%20Data%20-%201st%20sheet%20of%20each%20doc\Figure%204-8-appl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Emre\Dropbox%20(MIT)\Manuscripts\SESAME_Technical_1\From%20Ian\Emre%20fuel%20spreadsheet%20with%20Ian%20addition.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Emre\Dropbox%20(MIT)\Manuscripts\SESAME_Technical_1\From%20Ian\Emre%20fuel%20spreadsheet%20with%20Ian%20addition.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C:\Users\Emre\Dropbox%20(MIT)\Manuscripts\SESAME_Technical_1\Results_Summary.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Emre\Dropbox%20(MIT)\Manuscripts\SESAME_Technical_1\Results_Summary.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455785958692333E-2"/>
          <c:y val="5.2687151581002269E-2"/>
          <c:w val="0.74822184491158816"/>
          <c:h val="0.74691797974005847"/>
        </c:manualLayout>
      </c:layout>
      <c:barChart>
        <c:barDir val="col"/>
        <c:grouping val="stacked"/>
        <c:varyColors val="0"/>
        <c:ser>
          <c:idx val="0"/>
          <c:order val="0"/>
          <c:tx>
            <c:strRef>
              <c:f>'sales &amp; stock, results'!$O$284</c:f>
              <c:strCache>
                <c:ptCount val="1"/>
                <c:pt idx="0">
                  <c:v>ICEV</c:v>
                </c:pt>
              </c:strCache>
            </c:strRef>
          </c:tx>
          <c:spPr>
            <a:solidFill>
              <a:srgbClr val="0000FF"/>
            </a:solidFill>
            <a:ln>
              <a:noFill/>
            </a:ln>
            <a:effectLst/>
          </c:spPr>
          <c:invertIfNegative val="0"/>
          <c:cat>
            <c:numRef>
              <c:f>'sales &amp; stock, results'!$N$285:$N$335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results'!$O$285:$O$335</c:f>
              <c:numCache>
                <c:formatCode>General</c:formatCode>
                <c:ptCount val="51"/>
                <c:pt idx="0">
                  <c:v>17.116946687471597</c:v>
                </c:pt>
                <c:pt idx="1">
                  <c:v>16.874770359444366</c:v>
                </c:pt>
                <c:pt idx="2">
                  <c:v>16.59607518842444</c:v>
                </c:pt>
                <c:pt idx="3">
                  <c:v>16.419884955583811</c:v>
                </c:pt>
                <c:pt idx="4">
                  <c:v>16.6388940049628</c:v>
                </c:pt>
                <c:pt idx="5">
                  <c:v>16.560014603925598</c:v>
                </c:pt>
                <c:pt idx="6">
                  <c:v>16.071838201173442</c:v>
                </c:pt>
                <c:pt idx="7">
                  <c:v>15.513772252637732</c:v>
                </c:pt>
                <c:pt idx="8">
                  <c:v>12.688357727942073</c:v>
                </c:pt>
                <c:pt idx="9">
                  <c:v>9.9414059582511705</c:v>
                </c:pt>
                <c:pt idx="10">
                  <c:v>11.124215975017952</c:v>
                </c:pt>
                <c:pt idx="11">
                  <c:v>12.265722489774099</c:v>
                </c:pt>
                <c:pt idx="12">
                  <c:v>13.72617015</c:v>
                </c:pt>
                <c:pt idx="13">
                  <c:v>14.681901600000002</c:v>
                </c:pt>
                <c:pt idx="14">
                  <c:v>15.619676000000002</c:v>
                </c:pt>
                <c:pt idx="15">
                  <c:v>16.590684999999997</c:v>
                </c:pt>
                <c:pt idx="16">
                  <c:v>16.668248999999999</c:v>
                </c:pt>
                <c:pt idx="17">
                  <c:v>15.977398433000001</c:v>
                </c:pt>
                <c:pt idx="18">
                  <c:v>15.517572684014112</c:v>
                </c:pt>
                <c:pt idx="19">
                  <c:v>15.217734756018963</c:v>
                </c:pt>
                <c:pt idx="20">
                  <c:v>14.956131415422307</c:v>
                </c:pt>
                <c:pt idx="21">
                  <c:v>14.706985855000001</c:v>
                </c:pt>
                <c:pt idx="22">
                  <c:v>14.245129365676954</c:v>
                </c:pt>
                <c:pt idx="23">
                  <c:v>14.211957887040274</c:v>
                </c:pt>
                <c:pt idx="24">
                  <c:v>14.131158742428473</c:v>
                </c:pt>
                <c:pt idx="25">
                  <c:v>14.049036687999999</c:v>
                </c:pt>
                <c:pt idx="26">
                  <c:v>14.057233126321378</c:v>
                </c:pt>
                <c:pt idx="27">
                  <c:v>13.991223143999997</c:v>
                </c:pt>
                <c:pt idx="28">
                  <c:v>13.997616701963294</c:v>
                </c:pt>
                <c:pt idx="29">
                  <c:v>13.936789909050958</c:v>
                </c:pt>
                <c:pt idx="30">
                  <c:v>13.99488294444286</c:v>
                </c:pt>
                <c:pt idx="31">
                  <c:v>14.127488744999999</c:v>
                </c:pt>
                <c:pt idx="32">
                  <c:v>14.097191570053898</c:v>
                </c:pt>
                <c:pt idx="33">
                  <c:v>14.12562571001264</c:v>
                </c:pt>
                <c:pt idx="34">
                  <c:v>14.174834664135492</c:v>
                </c:pt>
                <c:pt idx="35">
                  <c:v>14.147089540000001</c:v>
                </c:pt>
                <c:pt idx="36">
                  <c:v>14.098710473938805</c:v>
                </c:pt>
                <c:pt idx="37">
                  <c:v>14.114342586650174</c:v>
                </c:pt>
                <c:pt idx="38">
                  <c:v>14.129077457064575</c:v>
                </c:pt>
                <c:pt idx="39">
                  <c:v>14.084510942000001</c:v>
                </c:pt>
                <c:pt idx="40">
                  <c:v>14.059639354051555</c:v>
                </c:pt>
                <c:pt idx="41">
                  <c:v>14.043244604835776</c:v>
                </c:pt>
                <c:pt idx="42">
                  <c:v>13.985495343999998</c:v>
                </c:pt>
                <c:pt idx="43">
                  <c:v>13.94391684992314</c:v>
                </c:pt>
                <c:pt idx="44">
                  <c:v>13.980540718000002</c:v>
                </c:pt>
                <c:pt idx="45">
                  <c:v>13.985733230427721</c:v>
                </c:pt>
                <c:pt idx="46">
                  <c:v>13.975441086001837</c:v>
                </c:pt>
                <c:pt idx="47">
                  <c:v>13.910060873999999</c:v>
                </c:pt>
                <c:pt idx="48">
                  <c:v>13.814654833000001</c:v>
                </c:pt>
                <c:pt idx="49">
                  <c:v>13.778518711815376</c:v>
                </c:pt>
                <c:pt idx="50">
                  <c:v>13.717037028365548</c:v>
                </c:pt>
              </c:numCache>
            </c:numRef>
          </c:val>
          <c:extLst>
            <c:ext xmlns:c16="http://schemas.microsoft.com/office/drawing/2014/chart" uri="{C3380CC4-5D6E-409C-BE32-E72D297353CC}">
              <c16:uniqueId val="{00000000-22E4-44C0-B959-7FA32B45D1DA}"/>
            </c:ext>
          </c:extLst>
        </c:ser>
        <c:ser>
          <c:idx val="1"/>
          <c:order val="1"/>
          <c:tx>
            <c:strRef>
              <c:f>'sales &amp; stock, results'!$P$284</c:f>
              <c:strCache>
                <c:ptCount val="1"/>
                <c:pt idx="0">
                  <c:v>HEV</c:v>
                </c:pt>
              </c:strCache>
            </c:strRef>
          </c:tx>
          <c:spPr>
            <a:solidFill>
              <a:srgbClr val="FF0000"/>
            </a:solidFill>
            <a:ln>
              <a:noFill/>
            </a:ln>
            <a:effectLst/>
          </c:spPr>
          <c:invertIfNegative val="0"/>
          <c:cat>
            <c:numRef>
              <c:f>'sales &amp; stock, results'!$N$285:$N$335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results'!$P$285:$P$335</c:f>
              <c:numCache>
                <c:formatCode>General</c:formatCode>
                <c:ptCount val="51"/>
                <c:pt idx="0">
                  <c:v>9.1738891283987909E-3</c:v>
                </c:pt>
                <c:pt idx="1">
                  <c:v>1.9703222555632879E-2</c:v>
                </c:pt>
                <c:pt idx="2">
                  <c:v>3.5133845575562192E-2</c:v>
                </c:pt>
                <c:pt idx="3">
                  <c:v>4.6401252416189281E-2</c:v>
                </c:pt>
                <c:pt idx="4">
                  <c:v>8.2330515037198834E-2</c:v>
                </c:pt>
                <c:pt idx="5">
                  <c:v>0.20183722207440224</c:v>
                </c:pt>
                <c:pt idx="6">
                  <c:v>0.25157286282655567</c:v>
                </c:pt>
                <c:pt idx="7">
                  <c:v>0.34101183936226642</c:v>
                </c:pt>
                <c:pt idx="8">
                  <c:v>0.31607728486935166</c:v>
                </c:pt>
                <c:pt idx="9">
                  <c:v>0.2892214780053548</c:v>
                </c:pt>
                <c:pt idx="10">
                  <c:v>0.26303310790204665</c:v>
                </c:pt>
                <c:pt idx="11">
                  <c:v>0.2577508102259024</c:v>
                </c:pt>
                <c:pt idx="12">
                  <c:v>0.43464800000000003</c:v>
                </c:pt>
                <c:pt idx="13">
                  <c:v>0.49552999999999997</c:v>
                </c:pt>
                <c:pt idx="14">
                  <c:v>0.45217200000000002</c:v>
                </c:pt>
                <c:pt idx="15">
                  <c:v>0.38440700000000005</c:v>
                </c:pt>
                <c:pt idx="16">
                  <c:v>0.347414</c:v>
                </c:pt>
                <c:pt idx="17">
                  <c:v>0.47245946100000002</c:v>
                </c:pt>
                <c:pt idx="18">
                  <c:v>0.5482379989937981</c:v>
                </c:pt>
                <c:pt idx="19">
                  <c:v>0.55038949899358802</c:v>
                </c:pt>
                <c:pt idx="20">
                  <c:v>0.55462270345106668</c:v>
                </c:pt>
                <c:pt idx="21">
                  <c:v>0.55307168200000001</c:v>
                </c:pt>
                <c:pt idx="22">
                  <c:v>0.55393181228784538</c:v>
                </c:pt>
                <c:pt idx="23">
                  <c:v>0.5795058129919165</c:v>
                </c:pt>
                <c:pt idx="24">
                  <c:v>0.60950122377264127</c:v>
                </c:pt>
                <c:pt idx="25">
                  <c:v>0.62145328499999997</c:v>
                </c:pt>
                <c:pt idx="26">
                  <c:v>0.65045359340832876</c:v>
                </c:pt>
                <c:pt idx="27">
                  <c:v>0.68345285799999989</c:v>
                </c:pt>
                <c:pt idx="28">
                  <c:v>0.71494141088779006</c:v>
                </c:pt>
                <c:pt idx="29">
                  <c:v>0.74696944198897608</c:v>
                </c:pt>
                <c:pt idx="30">
                  <c:v>0.77744019239009754</c:v>
                </c:pt>
                <c:pt idx="31">
                  <c:v>0.81352221000000002</c:v>
                </c:pt>
                <c:pt idx="32">
                  <c:v>0.83651322098718417</c:v>
                </c:pt>
                <c:pt idx="33">
                  <c:v>0.8585287774343302</c:v>
                </c:pt>
                <c:pt idx="34">
                  <c:v>0.87964800084756556</c:v>
                </c:pt>
                <c:pt idx="35">
                  <c:v>0.89469772999999997</c:v>
                </c:pt>
                <c:pt idx="36">
                  <c:v>0.90751572701515848</c:v>
                </c:pt>
                <c:pt idx="37">
                  <c:v>0.92004803634478916</c:v>
                </c:pt>
                <c:pt idx="38">
                  <c:v>0.9335437319837262</c:v>
                </c:pt>
                <c:pt idx="39">
                  <c:v>0.94333776999999996</c:v>
                </c:pt>
                <c:pt idx="40">
                  <c:v>0.95484705344868159</c:v>
                </c:pt>
                <c:pt idx="41">
                  <c:v>0.96711840915347025</c:v>
                </c:pt>
                <c:pt idx="42">
                  <c:v>0.97318612199999999</c:v>
                </c:pt>
                <c:pt idx="43">
                  <c:v>0.97875675149793617</c:v>
                </c:pt>
                <c:pt idx="44">
                  <c:v>0.98810065499999988</c:v>
                </c:pt>
                <c:pt idx="45">
                  <c:v>0.99615102042840065</c:v>
                </c:pt>
                <c:pt idx="46">
                  <c:v>1.0036739793099427</c:v>
                </c:pt>
                <c:pt idx="47">
                  <c:v>1.006609697</c:v>
                </c:pt>
                <c:pt idx="48">
                  <c:v>1.008576106</c:v>
                </c:pt>
                <c:pt idx="49">
                  <c:v>1.0129134510237021</c:v>
                </c:pt>
                <c:pt idx="50">
                  <c:v>1.0155392875973417</c:v>
                </c:pt>
              </c:numCache>
            </c:numRef>
          </c:val>
          <c:extLst>
            <c:ext xmlns:c16="http://schemas.microsoft.com/office/drawing/2014/chart" uri="{C3380CC4-5D6E-409C-BE32-E72D297353CC}">
              <c16:uniqueId val="{00000001-22E4-44C0-B959-7FA32B45D1DA}"/>
            </c:ext>
          </c:extLst>
        </c:ser>
        <c:ser>
          <c:idx val="2"/>
          <c:order val="2"/>
          <c:tx>
            <c:strRef>
              <c:f>'sales &amp; stock, results'!$Q$284</c:f>
              <c:strCache>
                <c:ptCount val="1"/>
                <c:pt idx="0">
                  <c:v>PHEV</c:v>
                </c:pt>
              </c:strCache>
            </c:strRef>
          </c:tx>
          <c:spPr>
            <a:solidFill>
              <a:srgbClr val="7030A0"/>
            </a:solidFill>
            <a:ln>
              <a:noFill/>
            </a:ln>
            <a:effectLst/>
          </c:spPr>
          <c:invertIfNegative val="0"/>
          <c:cat>
            <c:numRef>
              <c:f>'sales &amp; stock, results'!$N$285:$N$335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results'!$Q$285:$Q$335</c:f>
              <c:numCache>
                <c:formatCode>General</c:formatCode>
                <c:ptCount val="51"/>
                <c:pt idx="0">
                  <c:v>0</c:v>
                </c:pt>
                <c:pt idx="1">
                  <c:v>0</c:v>
                </c:pt>
                <c:pt idx="2">
                  <c:v>0</c:v>
                </c:pt>
                <c:pt idx="3">
                  <c:v>0</c:v>
                </c:pt>
                <c:pt idx="4">
                  <c:v>0</c:v>
                </c:pt>
                <c:pt idx="5">
                  <c:v>0</c:v>
                </c:pt>
                <c:pt idx="6">
                  <c:v>0</c:v>
                </c:pt>
                <c:pt idx="7">
                  <c:v>0</c:v>
                </c:pt>
                <c:pt idx="8">
                  <c:v>0</c:v>
                </c:pt>
                <c:pt idx="9">
                  <c:v>0</c:v>
                </c:pt>
                <c:pt idx="10">
                  <c:v>2.9274799999999979E-4</c:v>
                </c:pt>
                <c:pt idx="11">
                  <c:v>7.6710000000000005E-4</c:v>
                </c:pt>
                <c:pt idx="12">
                  <c:v>3.8583999999999993E-2</c:v>
                </c:pt>
                <c:pt idx="13">
                  <c:v>4.9002000000000004E-2</c:v>
                </c:pt>
                <c:pt idx="14">
                  <c:v>5.5357000000000003E-2</c:v>
                </c:pt>
                <c:pt idx="15">
                  <c:v>4.2943999999999996E-2</c:v>
                </c:pt>
                <c:pt idx="16">
                  <c:v>7.2924000000000003E-2</c:v>
                </c:pt>
                <c:pt idx="17">
                  <c:v>9.1240868000000003E-2</c:v>
                </c:pt>
                <c:pt idx="18">
                  <c:v>0.17639804499514111</c:v>
                </c:pt>
                <c:pt idx="19">
                  <c:v>0.19914655899354913</c:v>
                </c:pt>
                <c:pt idx="20">
                  <c:v>0.22102245189876224</c:v>
                </c:pt>
                <c:pt idx="21">
                  <c:v>0.253559064</c:v>
                </c:pt>
                <c:pt idx="22">
                  <c:v>0.26558476773963241</c:v>
                </c:pt>
                <c:pt idx="23">
                  <c:v>0.27281803898635387</c:v>
                </c:pt>
                <c:pt idx="24">
                  <c:v>0.28348243692030128</c:v>
                </c:pt>
                <c:pt idx="25">
                  <c:v>0.29513906199999995</c:v>
                </c:pt>
                <c:pt idx="26">
                  <c:v>0.29848598733405424</c:v>
                </c:pt>
                <c:pt idx="27">
                  <c:v>0.30524984499999996</c:v>
                </c:pt>
                <c:pt idx="28">
                  <c:v>0.31080309017808527</c:v>
                </c:pt>
                <c:pt idx="29">
                  <c:v>0.32588484698344317</c:v>
                </c:pt>
                <c:pt idx="30">
                  <c:v>0.33562714074038869</c:v>
                </c:pt>
                <c:pt idx="31">
                  <c:v>0.34559295000000007</c:v>
                </c:pt>
                <c:pt idx="32">
                  <c:v>0.35522987798232364</c:v>
                </c:pt>
                <c:pt idx="33">
                  <c:v>0.36469614119983407</c:v>
                </c:pt>
                <c:pt idx="34">
                  <c:v>0.37571239700150255</c:v>
                </c:pt>
                <c:pt idx="35">
                  <c:v>0.38511859199999998</c:v>
                </c:pt>
                <c:pt idx="36">
                  <c:v>0.3957896830195522</c:v>
                </c:pt>
                <c:pt idx="37">
                  <c:v>0.40681205213614102</c:v>
                </c:pt>
                <c:pt idx="38">
                  <c:v>0.41236344997956487</c:v>
                </c:pt>
                <c:pt idx="39">
                  <c:v>0.42265159000000002</c:v>
                </c:pt>
                <c:pt idx="40">
                  <c:v>0.43402726228439736</c:v>
                </c:pt>
                <c:pt idx="41">
                  <c:v>0.44186673296141354</c:v>
                </c:pt>
                <c:pt idx="42">
                  <c:v>0.44968049499999996</c:v>
                </c:pt>
                <c:pt idx="43">
                  <c:v>0.45747285313514247</c:v>
                </c:pt>
                <c:pt idx="44">
                  <c:v>0.46637039399999991</c:v>
                </c:pt>
                <c:pt idx="45">
                  <c:v>0.47459541535132893</c:v>
                </c:pt>
                <c:pt idx="46">
                  <c:v>0.48377206930479877</c:v>
                </c:pt>
                <c:pt idx="47">
                  <c:v>0.49228645999999993</c:v>
                </c:pt>
                <c:pt idx="48">
                  <c:v>0.5006236409999999</c:v>
                </c:pt>
                <c:pt idx="49">
                  <c:v>0.50952321172488635</c:v>
                </c:pt>
                <c:pt idx="50">
                  <c:v>0.51969970740403648</c:v>
                </c:pt>
              </c:numCache>
            </c:numRef>
          </c:val>
          <c:extLst>
            <c:ext xmlns:c16="http://schemas.microsoft.com/office/drawing/2014/chart" uri="{C3380CC4-5D6E-409C-BE32-E72D297353CC}">
              <c16:uniqueId val="{00000002-22E4-44C0-B959-7FA32B45D1DA}"/>
            </c:ext>
          </c:extLst>
        </c:ser>
        <c:ser>
          <c:idx val="3"/>
          <c:order val="3"/>
          <c:tx>
            <c:strRef>
              <c:f>'sales &amp; stock, results'!$R$284</c:f>
              <c:strCache>
                <c:ptCount val="1"/>
                <c:pt idx="0">
                  <c:v>BEV</c:v>
                </c:pt>
              </c:strCache>
            </c:strRef>
          </c:tx>
          <c:spPr>
            <a:solidFill>
              <a:srgbClr val="FFC000"/>
            </a:solidFill>
            <a:ln>
              <a:noFill/>
            </a:ln>
            <a:effectLst/>
          </c:spPr>
          <c:invertIfNegative val="0"/>
          <c:cat>
            <c:numRef>
              <c:f>'sales &amp; stock, results'!$N$285:$N$335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results'!$R$285:$R$335</c:f>
              <c:numCache>
                <c:formatCode>General</c:formatCode>
                <c:ptCount val="51"/>
                <c:pt idx="0">
                  <c:v>1.2405553999999999E-3</c:v>
                </c:pt>
                <c:pt idx="1">
                  <c:v>6.4582200000000011E-4</c:v>
                </c:pt>
                <c:pt idx="2">
                  <c:v>3.9120799999999999E-4</c:v>
                </c:pt>
                <c:pt idx="3">
                  <c:v>3.0039199999999997E-4</c:v>
                </c:pt>
                <c:pt idx="4">
                  <c:v>1.4098E-4</c:v>
                </c:pt>
                <c:pt idx="5">
                  <c:v>1.15574E-4</c:v>
                </c:pt>
                <c:pt idx="6">
                  <c:v>1.33936E-4</c:v>
                </c:pt>
                <c:pt idx="7">
                  <c:v>1.29908E-4</c:v>
                </c:pt>
                <c:pt idx="8">
                  <c:v>2.0184102958213407E-4</c:v>
                </c:pt>
                <c:pt idx="9">
                  <c:v>1.365637434734782E-4</c:v>
                </c:pt>
                <c:pt idx="10">
                  <c:v>1.6907999999999998E-7</c:v>
                </c:pt>
                <c:pt idx="11">
                  <c:v>1.0092E-2</c:v>
                </c:pt>
                <c:pt idx="12">
                  <c:v>1.5214999999999999E-2</c:v>
                </c:pt>
                <c:pt idx="13">
                  <c:v>4.8093999999999991E-2</c:v>
                </c:pt>
                <c:pt idx="14">
                  <c:v>6.3524999999999998E-2</c:v>
                </c:pt>
                <c:pt idx="15">
                  <c:v>7.1271999999999988E-2</c:v>
                </c:pt>
                <c:pt idx="16">
                  <c:v>7.4559E-2</c:v>
                </c:pt>
                <c:pt idx="17">
                  <c:v>0.10809412700000001</c:v>
                </c:pt>
                <c:pt idx="18">
                  <c:v>0.2062639909986643</c:v>
                </c:pt>
                <c:pt idx="19">
                  <c:v>0.47052807899590626</c:v>
                </c:pt>
                <c:pt idx="20">
                  <c:v>0.60010338402931107</c:v>
                </c:pt>
                <c:pt idx="21">
                  <c:v>0.72053328799999994</c:v>
                </c:pt>
                <c:pt idx="22">
                  <c:v>0.78653958334689666</c:v>
                </c:pt>
                <c:pt idx="23">
                  <c:v>0.84303168698580433</c:v>
                </c:pt>
                <c:pt idx="24">
                  <c:v>0.9104365742038607</c:v>
                </c:pt>
                <c:pt idx="25">
                  <c:v>0.96317743400000011</c:v>
                </c:pt>
                <c:pt idx="26">
                  <c:v>0.96435133141438245</c:v>
                </c:pt>
                <c:pt idx="27">
                  <c:v>0.98460210799999981</c:v>
                </c:pt>
                <c:pt idx="28">
                  <c:v>1.0046942893954469</c:v>
                </c:pt>
                <c:pt idx="29">
                  <c:v>1.0510684839816726</c:v>
                </c:pt>
                <c:pt idx="30">
                  <c:v>1.1028249238856314</c:v>
                </c:pt>
                <c:pt idx="31">
                  <c:v>1.1799808869999999</c:v>
                </c:pt>
                <c:pt idx="32">
                  <c:v>1.2408028789813732</c:v>
                </c:pt>
                <c:pt idx="33">
                  <c:v>1.3190373816708192</c:v>
                </c:pt>
                <c:pt idx="34">
                  <c:v>1.4035237496836059</c:v>
                </c:pt>
                <c:pt idx="35">
                  <c:v>1.4824010019999998</c:v>
                </c:pt>
                <c:pt idx="36">
                  <c:v>1.5580049690216056</c:v>
                </c:pt>
                <c:pt idx="37">
                  <c:v>1.6238926432212235</c:v>
                </c:pt>
                <c:pt idx="38">
                  <c:v>1.6937806409769927</c:v>
                </c:pt>
                <c:pt idx="39">
                  <c:v>1.7582786009999998</c:v>
                </c:pt>
                <c:pt idx="40">
                  <c:v>1.8239356196515328</c:v>
                </c:pt>
                <c:pt idx="41">
                  <c:v>1.8727037591771596</c:v>
                </c:pt>
                <c:pt idx="42">
                  <c:v>1.9192781339999998</c:v>
                </c:pt>
                <c:pt idx="43">
                  <c:v>1.9669138839533049</c:v>
                </c:pt>
                <c:pt idx="44">
                  <c:v>2.0169014860000001</c:v>
                </c:pt>
                <c:pt idx="45">
                  <c:v>2.064250174680037</c:v>
                </c:pt>
                <c:pt idx="46">
                  <c:v>2.1140401882155002</c:v>
                </c:pt>
                <c:pt idx="47">
                  <c:v>2.1572341159999997</c:v>
                </c:pt>
                <c:pt idx="48">
                  <c:v>2.2006655380000009</c:v>
                </c:pt>
                <c:pt idx="49">
                  <c:v>2.247366279763495</c:v>
                </c:pt>
                <c:pt idx="50">
                  <c:v>2.2908152099103516</c:v>
                </c:pt>
              </c:numCache>
            </c:numRef>
          </c:val>
          <c:extLst>
            <c:ext xmlns:c16="http://schemas.microsoft.com/office/drawing/2014/chart" uri="{C3380CC4-5D6E-409C-BE32-E72D297353CC}">
              <c16:uniqueId val="{00000003-22E4-44C0-B959-7FA32B45D1DA}"/>
            </c:ext>
          </c:extLst>
        </c:ser>
        <c:ser>
          <c:idx val="4"/>
          <c:order val="4"/>
          <c:tx>
            <c:strRef>
              <c:f>'sales &amp; stock, results'!$S$284</c:f>
              <c:strCache>
                <c:ptCount val="1"/>
                <c:pt idx="0">
                  <c:v>FCV</c:v>
                </c:pt>
              </c:strCache>
            </c:strRef>
          </c:tx>
          <c:spPr>
            <a:solidFill>
              <a:schemeClr val="accent5"/>
            </a:solidFill>
            <a:ln>
              <a:noFill/>
            </a:ln>
            <a:effectLst/>
          </c:spPr>
          <c:invertIfNegative val="0"/>
          <c:cat>
            <c:numRef>
              <c:f>'sales &amp; stock, results'!$N$285:$N$335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results'!$S$285:$S$335</c:f>
              <c:numCache>
                <c:formatCode>General</c:formatCode>
                <c:ptCount val="5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5.5000000000000002E-5</c:v>
                </c:pt>
                <c:pt idx="15">
                  <c:v>1.5900000000000002E-4</c:v>
                </c:pt>
                <c:pt idx="16">
                  <c:v>1.0950000000000001E-3</c:v>
                </c:pt>
                <c:pt idx="17">
                  <c:v>2.924397E-3</c:v>
                </c:pt>
                <c:pt idx="18">
                  <c:v>5.2971259996872876E-3</c:v>
                </c:pt>
                <c:pt idx="19">
                  <c:v>1.0107050999398045E-2</c:v>
                </c:pt>
                <c:pt idx="20">
                  <c:v>1.7124991507911465E-2</c:v>
                </c:pt>
                <c:pt idx="21">
                  <c:v>3.0421301999999997E-2</c:v>
                </c:pt>
                <c:pt idx="22">
                  <c:v>4.4187033643157909E-2</c:v>
                </c:pt>
                <c:pt idx="23">
                  <c:v>4.597179599708609E-2</c:v>
                </c:pt>
                <c:pt idx="24">
                  <c:v>5.1642725382806537E-2</c:v>
                </c:pt>
                <c:pt idx="25">
                  <c:v>5.6163642999999999E-2</c:v>
                </c:pt>
                <c:pt idx="26">
                  <c:v>5.5667225235591984E-2</c:v>
                </c:pt>
                <c:pt idx="27">
                  <c:v>5.5188790999999994E-2</c:v>
                </c:pt>
                <c:pt idx="28">
                  <c:v>5.2102612297987995E-2</c:v>
                </c:pt>
                <c:pt idx="29">
                  <c:v>5.2340587996440341E-2</c:v>
                </c:pt>
                <c:pt idx="30">
                  <c:v>5.175214227405181E-2</c:v>
                </c:pt>
                <c:pt idx="31">
                  <c:v>5.1721523000000019E-2</c:v>
                </c:pt>
                <c:pt idx="32">
                  <c:v>4.7296613996754069E-2</c:v>
                </c:pt>
                <c:pt idx="33">
                  <c:v>4.6730009434130117E-2</c:v>
                </c:pt>
                <c:pt idx="34">
                  <c:v>4.6909993571405441E-2</c:v>
                </c:pt>
                <c:pt idx="35">
                  <c:v>4.6992439000000004E-2</c:v>
                </c:pt>
                <c:pt idx="36">
                  <c:v>4.7385187003285291E-2</c:v>
                </c:pt>
                <c:pt idx="37">
                  <c:v>4.6336580435098966E-2</c:v>
                </c:pt>
                <c:pt idx="38">
                  <c:v>4.6501592996779695E-2</c:v>
                </c:pt>
                <c:pt idx="39">
                  <c:v>4.6845375000000002E-2</c:v>
                </c:pt>
                <c:pt idx="40">
                  <c:v>4.7287826388225172E-2</c:v>
                </c:pt>
                <c:pt idx="41">
                  <c:v>5.2353238707346053E-2</c:v>
                </c:pt>
                <c:pt idx="42">
                  <c:v>4.7443767000000012E-2</c:v>
                </c:pt>
                <c:pt idx="43">
                  <c:v>4.7768316357319228E-2</c:v>
                </c:pt>
                <c:pt idx="44">
                  <c:v>4.8132102999999996E-2</c:v>
                </c:pt>
                <c:pt idx="45">
                  <c:v>4.8342358311988784E-2</c:v>
                </c:pt>
                <c:pt idx="46">
                  <c:v>4.8631467327504195E-2</c:v>
                </c:pt>
                <c:pt idx="47">
                  <c:v>4.8968666000000001E-2</c:v>
                </c:pt>
                <c:pt idx="48">
                  <c:v>4.9159572999999998E-2</c:v>
                </c:pt>
                <c:pt idx="49">
                  <c:v>4.9415618690307313E-2</c:v>
                </c:pt>
                <c:pt idx="50">
                  <c:v>4.9895304712035932E-2</c:v>
                </c:pt>
              </c:numCache>
            </c:numRef>
          </c:val>
          <c:extLst>
            <c:ext xmlns:c16="http://schemas.microsoft.com/office/drawing/2014/chart" uri="{C3380CC4-5D6E-409C-BE32-E72D297353CC}">
              <c16:uniqueId val="{00000004-22E4-44C0-B959-7FA32B45D1DA}"/>
            </c:ext>
          </c:extLst>
        </c:ser>
        <c:ser>
          <c:idx val="5"/>
          <c:order val="5"/>
          <c:tx>
            <c:strRef>
              <c:f>'sales &amp; stock, results'!$T$284</c:f>
              <c:strCache>
                <c:ptCount val="1"/>
                <c:pt idx="0">
                  <c:v>CNG etc</c:v>
                </c:pt>
              </c:strCache>
            </c:strRef>
          </c:tx>
          <c:spPr>
            <a:solidFill>
              <a:srgbClr val="00B0F0"/>
            </a:solidFill>
            <a:ln>
              <a:noFill/>
            </a:ln>
            <a:effectLst/>
          </c:spPr>
          <c:invertIfNegative val="0"/>
          <c:cat>
            <c:numRef>
              <c:f>'sales &amp; stock, results'!$N$285:$N$335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results'!$T$285:$T$335</c:f>
              <c:numCache>
                <c:formatCode>General</c:formatCode>
                <c:ptCount val="51"/>
                <c:pt idx="0">
                  <c:v>3.6638868000000005E-2</c:v>
                </c:pt>
                <c:pt idx="1">
                  <c:v>5.4880596000000004E-2</c:v>
                </c:pt>
                <c:pt idx="2">
                  <c:v>4.3399757999999997E-2</c:v>
                </c:pt>
                <c:pt idx="3">
                  <c:v>2.7413400000000001E-2</c:v>
                </c:pt>
                <c:pt idx="4">
                  <c:v>1.5634500000000003E-2</c:v>
                </c:pt>
                <c:pt idx="5">
                  <c:v>1.2032600000000001E-2</c:v>
                </c:pt>
                <c:pt idx="6">
                  <c:v>1.2455000000000001E-2</c:v>
                </c:pt>
                <c:pt idx="7">
                  <c:v>1.2086E-2</c:v>
                </c:pt>
                <c:pt idx="8">
                  <c:v>1.0363146158992762E-2</c:v>
                </c:pt>
                <c:pt idx="9">
                  <c:v>5.2360000000000011E-3</c:v>
                </c:pt>
                <c:pt idx="10">
                  <c:v>6.4580000000000002E-3</c:v>
                </c:pt>
                <c:pt idx="11">
                  <c:v>7.6676000000000001E-3</c:v>
                </c:pt>
                <c:pt idx="12">
                  <c:v>5.2188499999999997E-3</c:v>
                </c:pt>
                <c:pt idx="13">
                  <c:v>4.0663999999999995E-3</c:v>
                </c:pt>
                <c:pt idx="14">
                  <c:v>9.7999999999999997E-4</c:v>
                </c:pt>
                <c:pt idx="15">
                  <c:v>5.5329999999999997E-3</c:v>
                </c:pt>
                <c:pt idx="16">
                  <c:v>4.7590000000000002E-3</c:v>
                </c:pt>
                <c:pt idx="17">
                  <c:v>3.6487877999999994E-2</c:v>
                </c:pt>
                <c:pt idx="18">
                  <c:v>1.7436819998598023E-2</c:v>
                </c:pt>
                <c:pt idx="19">
                  <c:v>1.7502685998596178E-2</c:v>
                </c:pt>
                <c:pt idx="20">
                  <c:v>1.745843269064026E-2</c:v>
                </c:pt>
                <c:pt idx="21">
                  <c:v>1.7438575000000001E-2</c:v>
                </c:pt>
                <c:pt idx="22">
                  <c:v>1.7101864305514098E-2</c:v>
                </c:pt>
                <c:pt idx="23">
                  <c:v>1.7250421998563702E-2</c:v>
                </c:pt>
                <c:pt idx="24">
                  <c:v>1.7354957291920395E-2</c:v>
                </c:pt>
                <c:pt idx="25">
                  <c:v>1.7330730999999999E-2</c:v>
                </c:pt>
                <c:pt idx="26">
                  <c:v>1.7431051286268345E-2</c:v>
                </c:pt>
                <c:pt idx="27">
                  <c:v>1.7391957999999999E-2</c:v>
                </c:pt>
                <c:pt idx="28">
                  <c:v>1.7428565277395842E-2</c:v>
                </c:pt>
                <c:pt idx="29">
                  <c:v>1.7421765998507959E-2</c:v>
                </c:pt>
                <c:pt idx="30">
                  <c:v>1.7577026266971007E-2</c:v>
                </c:pt>
                <c:pt idx="31">
                  <c:v>1.7864889000000005E-2</c:v>
                </c:pt>
                <c:pt idx="32">
                  <c:v>1.7942887998470936E-2</c:v>
                </c:pt>
                <c:pt idx="33">
                  <c:v>1.8113792248247836E-2</c:v>
                </c:pt>
                <c:pt idx="34">
                  <c:v>1.8358315760427377E-2</c:v>
                </c:pt>
                <c:pt idx="35">
                  <c:v>1.8510144999999999E-2</c:v>
                </c:pt>
                <c:pt idx="36">
                  <c:v>1.864919700159513E-2</c:v>
                </c:pt>
                <c:pt idx="37">
                  <c:v>1.8855028212575609E-2</c:v>
                </c:pt>
                <c:pt idx="38">
                  <c:v>1.9077181998364976E-2</c:v>
                </c:pt>
                <c:pt idx="39">
                  <c:v>1.9257008999999999E-2</c:v>
                </c:pt>
                <c:pt idx="40">
                  <c:v>1.9480352175607278E-2</c:v>
                </c:pt>
                <c:pt idx="41">
                  <c:v>1.970208616483245E-2</c:v>
                </c:pt>
                <c:pt idx="42">
                  <c:v>1.9897643999999999E-2</c:v>
                </c:pt>
                <c:pt idx="43">
                  <c:v>2.0120625133156118E-2</c:v>
                </c:pt>
                <c:pt idx="44">
                  <c:v>2.0459282999999998E-2</c:v>
                </c:pt>
                <c:pt idx="45">
                  <c:v>2.0769414800526086E-2</c:v>
                </c:pt>
                <c:pt idx="46">
                  <c:v>2.1112840840420647E-2</c:v>
                </c:pt>
                <c:pt idx="47">
                  <c:v>2.1395484999999999E-2</c:v>
                </c:pt>
                <c:pt idx="48">
                  <c:v>2.1663386999999999E-2</c:v>
                </c:pt>
                <c:pt idx="49">
                  <c:v>2.2035797982228194E-2</c:v>
                </c:pt>
                <c:pt idx="50">
                  <c:v>2.2404454010688264E-2</c:v>
                </c:pt>
              </c:numCache>
            </c:numRef>
          </c:val>
          <c:extLst>
            <c:ext xmlns:c16="http://schemas.microsoft.com/office/drawing/2014/chart" uri="{C3380CC4-5D6E-409C-BE32-E72D297353CC}">
              <c16:uniqueId val="{00000005-22E4-44C0-B959-7FA32B45D1DA}"/>
            </c:ext>
          </c:extLst>
        </c:ser>
        <c:dLbls>
          <c:showLegendKey val="0"/>
          <c:showVal val="0"/>
          <c:showCatName val="0"/>
          <c:showSerName val="0"/>
          <c:showPercent val="0"/>
          <c:showBubbleSize val="0"/>
        </c:dLbls>
        <c:gapWidth val="150"/>
        <c:overlap val="100"/>
        <c:axId val="424815480"/>
        <c:axId val="424815872"/>
      </c:barChart>
      <c:catAx>
        <c:axId val="42481548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4815872"/>
        <c:crosses val="autoZero"/>
        <c:auto val="1"/>
        <c:lblAlgn val="ctr"/>
        <c:lblOffset val="100"/>
        <c:tickLblSkip val="5"/>
        <c:tickMarkSkip val="5"/>
        <c:noMultiLvlLbl val="0"/>
      </c:catAx>
      <c:valAx>
        <c:axId val="424815872"/>
        <c:scaling>
          <c:orientation val="minMax"/>
        </c:scaling>
        <c:delete val="0"/>
        <c:axPos val="l"/>
        <c:majorGridlines>
          <c:spPr>
            <a:ln w="9525" cap="flat" cmpd="sng" algn="ctr">
              <a:solidFill>
                <a:schemeClr val="tx1">
                  <a:lumMod val="15000"/>
                  <a:lumOff val="85000"/>
                </a:schemeClr>
              </a:solidFill>
              <a:prstDash val="dash"/>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4815480"/>
        <c:crosses val="autoZero"/>
        <c:crossBetween val="midCat"/>
      </c:valAx>
      <c:spPr>
        <a:noFill/>
        <a:ln>
          <a:noFill/>
        </a:ln>
        <a:effectLst/>
      </c:spPr>
    </c:plotArea>
    <c:legend>
      <c:legendPos val="r"/>
      <c:layout>
        <c:manualLayout>
          <c:xMode val="edge"/>
          <c:yMode val="edge"/>
          <c:x val="0.84780806282479693"/>
          <c:y val="0.27086164933107754"/>
          <c:w val="0.14891981232946946"/>
          <c:h val="0.5796790199926158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828738545273976"/>
          <c:y val="9.4767704959093438E-2"/>
          <c:w val="0.74531990252397695"/>
          <c:h val="0.6957577048272332"/>
        </c:manualLayout>
      </c:layout>
      <c:areaChart>
        <c:grouping val="stacked"/>
        <c:varyColors val="0"/>
        <c:ser>
          <c:idx val="0"/>
          <c:order val="0"/>
          <c:tx>
            <c:strRef>
              <c:f>'sales &amp; stock, results'!$AS$284</c:f>
              <c:strCache>
                <c:ptCount val="1"/>
                <c:pt idx="0">
                  <c:v>ICEV</c:v>
                </c:pt>
              </c:strCache>
            </c:strRef>
          </c:tx>
          <c:spPr>
            <a:solidFill>
              <a:srgbClr val="0000FF"/>
            </a:solidFill>
            <a:ln>
              <a:noFill/>
            </a:ln>
            <a:effectLst/>
          </c:spPr>
          <c:cat>
            <c:numRef>
              <c:f>'sales &amp; stock, results'!$AR$285:$AR$335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results'!$AS$285:$AS$335</c:f>
              <c:numCache>
                <c:formatCode>0.00</c:formatCode>
                <c:ptCount val="51"/>
                <c:pt idx="0">
                  <c:v>212.63411594050444</c:v>
                </c:pt>
                <c:pt idx="1">
                  <c:v>221.67014829638961</c:v>
                </c:pt>
                <c:pt idx="2">
                  <c:v>220.70208082115727</c:v>
                </c:pt>
                <c:pt idx="3">
                  <c:v>222.54926640491999</c:v>
                </c:pt>
                <c:pt idx="4">
                  <c:v>227.86280035056157</c:v>
                </c:pt>
                <c:pt idx="5">
                  <c:v>231.27041987464924</c:v>
                </c:pt>
                <c:pt idx="6">
                  <c:v>233.62354328650324</c:v>
                </c:pt>
                <c:pt idx="7">
                  <c:v>236.13121646417878</c:v>
                </c:pt>
                <c:pt idx="8">
                  <c:v>235.02584386761689</c:v>
                </c:pt>
                <c:pt idx="9">
                  <c:v>233.09067773088643</c:v>
                </c:pt>
                <c:pt idx="10">
                  <c:v>231.38510660994291</c:v>
                </c:pt>
                <c:pt idx="11">
                  <c:v>228.78559639982518</c:v>
                </c:pt>
                <c:pt idx="12">
                  <c:v>229.40952100190765</c:v>
                </c:pt>
                <c:pt idx="13">
                  <c:v>230.8062282784052</c:v>
                </c:pt>
                <c:pt idx="14">
                  <c:v>234.74431978207025</c:v>
                </c:pt>
                <c:pt idx="15">
                  <c:v>237.18489856728593</c:v>
                </c:pt>
                <c:pt idx="16">
                  <c:v>241.00689751668929</c:v>
                </c:pt>
                <c:pt idx="17">
                  <c:v>260.84007537436662</c:v>
                </c:pt>
                <c:pt idx="18">
                  <c:v>261.71786766422878</c:v>
                </c:pt>
                <c:pt idx="19">
                  <c:v>262.27842548476951</c:v>
                </c:pt>
                <c:pt idx="20">
                  <c:v>262.70451127694304</c:v>
                </c:pt>
                <c:pt idx="21">
                  <c:v>262.90764050648988</c:v>
                </c:pt>
                <c:pt idx="22">
                  <c:v>262.71939499940106</c:v>
                </c:pt>
                <c:pt idx="23">
                  <c:v>262.62523300073406</c:v>
                </c:pt>
                <c:pt idx="24">
                  <c:v>262.55099876750637</c:v>
                </c:pt>
                <c:pt idx="25">
                  <c:v>262.42469131803239</c:v>
                </c:pt>
                <c:pt idx="26">
                  <c:v>262.31543215270085</c:v>
                </c:pt>
                <c:pt idx="27">
                  <c:v>262.03951334146524</c:v>
                </c:pt>
                <c:pt idx="28">
                  <c:v>261.64194248311202</c:v>
                </c:pt>
                <c:pt idx="29">
                  <c:v>261.08149205897655</c:v>
                </c:pt>
                <c:pt idx="30">
                  <c:v>260.37066880271135</c:v>
                </c:pt>
                <c:pt idx="31">
                  <c:v>259.93513938136573</c:v>
                </c:pt>
                <c:pt idx="32">
                  <c:v>259.3445138459515</c:v>
                </c:pt>
                <c:pt idx="33">
                  <c:v>258.81730847437399</c:v>
                </c:pt>
                <c:pt idx="34">
                  <c:v>258.30849195334713</c:v>
                </c:pt>
                <c:pt idx="35">
                  <c:v>257.76639160171629</c:v>
                </c:pt>
                <c:pt idx="36">
                  <c:v>257.19068199286932</c:v>
                </c:pt>
                <c:pt idx="37">
                  <c:v>256.65217532989601</c:v>
                </c:pt>
                <c:pt idx="38">
                  <c:v>256.2617404185433</c:v>
                </c:pt>
                <c:pt idx="39">
                  <c:v>255.79260046812468</c:v>
                </c:pt>
                <c:pt idx="40">
                  <c:v>255.45705679007855</c:v>
                </c:pt>
                <c:pt idx="41">
                  <c:v>255.12707392947095</c:v>
                </c:pt>
                <c:pt idx="42">
                  <c:v>254.92707215638487</c:v>
                </c:pt>
                <c:pt idx="43">
                  <c:v>254.83210523513577</c:v>
                </c:pt>
                <c:pt idx="44">
                  <c:v>254.79272955471575</c:v>
                </c:pt>
                <c:pt idx="45">
                  <c:v>254.77359494724644</c:v>
                </c:pt>
                <c:pt idx="46">
                  <c:v>254.7676547196186</c:v>
                </c:pt>
                <c:pt idx="47">
                  <c:v>254.77746289393332</c:v>
                </c:pt>
                <c:pt idx="48">
                  <c:v>254.62246972941116</c:v>
                </c:pt>
                <c:pt idx="49">
                  <c:v>254.415649892945</c:v>
                </c:pt>
                <c:pt idx="50">
                  <c:v>254.14259549297353</c:v>
                </c:pt>
              </c:numCache>
            </c:numRef>
          </c:val>
          <c:extLst>
            <c:ext xmlns:c16="http://schemas.microsoft.com/office/drawing/2014/chart" uri="{C3380CC4-5D6E-409C-BE32-E72D297353CC}">
              <c16:uniqueId val="{00000000-640D-4A20-AC34-1C2165E3F24F}"/>
            </c:ext>
          </c:extLst>
        </c:ser>
        <c:ser>
          <c:idx val="1"/>
          <c:order val="1"/>
          <c:tx>
            <c:strRef>
              <c:f>'sales &amp; stock, results'!$AT$284</c:f>
              <c:strCache>
                <c:ptCount val="1"/>
                <c:pt idx="0">
                  <c:v>HEV</c:v>
                </c:pt>
              </c:strCache>
            </c:strRef>
          </c:tx>
          <c:spPr>
            <a:solidFill>
              <a:srgbClr val="FF0000"/>
            </a:solidFill>
            <a:ln>
              <a:noFill/>
            </a:ln>
            <a:effectLst/>
          </c:spPr>
          <c:cat>
            <c:numRef>
              <c:f>'sales &amp; stock, results'!$AR$285:$AR$335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results'!$AT$285:$AT$335</c:f>
              <c:numCache>
                <c:formatCode>0.00</c:formatCode>
                <c:ptCount val="51"/>
                <c:pt idx="0">
                  <c:v>8.9523461908214714E-3</c:v>
                </c:pt>
                <c:pt idx="1">
                  <c:v>2.9253605763437877E-2</c:v>
                </c:pt>
                <c:pt idx="2">
                  <c:v>6.4765017067931863E-2</c:v>
                </c:pt>
                <c:pt idx="3">
                  <c:v>0.11314193442552488</c:v>
                </c:pt>
                <c:pt idx="4">
                  <c:v>0.20111202379275075</c:v>
                </c:pt>
                <c:pt idx="5">
                  <c:v>0.41163723186061585</c:v>
                </c:pt>
                <c:pt idx="6">
                  <c:v>0.67112162513594631</c:v>
                </c:pt>
                <c:pt idx="7">
                  <c:v>1.0343818045997872</c:v>
                </c:pt>
                <c:pt idx="8">
                  <c:v>1.3827079898920474</c:v>
                </c:pt>
                <c:pt idx="9">
                  <c:v>1.703050686416695</c:v>
                </c:pt>
                <c:pt idx="10">
                  <c:v>1.9735894304812092</c:v>
                </c:pt>
                <c:pt idx="11">
                  <c:v>2.200296484595337</c:v>
                </c:pt>
                <c:pt idx="12">
                  <c:v>2.4482676064705973</c:v>
                </c:pt>
                <c:pt idx="13">
                  <c:v>2.9409803702765736</c:v>
                </c:pt>
                <c:pt idx="14">
                  <c:v>3.350938241814724</c:v>
                </c:pt>
                <c:pt idx="15">
                  <c:v>3.6409723854181841</c:v>
                </c:pt>
                <c:pt idx="16">
                  <c:v>3.9270354496966657</c:v>
                </c:pt>
                <c:pt idx="17">
                  <c:v>4.9113065892275714</c:v>
                </c:pt>
                <c:pt idx="18">
                  <c:v>5.4055902673734515</c:v>
                </c:pt>
                <c:pt idx="19">
                  <c:v>5.8796948062794563</c:v>
                </c:pt>
                <c:pt idx="20">
                  <c:v>6.3334839908460756</c:v>
                </c:pt>
                <c:pt idx="21">
                  <c:v>6.7618113560922009</c:v>
                </c:pt>
                <c:pt idx="22">
                  <c:v>7.1650070650972051</c:v>
                </c:pt>
                <c:pt idx="23">
                  <c:v>7.5707006305529321</c:v>
                </c:pt>
                <c:pt idx="24">
                  <c:v>7.9882871508220319</c:v>
                </c:pt>
                <c:pt idx="25">
                  <c:v>8.3922608386639457</c:v>
                </c:pt>
                <c:pt idx="26">
                  <c:v>8.7978817820365709</c:v>
                </c:pt>
                <c:pt idx="27">
                  <c:v>9.2057382052739332</c:v>
                </c:pt>
                <c:pt idx="28">
                  <c:v>9.6111097175711819</c:v>
                </c:pt>
                <c:pt idx="29">
                  <c:v>10.016026718421157</c:v>
                </c:pt>
                <c:pt idx="30">
                  <c:v>10.409079766456852</c:v>
                </c:pt>
                <c:pt idx="31">
                  <c:v>10.810498216341086</c:v>
                </c:pt>
                <c:pt idx="32">
                  <c:v>11.199552159154541</c:v>
                </c:pt>
                <c:pt idx="33">
                  <c:v>11.584410565926957</c:v>
                </c:pt>
                <c:pt idx="34">
                  <c:v>11.959846963625004</c:v>
                </c:pt>
                <c:pt idx="35">
                  <c:v>12.351137573642932</c:v>
                </c:pt>
                <c:pt idx="36">
                  <c:v>12.732150118981403</c:v>
                </c:pt>
                <c:pt idx="37">
                  <c:v>13.083703744783683</c:v>
                </c:pt>
                <c:pt idx="38">
                  <c:v>13.431519094897395</c:v>
                </c:pt>
                <c:pt idx="39">
                  <c:v>13.788318242101777</c:v>
                </c:pt>
                <c:pt idx="40">
                  <c:v>14.149106760106926</c:v>
                </c:pt>
                <c:pt idx="41">
                  <c:v>14.500659773944616</c:v>
                </c:pt>
                <c:pt idx="42">
                  <c:v>14.835128275509186</c:v>
                </c:pt>
                <c:pt idx="43">
                  <c:v>15.145744652917349</c:v>
                </c:pt>
                <c:pt idx="44">
                  <c:v>15.444668914144586</c:v>
                </c:pt>
                <c:pt idx="45">
                  <c:v>15.730309587936942</c:v>
                </c:pt>
                <c:pt idx="46">
                  <c:v>16.003029025640796</c:v>
                </c:pt>
                <c:pt idx="47">
                  <c:v>16.257860252642647</c:v>
                </c:pt>
                <c:pt idx="48">
                  <c:v>16.492044045572548</c:v>
                </c:pt>
                <c:pt idx="49">
                  <c:v>16.709158430332774</c:v>
                </c:pt>
                <c:pt idx="50">
                  <c:v>16.910921229024758</c:v>
                </c:pt>
              </c:numCache>
            </c:numRef>
          </c:val>
          <c:extLst>
            <c:ext xmlns:c16="http://schemas.microsoft.com/office/drawing/2014/chart" uri="{C3380CC4-5D6E-409C-BE32-E72D297353CC}">
              <c16:uniqueId val="{00000001-640D-4A20-AC34-1C2165E3F24F}"/>
            </c:ext>
          </c:extLst>
        </c:ser>
        <c:ser>
          <c:idx val="2"/>
          <c:order val="2"/>
          <c:tx>
            <c:strRef>
              <c:f>'sales &amp; stock, results'!$AU$284</c:f>
              <c:strCache>
                <c:ptCount val="1"/>
                <c:pt idx="0">
                  <c:v>PHEV</c:v>
                </c:pt>
              </c:strCache>
            </c:strRef>
          </c:tx>
          <c:spPr>
            <a:solidFill>
              <a:srgbClr val="7030A0"/>
            </a:solidFill>
            <a:ln>
              <a:noFill/>
            </a:ln>
            <a:effectLst/>
          </c:spPr>
          <c:cat>
            <c:numRef>
              <c:f>'sales &amp; stock, results'!$AR$285:$AR$335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results'!$AU$285:$AU$335</c:f>
              <c:numCache>
                <c:formatCode>0.00</c:formatCode>
                <c:ptCount val="51"/>
                <c:pt idx="0">
                  <c:v>0</c:v>
                </c:pt>
                <c:pt idx="1">
                  <c:v>0</c:v>
                </c:pt>
                <c:pt idx="2">
                  <c:v>0</c:v>
                </c:pt>
                <c:pt idx="3">
                  <c:v>0</c:v>
                </c:pt>
                <c:pt idx="4">
                  <c:v>0</c:v>
                </c:pt>
                <c:pt idx="5">
                  <c:v>0</c:v>
                </c:pt>
                <c:pt idx="6">
                  <c:v>0</c:v>
                </c:pt>
                <c:pt idx="7">
                  <c:v>0</c:v>
                </c:pt>
                <c:pt idx="8">
                  <c:v>0</c:v>
                </c:pt>
                <c:pt idx="9">
                  <c:v>0</c:v>
                </c:pt>
                <c:pt idx="10">
                  <c:v>3.2599192042758422E-4</c:v>
                </c:pt>
                <c:pt idx="11">
                  <c:v>1.1600636762876917E-3</c:v>
                </c:pt>
                <c:pt idx="12">
                  <c:v>3.8883125881687859E-2</c:v>
                </c:pt>
                <c:pt idx="13">
                  <c:v>8.950682464255641E-2</c:v>
                </c:pt>
                <c:pt idx="14">
                  <c:v>0.14635840686302529</c:v>
                </c:pt>
                <c:pt idx="15">
                  <c:v>0.18950048609807624</c:v>
                </c:pt>
                <c:pt idx="16">
                  <c:v>0.26705343859672348</c:v>
                </c:pt>
                <c:pt idx="17">
                  <c:v>0.41626534446243474</c:v>
                </c:pt>
                <c:pt idx="18">
                  <c:v>0.62418143432880413</c:v>
                </c:pt>
                <c:pt idx="19">
                  <c:v>0.85750594884522624</c:v>
                </c:pt>
                <c:pt idx="20">
                  <c:v>1.1140223769277418</c:v>
                </c:pt>
                <c:pt idx="21">
                  <c:v>1.40531866155082</c:v>
                </c:pt>
                <c:pt idx="22">
                  <c:v>1.7052983624601028</c:v>
                </c:pt>
                <c:pt idx="23">
                  <c:v>2.0054572400083988</c:v>
                </c:pt>
                <c:pt idx="24">
                  <c:v>2.3089795521848093</c:v>
                </c:pt>
                <c:pt idx="25">
                  <c:v>2.6155645680258837</c:v>
                </c:pt>
                <c:pt idx="26">
                  <c:v>2.9118413248701094</c:v>
                </c:pt>
                <c:pt idx="27">
                  <c:v>3.1992992647804757</c:v>
                </c:pt>
                <c:pt idx="28">
                  <c:v>3.4743794373663666</c:v>
                </c:pt>
                <c:pt idx="29">
                  <c:v>3.7490843380131902</c:v>
                </c:pt>
                <c:pt idx="30">
                  <c:v>4.0148144644647514</c:v>
                </c:pt>
                <c:pt idx="31">
                  <c:v>4.2744373611358295</c:v>
                </c:pt>
                <c:pt idx="32">
                  <c:v>4.5250477844219406</c:v>
                </c:pt>
                <c:pt idx="33">
                  <c:v>4.7627639446536678</c:v>
                </c:pt>
                <c:pt idx="34">
                  <c:v>4.9879325812689794</c:v>
                </c:pt>
                <c:pt idx="35">
                  <c:v>5.2132071514942648</c:v>
                </c:pt>
                <c:pt idx="36">
                  <c:v>5.4337089683477311</c:v>
                </c:pt>
                <c:pt idx="37">
                  <c:v>5.6457410225776208</c:v>
                </c:pt>
                <c:pt idx="38">
                  <c:v>5.8508497038227683</c:v>
                </c:pt>
                <c:pt idx="39">
                  <c:v>6.0556960197751017</c:v>
                </c:pt>
                <c:pt idx="40">
                  <c:v>6.2653694073628818</c:v>
                </c:pt>
                <c:pt idx="41">
                  <c:v>6.4662651562093494</c:v>
                </c:pt>
                <c:pt idx="42">
                  <c:v>6.6631817438961436</c:v>
                </c:pt>
                <c:pt idx="43">
                  <c:v>6.8474709645760647</c:v>
                </c:pt>
                <c:pt idx="44">
                  <c:v>7.0277996734609163</c:v>
                </c:pt>
                <c:pt idx="45">
                  <c:v>7.204190515420299</c:v>
                </c:pt>
                <c:pt idx="46">
                  <c:v>7.3768168786985617</c:v>
                </c:pt>
                <c:pt idx="47">
                  <c:v>7.5490784304159302</c:v>
                </c:pt>
                <c:pt idx="48">
                  <c:v>7.7200466295061787</c:v>
                </c:pt>
                <c:pt idx="49">
                  <c:v>7.8905874923092121</c:v>
                </c:pt>
                <c:pt idx="50">
                  <c:v>8.0624728988888155</c:v>
                </c:pt>
              </c:numCache>
            </c:numRef>
          </c:val>
          <c:extLst>
            <c:ext xmlns:c16="http://schemas.microsoft.com/office/drawing/2014/chart" uri="{C3380CC4-5D6E-409C-BE32-E72D297353CC}">
              <c16:uniqueId val="{00000002-640D-4A20-AC34-1C2165E3F24F}"/>
            </c:ext>
          </c:extLst>
        </c:ser>
        <c:ser>
          <c:idx val="3"/>
          <c:order val="3"/>
          <c:tx>
            <c:strRef>
              <c:f>'sales &amp; stock, results'!$AV$284</c:f>
              <c:strCache>
                <c:ptCount val="1"/>
                <c:pt idx="0">
                  <c:v>BEV</c:v>
                </c:pt>
              </c:strCache>
            </c:strRef>
          </c:tx>
          <c:spPr>
            <a:solidFill>
              <a:srgbClr val="FFC000"/>
            </a:solidFill>
            <a:ln>
              <a:noFill/>
            </a:ln>
            <a:effectLst/>
          </c:spPr>
          <c:cat>
            <c:numRef>
              <c:f>'sales &amp; stock, results'!$AR$285:$AR$335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results'!$AV$285:$AV$335</c:f>
              <c:numCache>
                <c:formatCode>0.00</c:formatCode>
                <c:ptCount val="51"/>
                <c:pt idx="0">
                  <c:v>4.5801044433882668E-3</c:v>
                </c:pt>
                <c:pt idx="1">
                  <c:v>5.3023024877554455E-3</c:v>
                </c:pt>
                <c:pt idx="2">
                  <c:v>5.4989481073954068E-3</c:v>
                </c:pt>
                <c:pt idx="3">
                  <c:v>5.6315688687732963E-3</c:v>
                </c:pt>
                <c:pt idx="4">
                  <c:v>5.6676213787692099E-3</c:v>
                </c:pt>
                <c:pt idx="5">
                  <c:v>5.5846541915338301E-3</c:v>
                </c:pt>
                <c:pt idx="6">
                  <c:v>5.4991098578788993E-3</c:v>
                </c:pt>
                <c:pt idx="7">
                  <c:v>5.3828079676238169E-3</c:v>
                </c:pt>
                <c:pt idx="8">
                  <c:v>5.287593212023706E-3</c:v>
                </c:pt>
                <c:pt idx="9">
                  <c:v>5.2180871572252664E-3</c:v>
                </c:pt>
                <c:pt idx="10">
                  <c:v>4.9786613827328399E-3</c:v>
                </c:pt>
                <c:pt idx="11">
                  <c:v>1.5728299136980282E-2</c:v>
                </c:pt>
                <c:pt idx="12">
                  <c:v>2.9322254087632879E-2</c:v>
                </c:pt>
                <c:pt idx="13">
                  <c:v>7.8258004051102614E-2</c:v>
                </c:pt>
                <c:pt idx="14">
                  <c:v>0.14319719950472998</c:v>
                </c:pt>
                <c:pt idx="15">
                  <c:v>0.21423832190556641</c:v>
                </c:pt>
                <c:pt idx="16">
                  <c:v>0.29501448071836378</c:v>
                </c:pt>
                <c:pt idx="17">
                  <c:v>0.4669279364918274</c:v>
                </c:pt>
                <c:pt idx="18">
                  <c:v>0.71069689630059563</c:v>
                </c:pt>
                <c:pt idx="19">
                  <c:v>1.2702551187839861</c:v>
                </c:pt>
                <c:pt idx="20">
                  <c:v>1.9843031700483591</c:v>
                </c:pt>
                <c:pt idx="21">
                  <c:v>2.8412153369488728</c:v>
                </c:pt>
                <c:pt idx="22">
                  <c:v>3.7725283746458786</c:v>
                </c:pt>
                <c:pt idx="23">
                  <c:v>4.7591095961446914</c:v>
                </c:pt>
                <c:pt idx="24">
                  <c:v>5.8065796431853798</c:v>
                </c:pt>
                <c:pt idx="25">
                  <c:v>6.8883527402195384</c:v>
                </c:pt>
                <c:pt idx="26">
                  <c:v>7.9299429838905509</c:v>
                </c:pt>
                <c:pt idx="27">
                  <c:v>8.9437177664102023</c:v>
                </c:pt>
                <c:pt idx="28">
                  <c:v>9.9180632789720651</c:v>
                </c:pt>
                <c:pt idx="29">
                  <c:v>10.882829439555865</c:v>
                </c:pt>
                <c:pt idx="30">
                  <c:v>11.840962755160248</c:v>
                </c:pt>
                <c:pt idx="31">
                  <c:v>12.824487367337712</c:v>
                </c:pt>
                <c:pt idx="32">
                  <c:v>13.808713586475953</c:v>
                </c:pt>
                <c:pt idx="33">
                  <c:v>14.805936583310253</c:v>
                </c:pt>
                <c:pt idx="34">
                  <c:v>15.816846332320349</c:v>
                </c:pt>
                <c:pt idx="35">
                  <c:v>16.874833524357214</c:v>
                </c:pt>
                <c:pt idx="36">
                  <c:v>17.951237715299555</c:v>
                </c:pt>
                <c:pt idx="37">
                  <c:v>19.048160873815348</c:v>
                </c:pt>
                <c:pt idx="38">
                  <c:v>20.16970408969846</c:v>
                </c:pt>
                <c:pt idx="39">
                  <c:v>21.309564935126122</c:v>
                </c:pt>
                <c:pt idx="40">
                  <c:v>22.463881773837809</c:v>
                </c:pt>
                <c:pt idx="41">
                  <c:v>23.601899610799446</c:v>
                </c:pt>
                <c:pt idx="42">
                  <c:v>24.747483893579634</c:v>
                </c:pt>
                <c:pt idx="43">
                  <c:v>25.868867865203391</c:v>
                </c:pt>
                <c:pt idx="44">
                  <c:v>26.947031395146702</c:v>
                </c:pt>
                <c:pt idx="45">
                  <c:v>28.000348350597459</c:v>
                </c:pt>
                <c:pt idx="46">
                  <c:v>29.033647344002279</c:v>
                </c:pt>
                <c:pt idx="47">
                  <c:v>30.047070351602827</c:v>
                </c:pt>
                <c:pt idx="48">
                  <c:v>31.045136077479789</c:v>
                </c:pt>
                <c:pt idx="49">
                  <c:v>32.03026125577793</c:v>
                </c:pt>
                <c:pt idx="50">
                  <c:v>33.001547671351851</c:v>
                </c:pt>
              </c:numCache>
            </c:numRef>
          </c:val>
          <c:extLst>
            <c:ext xmlns:c16="http://schemas.microsoft.com/office/drawing/2014/chart" uri="{C3380CC4-5D6E-409C-BE32-E72D297353CC}">
              <c16:uniqueId val="{00000003-640D-4A20-AC34-1C2165E3F24F}"/>
            </c:ext>
          </c:extLst>
        </c:ser>
        <c:ser>
          <c:idx val="4"/>
          <c:order val="4"/>
          <c:tx>
            <c:strRef>
              <c:f>'sales &amp; stock, results'!$AW$284</c:f>
              <c:strCache>
                <c:ptCount val="1"/>
                <c:pt idx="0">
                  <c:v>FCV</c:v>
                </c:pt>
              </c:strCache>
            </c:strRef>
          </c:tx>
          <c:spPr>
            <a:solidFill>
              <a:schemeClr val="accent5"/>
            </a:solidFill>
            <a:ln>
              <a:noFill/>
            </a:ln>
            <a:effectLst/>
          </c:spPr>
          <c:cat>
            <c:numRef>
              <c:f>'sales &amp; stock, results'!$AR$285:$AR$335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results'!$AW$285:$AW$335</c:f>
              <c:numCache>
                <c:formatCode>0.00</c:formatCode>
                <c:ptCount val="5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6.6026477415461203E-5</c:v>
                </c:pt>
                <c:pt idx="15">
                  <c:v>2.428546854303997E-4</c:v>
                </c:pt>
                <c:pt idx="16">
                  <c:v>1.3606945993309232E-3</c:v>
                </c:pt>
                <c:pt idx="17">
                  <c:v>5.0732411099781933E-3</c:v>
                </c:pt>
                <c:pt idx="18">
                  <c:v>1.144680580456774E-2</c:v>
                </c:pt>
                <c:pt idx="19">
                  <c:v>2.36156765549114E-2</c:v>
                </c:pt>
                <c:pt idx="20">
                  <c:v>4.4213280011721381E-2</c:v>
                </c:pt>
                <c:pt idx="21">
                  <c:v>8.0786233836978555E-2</c:v>
                </c:pt>
                <c:pt idx="22">
                  <c:v>0.13391707151067156</c:v>
                </c:pt>
                <c:pt idx="23">
                  <c:v>0.18900721503108123</c:v>
                </c:pt>
                <c:pt idx="24">
                  <c:v>0.25048352215207237</c:v>
                </c:pt>
                <c:pt idx="25">
                  <c:v>0.3166428562406649</c:v>
                </c:pt>
                <c:pt idx="26">
                  <c:v>0.38061844983835974</c:v>
                </c:pt>
                <c:pt idx="27">
                  <c:v>0.44168563616107448</c:v>
                </c:pt>
                <c:pt idx="28">
                  <c:v>0.49613656044087395</c:v>
                </c:pt>
                <c:pt idx="29">
                  <c:v>0.54786359963404885</c:v>
                </c:pt>
                <c:pt idx="30">
                  <c:v>0.59520812702097592</c:v>
                </c:pt>
                <c:pt idx="31">
                  <c:v>0.63934837662535549</c:v>
                </c:pt>
                <c:pt idx="32">
                  <c:v>0.67427537163427809</c:v>
                </c:pt>
                <c:pt idx="33">
                  <c:v>0.70420538356494977</c:v>
                </c:pt>
                <c:pt idx="34">
                  <c:v>0.72991535521843764</c:v>
                </c:pt>
                <c:pt idx="35">
                  <c:v>0.75358077400876766</c:v>
                </c:pt>
                <c:pt idx="36">
                  <c:v>0.77485131652861683</c:v>
                </c:pt>
                <c:pt idx="37">
                  <c:v>0.7920308352598221</c:v>
                </c:pt>
                <c:pt idx="38">
                  <c:v>0.80738834414006622</c:v>
                </c:pt>
                <c:pt idx="39">
                  <c:v>0.82110671416781422</c:v>
                </c:pt>
                <c:pt idx="40">
                  <c:v>0.83398148109338122</c:v>
                </c:pt>
                <c:pt idx="41">
                  <c:v>0.85070754612206834</c:v>
                </c:pt>
                <c:pt idx="42">
                  <c:v>0.8598619781621013</c:v>
                </c:pt>
                <c:pt idx="43">
                  <c:v>0.86787688493172666</c:v>
                </c:pt>
                <c:pt idx="44">
                  <c:v>0.87443953205108782</c:v>
                </c:pt>
                <c:pt idx="45">
                  <c:v>0.8793739062377125</c:v>
                </c:pt>
                <c:pt idx="46">
                  <c:v>0.88216711773891254</c:v>
                </c:pt>
                <c:pt idx="47">
                  <c:v>0.88345826520057247</c:v>
                </c:pt>
                <c:pt idx="48">
                  <c:v>0.88466900607299159</c:v>
                </c:pt>
                <c:pt idx="49">
                  <c:v>0.88549293988545741</c:v>
                </c:pt>
                <c:pt idx="50">
                  <c:v>0.88649238052202683</c:v>
                </c:pt>
              </c:numCache>
            </c:numRef>
          </c:val>
          <c:extLst>
            <c:ext xmlns:c16="http://schemas.microsoft.com/office/drawing/2014/chart" uri="{C3380CC4-5D6E-409C-BE32-E72D297353CC}">
              <c16:uniqueId val="{00000004-640D-4A20-AC34-1C2165E3F24F}"/>
            </c:ext>
          </c:extLst>
        </c:ser>
        <c:ser>
          <c:idx val="5"/>
          <c:order val="5"/>
          <c:tx>
            <c:strRef>
              <c:f>'sales &amp; stock, results'!$AX$284</c:f>
              <c:strCache>
                <c:ptCount val="1"/>
                <c:pt idx="0">
                  <c:v>CNG etc</c:v>
                </c:pt>
              </c:strCache>
            </c:strRef>
          </c:tx>
          <c:spPr>
            <a:solidFill>
              <a:srgbClr val="00B0F0"/>
            </a:solidFill>
            <a:ln>
              <a:noFill/>
            </a:ln>
            <a:effectLst/>
          </c:spPr>
          <c:cat>
            <c:numRef>
              <c:f>'sales &amp; stock, results'!$AR$285:$AR$335</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'sales &amp; stock, results'!$AX$285:$AX$335</c:f>
              <c:numCache>
                <c:formatCode>0.00</c:formatCode>
                <c:ptCount val="51"/>
                <c:pt idx="0">
                  <c:v>5.8750608664319498E-2</c:v>
                </c:pt>
                <c:pt idx="1">
                  <c:v>0.11639879537421693</c:v>
                </c:pt>
                <c:pt idx="2">
                  <c:v>0.1596372133989607</c:v>
                </c:pt>
                <c:pt idx="3">
                  <c:v>0.18852409159253955</c:v>
                </c:pt>
                <c:pt idx="4">
                  <c:v>0.20639800448434106</c:v>
                </c:pt>
                <c:pt idx="5">
                  <c:v>0.21728024021109341</c:v>
                </c:pt>
                <c:pt idx="6">
                  <c:v>0.22455597810387884</c:v>
                </c:pt>
                <c:pt idx="7">
                  <c:v>0.23156392351121793</c:v>
                </c:pt>
                <c:pt idx="8">
                  <c:v>0.23649254909604306</c:v>
                </c:pt>
                <c:pt idx="9">
                  <c:v>0.23434949536823024</c:v>
                </c:pt>
                <c:pt idx="10">
                  <c:v>0.2305603060073462</c:v>
                </c:pt>
                <c:pt idx="11">
                  <c:v>0.22502575245149625</c:v>
                </c:pt>
                <c:pt idx="12">
                  <c:v>0.21089647840781606</c:v>
                </c:pt>
                <c:pt idx="13">
                  <c:v>0.20514152221999793</c:v>
                </c:pt>
                <c:pt idx="14">
                  <c:v>0.19457434316437747</c:v>
                </c:pt>
                <c:pt idx="15">
                  <c:v>0.18692438455024873</c:v>
                </c:pt>
                <c:pt idx="16">
                  <c:v>0.17957541972902419</c:v>
                </c:pt>
                <c:pt idx="17">
                  <c:v>0.22530232885639712</c:v>
                </c:pt>
                <c:pt idx="18">
                  <c:v>0.23075633467690373</c:v>
                </c:pt>
                <c:pt idx="19">
                  <c:v>0.23647028883918711</c:v>
                </c:pt>
                <c:pt idx="20">
                  <c:v>0.24214389543676454</c:v>
                </c:pt>
                <c:pt idx="21">
                  <c:v>0.24787321959532096</c:v>
                </c:pt>
                <c:pt idx="22">
                  <c:v>0.25302285044278827</c:v>
                </c:pt>
                <c:pt idx="23">
                  <c:v>0.25764313594808075</c:v>
                </c:pt>
                <c:pt idx="24">
                  <c:v>0.26120170422920186</c:v>
                </c:pt>
                <c:pt idx="25">
                  <c:v>0.26275942968531685</c:v>
                </c:pt>
                <c:pt idx="26">
                  <c:v>0.26294361687629164</c:v>
                </c:pt>
                <c:pt idx="27">
                  <c:v>0.26546542250762178</c:v>
                </c:pt>
                <c:pt idx="28">
                  <c:v>0.2704080776656887</c:v>
                </c:pt>
                <c:pt idx="29">
                  <c:v>0.276716247297075</c:v>
                </c:pt>
                <c:pt idx="30">
                  <c:v>0.28296242133483751</c:v>
                </c:pt>
                <c:pt idx="31">
                  <c:v>0.28908379971255865</c:v>
                </c:pt>
                <c:pt idx="32">
                  <c:v>0.29458122195448594</c:v>
                </c:pt>
                <c:pt idx="33">
                  <c:v>0.29958439068671394</c:v>
                </c:pt>
                <c:pt idx="34">
                  <c:v>0.30451121884075105</c:v>
                </c:pt>
                <c:pt idx="35">
                  <c:v>0.30920622098550293</c:v>
                </c:pt>
                <c:pt idx="36">
                  <c:v>0.31334850692739102</c:v>
                </c:pt>
                <c:pt idx="37">
                  <c:v>0.31760835085098349</c:v>
                </c:pt>
                <c:pt idx="38">
                  <c:v>0.3220789380303844</c:v>
                </c:pt>
                <c:pt idx="39">
                  <c:v>0.32687847070949677</c:v>
                </c:pt>
                <c:pt idx="40">
                  <c:v>0.3314720868035998</c:v>
                </c:pt>
                <c:pt idx="41">
                  <c:v>0.33616247247387027</c:v>
                </c:pt>
                <c:pt idx="42">
                  <c:v>0.3365273695481969</c:v>
                </c:pt>
                <c:pt idx="43">
                  <c:v>0.34001479064414142</c:v>
                </c:pt>
                <c:pt idx="44">
                  <c:v>0.34370596637170214</c:v>
                </c:pt>
                <c:pt idx="45">
                  <c:v>0.34759257338280519</c:v>
                </c:pt>
                <c:pt idx="46">
                  <c:v>0.35173906936213251</c:v>
                </c:pt>
                <c:pt idx="47">
                  <c:v>0.35618828569435557</c:v>
                </c:pt>
                <c:pt idx="48">
                  <c:v>0.36067627425103688</c:v>
                </c:pt>
                <c:pt idx="49">
                  <c:v>0.36539120184072782</c:v>
                </c:pt>
                <c:pt idx="50">
                  <c:v>0.37036472747344956</c:v>
                </c:pt>
              </c:numCache>
            </c:numRef>
          </c:val>
          <c:extLst>
            <c:ext xmlns:c16="http://schemas.microsoft.com/office/drawing/2014/chart" uri="{C3380CC4-5D6E-409C-BE32-E72D297353CC}">
              <c16:uniqueId val="{00000005-640D-4A20-AC34-1C2165E3F24F}"/>
            </c:ext>
          </c:extLst>
        </c:ser>
        <c:dLbls>
          <c:showLegendKey val="0"/>
          <c:showVal val="0"/>
          <c:showCatName val="0"/>
          <c:showSerName val="0"/>
          <c:showPercent val="0"/>
          <c:showBubbleSize val="0"/>
        </c:dLbls>
        <c:axId val="427220736"/>
        <c:axId val="427222304"/>
      </c:areaChart>
      <c:catAx>
        <c:axId val="4272207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7222304"/>
        <c:crosses val="autoZero"/>
        <c:auto val="1"/>
        <c:lblAlgn val="ctr"/>
        <c:lblOffset val="100"/>
        <c:tickLblSkip val="5"/>
        <c:tickMarkSkip val="5"/>
        <c:noMultiLvlLbl val="0"/>
      </c:catAx>
      <c:valAx>
        <c:axId val="427222304"/>
        <c:scaling>
          <c:orientation val="minMax"/>
        </c:scaling>
        <c:delete val="0"/>
        <c:axPos val="l"/>
        <c:majorGridlines>
          <c:spPr>
            <a:ln w="9525" cap="flat" cmpd="sng" algn="ctr">
              <a:solidFill>
                <a:schemeClr val="tx1">
                  <a:lumMod val="15000"/>
                  <a:lumOff val="85000"/>
                </a:schemeClr>
              </a:solidFill>
              <a:prstDash val="dash"/>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7220736"/>
        <c:crosses val="autoZero"/>
        <c:crossBetween val="midCat"/>
      </c:valAx>
      <c:spPr>
        <a:noFill/>
        <a:ln>
          <a:noFill/>
        </a:ln>
        <a:effectLst/>
      </c:spPr>
    </c:plotArea>
    <c:legend>
      <c:legendPos val="r"/>
      <c:layout>
        <c:manualLayout>
          <c:xMode val="edge"/>
          <c:yMode val="edge"/>
          <c:x val="0.85091837721758978"/>
          <c:y val="0.17749685860237796"/>
          <c:w val="0.14908167434259398"/>
          <c:h val="0.5994783228943522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86933250990685"/>
          <c:y val="4.164685682706485E-2"/>
          <c:w val="0.73479697390767329"/>
          <c:h val="0.76468694828629935"/>
        </c:manualLayout>
      </c:layout>
      <c:areaChart>
        <c:grouping val="stacked"/>
        <c:varyColors val="0"/>
        <c:ser>
          <c:idx val="0"/>
          <c:order val="0"/>
          <c:tx>
            <c:strRef>
              <c:f>'LDV C &amp; Energy by Vehicle Tech'!$B$147</c:f>
              <c:strCache>
                <c:ptCount val="1"/>
                <c:pt idx="0">
                  <c:v>ICEV</c:v>
                </c:pt>
              </c:strCache>
            </c:strRef>
          </c:tx>
          <c:spPr>
            <a:solidFill>
              <a:srgbClr val="0432FF"/>
            </a:solidFill>
            <a:ln>
              <a:noFill/>
            </a:ln>
            <a:effectLst/>
          </c:spPr>
          <c:cat>
            <c:numRef>
              <c:f>'LDV C &amp; Energy by Vehicle Tech'!$A$148:$A$198</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'LDV C &amp; Energy by Vehicle Tech'!$B$148:$B$198</c:f>
              <c:numCache>
                <c:formatCode>0.000</c:formatCode>
                <c:ptCount val="51"/>
                <c:pt idx="0">
                  <c:v>1644.2302172443869</c:v>
                </c:pt>
                <c:pt idx="1">
                  <c:v>1651.1966543041976</c:v>
                </c:pt>
                <c:pt idx="2">
                  <c:v>1688.0218758714034</c:v>
                </c:pt>
                <c:pt idx="3">
                  <c:v>1738.3799042594721</c:v>
                </c:pt>
                <c:pt idx="4">
                  <c:v>1764.3251724580141</c:v>
                </c:pt>
                <c:pt idx="5">
                  <c:v>1724.9832689075986</c:v>
                </c:pt>
                <c:pt idx="6">
                  <c:v>1708.7163949717969</c:v>
                </c:pt>
                <c:pt idx="7">
                  <c:v>1671.4435691987876</c:v>
                </c:pt>
                <c:pt idx="8">
                  <c:v>1582.1923573920733</c:v>
                </c:pt>
                <c:pt idx="9">
                  <c:v>1586.771030907795</c:v>
                </c:pt>
                <c:pt idx="10">
                  <c:v>1511.6171975184345</c:v>
                </c:pt>
                <c:pt idx="11">
                  <c:v>1543.978905076445</c:v>
                </c:pt>
                <c:pt idx="12">
                  <c:v>1474.7159334889056</c:v>
                </c:pt>
                <c:pt idx="13">
                  <c:v>1464.3052716909006</c:v>
                </c:pt>
                <c:pt idx="14">
                  <c:v>1530.0251447436035</c:v>
                </c:pt>
                <c:pt idx="15">
                  <c:v>1497.3658138335759</c:v>
                </c:pt>
                <c:pt idx="16">
                  <c:v>1511.9475469448919</c:v>
                </c:pt>
                <c:pt idx="17">
                  <c:v>1577.9418816925295</c:v>
                </c:pt>
                <c:pt idx="18">
                  <c:v>1568.1336591449942</c:v>
                </c:pt>
                <c:pt idx="19">
                  <c:v>1552.4116834836777</c:v>
                </c:pt>
                <c:pt idx="20">
                  <c:v>1528.821829274654</c:v>
                </c:pt>
                <c:pt idx="21">
                  <c:v>1498.9426290699</c:v>
                </c:pt>
                <c:pt idx="22">
                  <c:v>1468.6255124417728</c:v>
                </c:pt>
                <c:pt idx="23">
                  <c:v>1433.8516656034171</c:v>
                </c:pt>
                <c:pt idx="24">
                  <c:v>1397.2288499322774</c:v>
                </c:pt>
                <c:pt idx="25">
                  <c:v>1360.6226509504941</c:v>
                </c:pt>
                <c:pt idx="26">
                  <c:v>1331.1017470065224</c:v>
                </c:pt>
                <c:pt idx="27">
                  <c:v>1304.6606797236323</c:v>
                </c:pt>
                <c:pt idx="28">
                  <c:v>1280.2561534275944</c:v>
                </c:pt>
                <c:pt idx="29">
                  <c:v>1256.7712126245472</c:v>
                </c:pt>
                <c:pt idx="30">
                  <c:v>1235.9204152621362</c:v>
                </c:pt>
                <c:pt idx="31">
                  <c:v>1214.9614756020185</c:v>
                </c:pt>
                <c:pt idx="32">
                  <c:v>1195.7893699073788</c:v>
                </c:pt>
                <c:pt idx="33">
                  <c:v>1177.99852937174</c:v>
                </c:pt>
                <c:pt idx="34">
                  <c:v>1160.9599711274302</c:v>
                </c:pt>
                <c:pt idx="35">
                  <c:v>1144.8703529838556</c:v>
                </c:pt>
                <c:pt idx="36">
                  <c:v>1132.8047462284756</c:v>
                </c:pt>
                <c:pt idx="37">
                  <c:v>1123.0027095902572</c:v>
                </c:pt>
                <c:pt idx="38">
                  <c:v>1114.4644343650864</c:v>
                </c:pt>
                <c:pt idx="39">
                  <c:v>1107.3448884721877</c:v>
                </c:pt>
                <c:pt idx="40">
                  <c:v>1101.6427238712643</c:v>
                </c:pt>
                <c:pt idx="41">
                  <c:v>1093.0382696534168</c:v>
                </c:pt>
                <c:pt idx="42">
                  <c:v>1084.6344687277933</c:v>
                </c:pt>
                <c:pt idx="43">
                  <c:v>1078.094787864215</c:v>
                </c:pt>
                <c:pt idx="44">
                  <c:v>1072.3606852086714</c:v>
                </c:pt>
                <c:pt idx="45">
                  <c:v>1066.4759808419849</c:v>
                </c:pt>
                <c:pt idx="46">
                  <c:v>1061.0447470262066</c:v>
                </c:pt>
                <c:pt idx="47">
                  <c:v>1055.7590802625841</c:v>
                </c:pt>
                <c:pt idx="48">
                  <c:v>1051.3836527277892</c:v>
                </c:pt>
                <c:pt idx="49">
                  <c:v>1047.0412555288794</c:v>
                </c:pt>
                <c:pt idx="50">
                  <c:v>1043.7229191196318</c:v>
                </c:pt>
              </c:numCache>
            </c:numRef>
          </c:val>
          <c:extLst>
            <c:ext xmlns:c16="http://schemas.microsoft.com/office/drawing/2014/chart" uri="{C3380CC4-5D6E-409C-BE32-E72D297353CC}">
              <c16:uniqueId val="{00000000-36BC-4D2F-AE12-39BDB99B8318}"/>
            </c:ext>
          </c:extLst>
        </c:ser>
        <c:ser>
          <c:idx val="1"/>
          <c:order val="1"/>
          <c:tx>
            <c:strRef>
              <c:f>'LDV C &amp; Energy by Vehicle Tech'!$C$147</c:f>
              <c:strCache>
                <c:ptCount val="1"/>
                <c:pt idx="0">
                  <c:v>HEV</c:v>
                </c:pt>
              </c:strCache>
            </c:strRef>
          </c:tx>
          <c:spPr>
            <a:solidFill>
              <a:srgbClr val="FF0000"/>
            </a:solidFill>
            <a:ln>
              <a:noFill/>
            </a:ln>
            <a:effectLst/>
          </c:spPr>
          <c:cat>
            <c:numRef>
              <c:f>'LDV C &amp; Energy by Vehicle Tech'!$A$148:$A$198</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'LDV C &amp; Energy by Vehicle Tech'!$C$148:$C$198</c:f>
              <c:numCache>
                <c:formatCode>0.000</c:formatCode>
                <c:ptCount val="51"/>
                <c:pt idx="0">
                  <c:v>0.29111876789551949</c:v>
                </c:pt>
                <c:pt idx="1">
                  <c:v>0.57729575484866569</c:v>
                </c:pt>
                <c:pt idx="2">
                  <c:v>0.88645960319348605</c:v>
                </c:pt>
                <c:pt idx="3">
                  <c:v>1.5673685920278211</c:v>
                </c:pt>
                <c:pt idx="4">
                  <c:v>3.6407167955542818</c:v>
                </c:pt>
                <c:pt idx="5">
                  <c:v>5.3393204506836165</c:v>
                </c:pt>
                <c:pt idx="6">
                  <c:v>7.5486483605602812</c:v>
                </c:pt>
                <c:pt idx="7">
                  <c:v>8.6851725218876545</c:v>
                </c:pt>
                <c:pt idx="8">
                  <c:v>9.3035360741395792</c:v>
                </c:pt>
                <c:pt idx="9">
                  <c:v>10.189828333553978</c:v>
                </c:pt>
                <c:pt idx="10">
                  <c:v>10.812236312222858</c:v>
                </c:pt>
                <c:pt idx="11">
                  <c:v>14.064729657105595</c:v>
                </c:pt>
                <c:pt idx="12">
                  <c:v>16.120920673382301</c:v>
                </c:pt>
                <c:pt idx="13">
                  <c:v>17.255047011513444</c:v>
                </c:pt>
                <c:pt idx="14">
                  <c:v>18.102868873078236</c:v>
                </c:pt>
                <c:pt idx="15">
                  <c:v>18.725505530602025</c:v>
                </c:pt>
                <c:pt idx="16">
                  <c:v>20.533607545201338</c:v>
                </c:pt>
                <c:pt idx="17">
                  <c:v>22.909427467443074</c:v>
                </c:pt>
                <c:pt idx="18">
                  <c:v>24.251142001738089</c:v>
                </c:pt>
                <c:pt idx="19">
                  <c:v>25.464321275279318</c:v>
                </c:pt>
                <c:pt idx="20">
                  <c:v>26.393264500495746</c:v>
                </c:pt>
                <c:pt idx="21">
                  <c:v>27.231835059455626</c:v>
                </c:pt>
                <c:pt idx="22">
                  <c:v>28.171102251744731</c:v>
                </c:pt>
                <c:pt idx="23">
                  <c:v>29.044345834303549</c:v>
                </c:pt>
                <c:pt idx="24">
                  <c:v>29.711560471008049</c:v>
                </c:pt>
                <c:pt idx="25">
                  <c:v>30.403454769876227</c:v>
                </c:pt>
                <c:pt idx="26">
                  <c:v>31.261034462036591</c:v>
                </c:pt>
                <c:pt idx="27">
                  <c:v>32.167895175149653</c:v>
                </c:pt>
                <c:pt idx="28">
                  <c:v>33.124114341002183</c:v>
                </c:pt>
                <c:pt idx="29">
                  <c:v>34.075890669021369</c:v>
                </c:pt>
                <c:pt idx="30">
                  <c:v>35.092063474363108</c:v>
                </c:pt>
                <c:pt idx="31">
                  <c:v>35.978871230719719</c:v>
                </c:pt>
                <c:pt idx="32">
                  <c:v>36.849701847386719</c:v>
                </c:pt>
                <c:pt idx="33">
                  <c:v>37.706323115556081</c:v>
                </c:pt>
                <c:pt idx="34">
                  <c:v>38.474093935094487</c:v>
                </c:pt>
                <c:pt idx="35">
                  <c:v>39.249711966592514</c:v>
                </c:pt>
                <c:pt idx="36">
                  <c:v>40.076835986597189</c:v>
                </c:pt>
                <c:pt idx="37">
                  <c:v>40.844540591549574</c:v>
                </c:pt>
                <c:pt idx="38">
                  <c:v>41.646557250177594</c:v>
                </c:pt>
                <c:pt idx="39">
                  <c:v>42.526461640246566</c:v>
                </c:pt>
                <c:pt idx="40">
                  <c:v>43.419693977658333</c:v>
                </c:pt>
                <c:pt idx="41">
                  <c:v>44.302053805275904</c:v>
                </c:pt>
                <c:pt idx="42">
                  <c:v>45.046224789636177</c:v>
                </c:pt>
                <c:pt idx="43">
                  <c:v>45.793902399677492</c:v>
                </c:pt>
                <c:pt idx="44">
                  <c:v>46.506026362416556</c:v>
                </c:pt>
                <c:pt idx="45">
                  <c:v>47.175919109785276</c:v>
                </c:pt>
                <c:pt idx="46">
                  <c:v>47.787207562159793</c:v>
                </c:pt>
                <c:pt idx="47">
                  <c:v>48.350794421226858</c:v>
                </c:pt>
                <c:pt idx="48">
                  <c:v>48.904627123845984</c:v>
                </c:pt>
                <c:pt idx="49">
                  <c:v>49.412133044754036</c:v>
                </c:pt>
                <c:pt idx="50">
                  <c:v>49.961531463265018</c:v>
                </c:pt>
              </c:numCache>
            </c:numRef>
          </c:val>
          <c:extLst>
            <c:ext xmlns:c16="http://schemas.microsoft.com/office/drawing/2014/chart" uri="{C3380CC4-5D6E-409C-BE32-E72D297353CC}">
              <c16:uniqueId val="{00000001-36BC-4D2F-AE12-39BDB99B8318}"/>
            </c:ext>
          </c:extLst>
        </c:ser>
        <c:ser>
          <c:idx val="2"/>
          <c:order val="2"/>
          <c:tx>
            <c:strRef>
              <c:f>'LDV C &amp; Energy by Vehicle Tech'!$D$147</c:f>
              <c:strCache>
                <c:ptCount val="1"/>
                <c:pt idx="0">
                  <c:v>PHEV</c:v>
                </c:pt>
              </c:strCache>
            </c:strRef>
          </c:tx>
          <c:spPr>
            <a:solidFill>
              <a:srgbClr val="7030A0"/>
            </a:solidFill>
            <a:ln>
              <a:noFill/>
            </a:ln>
            <a:effectLst/>
          </c:spPr>
          <c:cat>
            <c:numRef>
              <c:f>'LDV C &amp; Energy by Vehicle Tech'!$A$148:$A$198</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'LDV C &amp; Energy by Vehicle Tech'!$D$148:$D$198</c:f>
              <c:numCache>
                <c:formatCode>0.000</c:formatCode>
                <c:ptCount val="51"/>
                <c:pt idx="0">
                  <c:v>0</c:v>
                </c:pt>
                <c:pt idx="1">
                  <c:v>0</c:v>
                </c:pt>
                <c:pt idx="2">
                  <c:v>0</c:v>
                </c:pt>
                <c:pt idx="3">
                  <c:v>0</c:v>
                </c:pt>
                <c:pt idx="4">
                  <c:v>0</c:v>
                </c:pt>
                <c:pt idx="5">
                  <c:v>0</c:v>
                </c:pt>
                <c:pt idx="6">
                  <c:v>0</c:v>
                </c:pt>
                <c:pt idx="7">
                  <c:v>0</c:v>
                </c:pt>
                <c:pt idx="8">
                  <c:v>0</c:v>
                </c:pt>
                <c:pt idx="9">
                  <c:v>4.0979079623718545E-3</c:v>
                </c:pt>
                <c:pt idx="10">
                  <c:v>1.1900876995975907E-2</c:v>
                </c:pt>
                <c:pt idx="11">
                  <c:v>0.52941042641597558</c:v>
                </c:pt>
                <c:pt idx="12">
                  <c:v>0.85837271721319819</c:v>
                </c:pt>
                <c:pt idx="13">
                  <c:v>1.1246028977235198</c:v>
                </c:pt>
                <c:pt idx="14">
                  <c:v>1.180194401508821</c:v>
                </c:pt>
                <c:pt idx="15">
                  <c:v>1.7609393525013588</c:v>
                </c:pt>
                <c:pt idx="16">
                  <c:v>2.4113665806384401</c:v>
                </c:pt>
                <c:pt idx="17">
                  <c:v>3.9987633810228242</c:v>
                </c:pt>
                <c:pt idx="18">
                  <c:v>5.1549706237878388</c:v>
                </c:pt>
                <c:pt idx="19">
                  <c:v>6.3920609683265077</c:v>
                </c:pt>
                <c:pt idx="20">
                  <c:v>7.8199204906001887</c:v>
                </c:pt>
                <c:pt idx="21">
                  <c:v>9.2482076442385104</c:v>
                </c:pt>
                <c:pt idx="22">
                  <c:v>10.620937747205037</c:v>
                </c:pt>
                <c:pt idx="23">
                  <c:v>11.971557085792956</c:v>
                </c:pt>
                <c:pt idx="24">
                  <c:v>13.297035844049592</c:v>
                </c:pt>
                <c:pt idx="25">
                  <c:v>14.434947059953458</c:v>
                </c:pt>
                <c:pt idx="26">
                  <c:v>15.575493707322922</c:v>
                </c:pt>
                <c:pt idx="27">
                  <c:v>16.66314944352051</c:v>
                </c:pt>
                <c:pt idx="28">
                  <c:v>17.809679996855468</c:v>
                </c:pt>
                <c:pt idx="29">
                  <c:v>18.869775814314</c:v>
                </c:pt>
                <c:pt idx="30">
                  <c:v>19.88952208201529</c:v>
                </c:pt>
                <c:pt idx="31">
                  <c:v>20.824626928616532</c:v>
                </c:pt>
                <c:pt idx="32">
                  <c:v>21.716204663608124</c:v>
                </c:pt>
                <c:pt idx="33">
                  <c:v>22.556260941862831</c:v>
                </c:pt>
                <c:pt idx="34">
                  <c:v>23.317603515104544</c:v>
                </c:pt>
                <c:pt idx="35">
                  <c:v>24.074430819062044</c:v>
                </c:pt>
                <c:pt idx="36">
                  <c:v>24.86426364358692</c:v>
                </c:pt>
                <c:pt idx="37">
                  <c:v>25.589139718388097</c:v>
                </c:pt>
                <c:pt idx="38">
                  <c:v>26.349523608188399</c:v>
                </c:pt>
                <c:pt idx="39">
                  <c:v>27.143795131900298</c:v>
                </c:pt>
                <c:pt idx="40">
                  <c:v>27.935302324408049</c:v>
                </c:pt>
                <c:pt idx="41">
                  <c:v>28.681515380941295</c:v>
                </c:pt>
                <c:pt idx="42">
                  <c:v>29.318550547131231</c:v>
                </c:pt>
                <c:pt idx="43">
                  <c:v>29.959634246175376</c:v>
                </c:pt>
                <c:pt idx="44">
                  <c:v>30.596525473637904</c:v>
                </c:pt>
                <c:pt idx="45">
                  <c:v>31.241981374236268</c:v>
                </c:pt>
                <c:pt idx="46">
                  <c:v>31.877394104274696</c:v>
                </c:pt>
                <c:pt idx="47">
                  <c:v>32.526533835564884</c:v>
                </c:pt>
                <c:pt idx="48">
                  <c:v>33.20713176810608</c:v>
                </c:pt>
                <c:pt idx="49">
                  <c:v>33.924711227055489</c:v>
                </c:pt>
                <c:pt idx="50">
                  <c:v>34.659312437352625</c:v>
                </c:pt>
              </c:numCache>
            </c:numRef>
          </c:val>
          <c:extLst>
            <c:ext xmlns:c16="http://schemas.microsoft.com/office/drawing/2014/chart" uri="{C3380CC4-5D6E-409C-BE32-E72D297353CC}">
              <c16:uniqueId val="{00000002-36BC-4D2F-AE12-39BDB99B8318}"/>
            </c:ext>
          </c:extLst>
        </c:ser>
        <c:ser>
          <c:idx val="3"/>
          <c:order val="3"/>
          <c:tx>
            <c:strRef>
              <c:f>'LDV C &amp; Energy by Vehicle Tech'!$E$147</c:f>
              <c:strCache>
                <c:ptCount val="1"/>
                <c:pt idx="0">
                  <c:v>BEV</c:v>
                </c:pt>
              </c:strCache>
            </c:strRef>
          </c:tx>
          <c:spPr>
            <a:solidFill>
              <a:schemeClr val="accent4"/>
            </a:solidFill>
            <a:ln>
              <a:noFill/>
            </a:ln>
            <a:effectLst/>
          </c:spPr>
          <c:cat>
            <c:numRef>
              <c:f>'LDV C &amp; Energy by Vehicle Tech'!$A$148:$A$198</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'LDV C &amp; Energy by Vehicle Tech'!$E$148:$E$198</c:f>
              <c:numCache>
                <c:formatCode>0.000</c:formatCode>
                <c:ptCount val="51"/>
                <c:pt idx="0">
                  <c:v>4.1570370463400785E-2</c:v>
                </c:pt>
                <c:pt idx="1">
                  <c:v>3.9207084015908084E-2</c:v>
                </c:pt>
                <c:pt idx="2">
                  <c:v>3.8403349018066003E-2</c:v>
                </c:pt>
                <c:pt idx="3">
                  <c:v>3.6643923874665744E-2</c:v>
                </c:pt>
                <c:pt idx="4">
                  <c:v>3.5284217246793426E-2</c:v>
                </c:pt>
                <c:pt idx="5">
                  <c:v>3.2489146509332434E-2</c:v>
                </c:pt>
                <c:pt idx="6">
                  <c:v>3.0446813550510148E-2</c:v>
                </c:pt>
                <c:pt idx="7">
                  <c:v>2.9754469474343338E-2</c:v>
                </c:pt>
                <c:pt idx="8">
                  <c:v>2.6694412213035389E-2</c:v>
                </c:pt>
                <c:pt idx="9">
                  <c:v>2.3181003309766642E-2</c:v>
                </c:pt>
                <c:pt idx="10">
                  <c:v>0.17856019727594918</c:v>
                </c:pt>
                <c:pt idx="11">
                  <c:v>0.3015895522297749</c:v>
                </c:pt>
                <c:pt idx="12">
                  <c:v>0.85272658335593099</c:v>
                </c:pt>
                <c:pt idx="13">
                  <c:v>1.2863265560545376</c:v>
                </c:pt>
                <c:pt idx="14">
                  <c:v>1.6727325734926306</c:v>
                </c:pt>
                <c:pt idx="15">
                  <c:v>2.0131407619790984</c:v>
                </c:pt>
                <c:pt idx="16">
                  <c:v>2.6500135304459933</c:v>
                </c:pt>
                <c:pt idx="17">
                  <c:v>4.404053410081568</c:v>
                </c:pt>
                <c:pt idx="18">
                  <c:v>8.7063650696422012</c:v>
                </c:pt>
                <c:pt idx="19">
                  <c:v>11.950078439866919</c:v>
                </c:pt>
                <c:pt idx="20">
                  <c:v>15.298629570350972</c:v>
                </c:pt>
                <c:pt idx="21">
                  <c:v>18.542174058755897</c:v>
                </c:pt>
                <c:pt idx="22">
                  <c:v>21.684099502630716</c:v>
                </c:pt>
                <c:pt idx="23">
                  <c:v>24.971506390154872</c:v>
                </c:pt>
                <c:pt idx="24">
                  <c:v>28.102063745702747</c:v>
                </c:pt>
                <c:pt idx="25">
                  <c:v>30.487198553895297</c:v>
                </c:pt>
                <c:pt idx="26">
                  <c:v>33.074018253887459</c:v>
                </c:pt>
                <c:pt idx="27">
                  <c:v>35.583227559813935</c:v>
                </c:pt>
                <c:pt idx="28">
                  <c:v>38.319177434474852</c:v>
                </c:pt>
                <c:pt idx="29">
                  <c:v>41.080916242417743</c:v>
                </c:pt>
                <c:pt idx="30">
                  <c:v>44.106526751191055</c:v>
                </c:pt>
                <c:pt idx="31">
                  <c:v>46.777031530947902</c:v>
                </c:pt>
                <c:pt idx="32">
                  <c:v>49.619855288880615</c:v>
                </c:pt>
                <c:pt idx="33">
                  <c:v>52.512609448677907</c:v>
                </c:pt>
                <c:pt idx="34">
                  <c:v>55.320437794585715</c:v>
                </c:pt>
                <c:pt idx="35">
                  <c:v>58.125269684054864</c:v>
                </c:pt>
                <c:pt idx="36">
                  <c:v>60.89735592316913</c:v>
                </c:pt>
                <c:pt idx="37">
                  <c:v>63.736546833758524</c:v>
                </c:pt>
                <c:pt idx="38">
                  <c:v>66.555728771487694</c:v>
                </c:pt>
                <c:pt idx="39">
                  <c:v>69.441663772391891</c:v>
                </c:pt>
                <c:pt idx="40">
                  <c:v>72.108634629047287</c:v>
                </c:pt>
                <c:pt idx="41">
                  <c:v>74.859142327597155</c:v>
                </c:pt>
                <c:pt idx="42">
                  <c:v>77.442427039172287</c:v>
                </c:pt>
                <c:pt idx="43">
                  <c:v>79.995671359651254</c:v>
                </c:pt>
                <c:pt idx="44">
                  <c:v>82.401247272711615</c:v>
                </c:pt>
                <c:pt idx="45">
                  <c:v>84.759396371220902</c:v>
                </c:pt>
                <c:pt idx="46">
                  <c:v>86.875577947038863</c:v>
                </c:pt>
                <c:pt idx="47">
                  <c:v>88.931873519295863</c:v>
                </c:pt>
                <c:pt idx="48">
                  <c:v>90.982514685494621</c:v>
                </c:pt>
                <c:pt idx="49">
                  <c:v>92.943349632559546</c:v>
                </c:pt>
                <c:pt idx="50">
                  <c:v>94.658926668822204</c:v>
                </c:pt>
              </c:numCache>
            </c:numRef>
          </c:val>
          <c:extLst>
            <c:ext xmlns:c16="http://schemas.microsoft.com/office/drawing/2014/chart" uri="{C3380CC4-5D6E-409C-BE32-E72D297353CC}">
              <c16:uniqueId val="{00000003-36BC-4D2F-AE12-39BDB99B8318}"/>
            </c:ext>
          </c:extLst>
        </c:ser>
        <c:ser>
          <c:idx val="4"/>
          <c:order val="4"/>
          <c:tx>
            <c:strRef>
              <c:f>'LDV C &amp; Energy by Vehicle Tech'!$F$147</c:f>
              <c:strCache>
                <c:ptCount val="1"/>
                <c:pt idx="0">
                  <c:v>FCV</c:v>
                </c:pt>
              </c:strCache>
            </c:strRef>
          </c:tx>
          <c:spPr>
            <a:solidFill>
              <a:schemeClr val="accent5"/>
            </a:solidFill>
            <a:ln>
              <a:noFill/>
            </a:ln>
            <a:effectLst/>
          </c:spPr>
          <c:cat>
            <c:numRef>
              <c:f>'LDV C &amp; Energy by Vehicle Tech'!$A$148:$A$198</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'LDV C &amp; Energy by Vehicle Tech'!$F$148:$F$198</c:f>
              <c:numCache>
                <c:formatCode>0.000</c:formatCode>
                <c:ptCount val="51"/>
                <c:pt idx="0">
                  <c:v>0</c:v>
                </c:pt>
                <c:pt idx="1">
                  <c:v>0</c:v>
                </c:pt>
                <c:pt idx="2">
                  <c:v>0</c:v>
                </c:pt>
                <c:pt idx="3">
                  <c:v>0</c:v>
                </c:pt>
                <c:pt idx="4">
                  <c:v>0</c:v>
                </c:pt>
                <c:pt idx="5">
                  <c:v>0</c:v>
                </c:pt>
                <c:pt idx="6">
                  <c:v>0</c:v>
                </c:pt>
                <c:pt idx="7">
                  <c:v>0</c:v>
                </c:pt>
                <c:pt idx="8">
                  <c:v>0</c:v>
                </c:pt>
                <c:pt idx="9">
                  <c:v>0</c:v>
                </c:pt>
                <c:pt idx="10">
                  <c:v>0</c:v>
                </c:pt>
                <c:pt idx="11">
                  <c:v>0</c:v>
                </c:pt>
                <c:pt idx="12">
                  <c:v>0</c:v>
                </c:pt>
                <c:pt idx="13">
                  <c:v>8.9224896059197467E-4</c:v>
                </c:pt>
                <c:pt idx="14">
                  <c:v>2.5724409404197543E-3</c:v>
                </c:pt>
                <c:pt idx="15">
                  <c:v>1.463463404819661E-2</c:v>
                </c:pt>
                <c:pt idx="16">
                  <c:v>4.4035034776088167E-2</c:v>
                </c:pt>
                <c:pt idx="17">
                  <c:v>8.7544820345864444E-2</c:v>
                </c:pt>
                <c:pt idx="18">
                  <c:v>0.1726444265519588</c:v>
                </c:pt>
                <c:pt idx="19">
                  <c:v>0.30293256660720008</c:v>
                </c:pt>
                <c:pt idx="20">
                  <c:v>0.5385312507249691</c:v>
                </c:pt>
                <c:pt idx="21">
                  <c:v>0.83734623115606688</c:v>
                </c:pt>
                <c:pt idx="22">
                  <c:v>1.0322310551730034</c:v>
                </c:pt>
                <c:pt idx="23">
                  <c:v>1.2770761711591807</c:v>
                </c:pt>
                <c:pt idx="24">
                  <c:v>1.5212437712187274</c:v>
                </c:pt>
                <c:pt idx="25">
                  <c:v>1.7130925019823937</c:v>
                </c:pt>
                <c:pt idx="26">
                  <c:v>1.9016169462598793</c:v>
                </c:pt>
                <c:pt idx="27">
                  <c:v>2.0527373498590982</c:v>
                </c:pt>
                <c:pt idx="28">
                  <c:v>2.2213967116898652</c:v>
                </c:pt>
                <c:pt idx="29">
                  <c:v>2.376898019074154</c:v>
                </c:pt>
                <c:pt idx="30">
                  <c:v>2.519250385251615</c:v>
                </c:pt>
                <c:pt idx="31">
                  <c:v>2.5858294012270449</c:v>
                </c:pt>
                <c:pt idx="32">
                  <c:v>2.6690864384075108</c:v>
                </c:pt>
                <c:pt idx="33">
                  <c:v>2.7433088123736136</c:v>
                </c:pt>
                <c:pt idx="34">
                  <c:v>2.8051073232096071</c:v>
                </c:pt>
                <c:pt idx="35">
                  <c:v>2.863088403025098</c:v>
                </c:pt>
                <c:pt idx="36">
                  <c:v>2.9033613774887517</c:v>
                </c:pt>
                <c:pt idx="37">
                  <c:v>2.9452177847398406</c:v>
                </c:pt>
                <c:pt idx="38">
                  <c:v>2.9876548937389638</c:v>
                </c:pt>
                <c:pt idx="39">
                  <c:v>3.0301464996456726</c:v>
                </c:pt>
                <c:pt idx="40">
                  <c:v>3.1237178879870218</c:v>
                </c:pt>
                <c:pt idx="41">
                  <c:v>3.1102332804934307</c:v>
                </c:pt>
                <c:pt idx="42">
                  <c:v>3.124069172790211</c:v>
                </c:pt>
                <c:pt idx="43">
                  <c:v>3.134760339992364</c:v>
                </c:pt>
                <c:pt idx="44">
                  <c:v>3.1409664405763733</c:v>
                </c:pt>
                <c:pt idx="45">
                  <c:v>3.1458689637043777</c:v>
                </c:pt>
                <c:pt idx="46">
                  <c:v>3.1481773792653294</c:v>
                </c:pt>
                <c:pt idx="47">
                  <c:v>3.1463730885047934</c:v>
                </c:pt>
                <c:pt idx="48">
                  <c:v>3.1474042647814011</c:v>
                </c:pt>
                <c:pt idx="49">
                  <c:v>3.1498321103689557</c:v>
                </c:pt>
                <c:pt idx="50">
                  <c:v>3.1431206345278602</c:v>
                </c:pt>
              </c:numCache>
            </c:numRef>
          </c:val>
          <c:extLst>
            <c:ext xmlns:c16="http://schemas.microsoft.com/office/drawing/2014/chart" uri="{C3380CC4-5D6E-409C-BE32-E72D297353CC}">
              <c16:uniqueId val="{00000004-36BC-4D2F-AE12-39BDB99B8318}"/>
            </c:ext>
          </c:extLst>
        </c:ser>
        <c:ser>
          <c:idx val="5"/>
          <c:order val="5"/>
          <c:tx>
            <c:strRef>
              <c:f>'LDV C &amp; Energy by Vehicle Tech'!$G$147</c:f>
              <c:strCache>
                <c:ptCount val="1"/>
                <c:pt idx="0">
                  <c:v>CNG etc</c:v>
                </c:pt>
              </c:strCache>
            </c:strRef>
          </c:tx>
          <c:spPr>
            <a:solidFill>
              <a:srgbClr val="00B0F0"/>
            </a:solidFill>
            <a:ln>
              <a:noFill/>
            </a:ln>
            <a:effectLst/>
          </c:spPr>
          <c:cat>
            <c:numRef>
              <c:f>'LDV C &amp; Energy by Vehicle Tech'!$A$148:$A$198</c:f>
              <c:numCache>
                <c:formatCode>General</c:formatCode>
                <c:ptCount val="5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pt idx="26">
                  <c:v>2026</c:v>
                </c:pt>
                <c:pt idx="27">
                  <c:v>2027</c:v>
                </c:pt>
                <c:pt idx="28">
                  <c:v>2028</c:v>
                </c:pt>
                <c:pt idx="29">
                  <c:v>2029</c:v>
                </c:pt>
                <c:pt idx="30">
                  <c:v>2030</c:v>
                </c:pt>
                <c:pt idx="31">
                  <c:v>2031</c:v>
                </c:pt>
                <c:pt idx="32">
                  <c:v>2032</c:v>
                </c:pt>
                <c:pt idx="33">
                  <c:v>2033</c:v>
                </c:pt>
                <c:pt idx="34">
                  <c:v>2034</c:v>
                </c:pt>
                <c:pt idx="35">
                  <c:v>2035</c:v>
                </c:pt>
                <c:pt idx="36">
                  <c:v>2036</c:v>
                </c:pt>
                <c:pt idx="37">
                  <c:v>2037</c:v>
                </c:pt>
                <c:pt idx="38">
                  <c:v>2038</c:v>
                </c:pt>
                <c:pt idx="39">
                  <c:v>2039</c:v>
                </c:pt>
                <c:pt idx="40">
                  <c:v>2040</c:v>
                </c:pt>
                <c:pt idx="41">
                  <c:v>2041</c:v>
                </c:pt>
                <c:pt idx="42">
                  <c:v>2042</c:v>
                </c:pt>
                <c:pt idx="43">
                  <c:v>2043</c:v>
                </c:pt>
                <c:pt idx="44">
                  <c:v>2044</c:v>
                </c:pt>
                <c:pt idx="45">
                  <c:v>2045</c:v>
                </c:pt>
                <c:pt idx="46">
                  <c:v>2046</c:v>
                </c:pt>
                <c:pt idx="47">
                  <c:v>2047</c:v>
                </c:pt>
                <c:pt idx="48">
                  <c:v>2048</c:v>
                </c:pt>
                <c:pt idx="49">
                  <c:v>2049</c:v>
                </c:pt>
                <c:pt idx="50">
                  <c:v>2050</c:v>
                </c:pt>
              </c:numCache>
            </c:numRef>
          </c:cat>
          <c:val>
            <c:numRef>
              <c:f>'LDV C &amp; Energy by Vehicle Tech'!$G$148:$G$198</c:f>
              <c:numCache>
                <c:formatCode>0.000</c:formatCode>
                <c:ptCount val="51"/>
                <c:pt idx="0">
                  <c:v>1.13606292651992</c:v>
                </c:pt>
                <c:pt idx="1">
                  <c:v>1.2865987363945015</c:v>
                </c:pt>
                <c:pt idx="2">
                  <c:v>1.3506629000562851</c:v>
                </c:pt>
                <c:pt idx="3">
                  <c:v>1.3436536767691585</c:v>
                </c:pt>
                <c:pt idx="4">
                  <c:v>1.3896798652519549</c:v>
                </c:pt>
                <c:pt idx="5">
                  <c:v>1.4359368184813606</c:v>
                </c:pt>
                <c:pt idx="6">
                  <c:v>1.4362656972590364</c:v>
                </c:pt>
                <c:pt idx="7">
                  <c:v>1.4117251892822689</c:v>
                </c:pt>
                <c:pt idx="8">
                  <c:v>1.2895773908638206</c:v>
                </c:pt>
                <c:pt idx="9">
                  <c:v>1.2835164130508698</c:v>
                </c:pt>
                <c:pt idx="10">
                  <c:v>1.2338106226817136</c:v>
                </c:pt>
                <c:pt idx="11">
                  <c:v>1.2013722493048729</c:v>
                </c:pt>
                <c:pt idx="12">
                  <c:v>1.0517323396735412</c:v>
                </c:pt>
                <c:pt idx="13">
                  <c:v>0.94131118424314764</c:v>
                </c:pt>
                <c:pt idx="14">
                  <c:v>0.95572610595235963</c:v>
                </c:pt>
                <c:pt idx="15">
                  <c:v>0.85897424079024454</c:v>
                </c:pt>
                <c:pt idx="16">
                  <c:v>1.2074737333746226</c:v>
                </c:pt>
                <c:pt idx="17">
                  <c:v>1.1450856155976137</c:v>
                </c:pt>
                <c:pt idx="18">
                  <c:v>1.183016623777704</c:v>
                </c:pt>
                <c:pt idx="19">
                  <c:v>1.2108782699940155</c:v>
                </c:pt>
                <c:pt idx="20">
                  <c:v>1.2325678736022376</c:v>
                </c:pt>
                <c:pt idx="21">
                  <c:v>1.2496445829643907</c:v>
                </c:pt>
                <c:pt idx="22">
                  <c:v>1.2622020848636215</c:v>
                </c:pt>
                <c:pt idx="23">
                  <c:v>1.2670571411457563</c:v>
                </c:pt>
                <c:pt idx="24">
                  <c:v>1.2628724026704261</c:v>
                </c:pt>
                <c:pt idx="25">
                  <c:v>1.2518969757892269</c:v>
                </c:pt>
                <c:pt idx="26">
                  <c:v>1.2406755657285193</c:v>
                </c:pt>
                <c:pt idx="27">
                  <c:v>1.2395154245047808</c:v>
                </c:pt>
                <c:pt idx="28">
                  <c:v>1.2445198967274589</c:v>
                </c:pt>
                <c:pt idx="29">
                  <c:v>1.2531471843009552</c:v>
                </c:pt>
                <c:pt idx="30">
                  <c:v>1.2653421418133521</c:v>
                </c:pt>
                <c:pt idx="31">
                  <c:v>1.2735127007684803</c:v>
                </c:pt>
                <c:pt idx="32">
                  <c:v>1.2816457625671409</c:v>
                </c:pt>
                <c:pt idx="33">
                  <c:v>1.2891374566380747</c:v>
                </c:pt>
                <c:pt idx="34">
                  <c:v>1.2959988215813771</c:v>
                </c:pt>
                <c:pt idx="35">
                  <c:v>1.302173494090942</c:v>
                </c:pt>
                <c:pt idx="36">
                  <c:v>1.3105004078782074</c:v>
                </c:pt>
                <c:pt idx="37">
                  <c:v>1.3214108031925376</c:v>
                </c:pt>
                <c:pt idx="38">
                  <c:v>1.333506918931318</c:v>
                </c:pt>
                <c:pt idx="39">
                  <c:v>1.3485111986897458</c:v>
                </c:pt>
                <c:pt idx="40">
                  <c:v>1.3636685926823304</c:v>
                </c:pt>
                <c:pt idx="41">
                  <c:v>1.3769816968182338</c:v>
                </c:pt>
                <c:pt idx="42">
                  <c:v>1.3743386459221538</c:v>
                </c:pt>
                <c:pt idx="43">
                  <c:v>1.3819447729487324</c:v>
                </c:pt>
                <c:pt idx="44">
                  <c:v>1.3906989963171461</c:v>
                </c:pt>
                <c:pt idx="45">
                  <c:v>1.4011253675818902</c:v>
                </c:pt>
                <c:pt idx="46">
                  <c:v>1.4124852946152699</c:v>
                </c:pt>
                <c:pt idx="47">
                  <c:v>1.4248862371696474</c:v>
                </c:pt>
                <c:pt idx="48">
                  <c:v>1.43938054010634</c:v>
                </c:pt>
                <c:pt idx="49">
                  <c:v>1.45505671954965</c:v>
                </c:pt>
                <c:pt idx="50">
                  <c:v>1.4719845937235725</c:v>
                </c:pt>
              </c:numCache>
            </c:numRef>
          </c:val>
          <c:extLst>
            <c:ext xmlns:c16="http://schemas.microsoft.com/office/drawing/2014/chart" uri="{C3380CC4-5D6E-409C-BE32-E72D297353CC}">
              <c16:uniqueId val="{00000005-36BC-4D2F-AE12-39BDB99B8318}"/>
            </c:ext>
          </c:extLst>
        </c:ser>
        <c:dLbls>
          <c:showLegendKey val="0"/>
          <c:showVal val="0"/>
          <c:showCatName val="0"/>
          <c:showSerName val="0"/>
          <c:showPercent val="0"/>
          <c:showBubbleSize val="0"/>
        </c:dLbls>
        <c:axId val="427217992"/>
        <c:axId val="427220344"/>
      </c:areaChart>
      <c:catAx>
        <c:axId val="42721799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27220344"/>
        <c:crosses val="autoZero"/>
        <c:auto val="1"/>
        <c:lblAlgn val="ctr"/>
        <c:lblOffset val="100"/>
        <c:tickLblSkip val="5"/>
        <c:tickMarkSkip val="5"/>
        <c:noMultiLvlLbl val="0"/>
      </c:catAx>
      <c:valAx>
        <c:axId val="427220344"/>
        <c:scaling>
          <c:orientation val="minMax"/>
          <c:max val="1800"/>
          <c:min val="0"/>
        </c:scaling>
        <c:delete val="0"/>
        <c:axPos val="l"/>
        <c:majorGridlines>
          <c:spPr>
            <a:ln w="9525" cap="flat" cmpd="sng" algn="ctr">
              <a:solidFill>
                <a:schemeClr val="tx1">
                  <a:lumMod val="15000"/>
                  <a:lumOff val="85000"/>
                </a:schemeClr>
              </a:solidFill>
              <a:prstDash val="dash"/>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27217992"/>
        <c:crosses val="autoZero"/>
        <c:crossBetween val="midCat"/>
        <c:majorUnit val="200"/>
      </c:valAx>
      <c:spPr>
        <a:noFill/>
        <a:ln>
          <a:noFill/>
        </a:ln>
        <a:effectLst/>
      </c:spPr>
    </c:plotArea>
    <c:legend>
      <c:legendPos val="r"/>
      <c:layout>
        <c:manualLayout>
          <c:xMode val="edge"/>
          <c:yMode val="edge"/>
          <c:x val="0.83807163810406049"/>
          <c:y val="0.24364520735470616"/>
          <c:w val="0.16192836189593948"/>
          <c:h val="0.5127091634306494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sz="9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dk1"/>
                </a:solidFill>
                <a:latin typeface="Arial" panose="020B0604020202020204" pitchFamily="34" charset="0"/>
                <a:ea typeface="+mn-ea"/>
                <a:cs typeface="Arial" panose="020B0604020202020204" pitchFamily="34" charset="0"/>
              </a:defRPr>
            </a:pPr>
            <a:r>
              <a:rPr lang="en-US" sz="900"/>
              <a:t>emissions per distance (gCO₂e/mi)</a:t>
            </a:r>
          </a:p>
        </c:rich>
      </c:tx>
      <c:layout>
        <c:manualLayout>
          <c:xMode val="edge"/>
          <c:yMode val="edge"/>
          <c:x val="1.304428292617269E-3"/>
          <c:y val="3.2717083326810766E-3"/>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dk1"/>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2957739512987923"/>
          <c:y val="0.1233217148719542"/>
          <c:w val="0.51998178608456858"/>
          <c:h val="0.63419646526921503"/>
        </c:manualLayout>
      </c:layout>
      <c:barChart>
        <c:barDir val="col"/>
        <c:grouping val="stacked"/>
        <c:varyColors val="0"/>
        <c:ser>
          <c:idx val="0"/>
          <c:order val="0"/>
          <c:tx>
            <c:strRef>
              <c:f>apples!$L$36</c:f>
              <c:strCache>
                <c:ptCount val="1"/>
                <c:pt idx="0">
                  <c:v>vehicle production</c:v>
                </c:pt>
              </c:strCache>
            </c:strRef>
          </c:tx>
          <c:spPr>
            <a:solidFill>
              <a:srgbClr val="0432FF"/>
            </a:solidFill>
            <a:ln>
              <a:noFill/>
            </a:ln>
            <a:effectLst/>
          </c:spPr>
          <c:invertIfNegative val="0"/>
          <c:cat>
            <c:strRef>
              <c:f>apples!$M$35:$Q$35</c:f>
              <c:strCache>
                <c:ptCount val="5"/>
                <c:pt idx="0">
                  <c:v>Toyota Camry ICEV</c:v>
                </c:pt>
                <c:pt idx="1">
                  <c:v>Toyota Camry HEV</c:v>
                </c:pt>
                <c:pt idx="2">
                  <c:v>Honda Clarity PHEV</c:v>
                </c:pt>
                <c:pt idx="3">
                  <c:v>Honda Clarity BEV</c:v>
                </c:pt>
                <c:pt idx="4">
                  <c:v>Honda Clarity FCEV</c:v>
                </c:pt>
              </c:strCache>
            </c:strRef>
          </c:cat>
          <c:val>
            <c:numRef>
              <c:f>apples!$M$36:$Q$36</c:f>
              <c:numCache>
                <c:formatCode>General</c:formatCode>
                <c:ptCount val="5"/>
                <c:pt idx="0">
                  <c:v>44.444510564904931</c:v>
                </c:pt>
                <c:pt idx="1">
                  <c:v>57.77786373437641</c:v>
                </c:pt>
                <c:pt idx="2">
                  <c:v>66.666765847357397</c:v>
                </c:pt>
                <c:pt idx="3">
                  <c:v>75.555667960338383</c:v>
                </c:pt>
                <c:pt idx="4">
                  <c:v>66.666765847357397</c:v>
                </c:pt>
              </c:numCache>
            </c:numRef>
          </c:val>
          <c:extLst>
            <c:ext xmlns:c16="http://schemas.microsoft.com/office/drawing/2014/chart" uri="{C3380CC4-5D6E-409C-BE32-E72D297353CC}">
              <c16:uniqueId val="{00000000-0168-4403-BD12-A8A4C1CC8F0D}"/>
            </c:ext>
          </c:extLst>
        </c:ser>
        <c:ser>
          <c:idx val="1"/>
          <c:order val="1"/>
          <c:tx>
            <c:strRef>
              <c:f>apples!$L$37</c:f>
              <c:strCache>
                <c:ptCount val="1"/>
                <c:pt idx="0">
                  <c:v>fuel production</c:v>
                </c:pt>
              </c:strCache>
            </c:strRef>
          </c:tx>
          <c:spPr>
            <a:solidFill>
              <a:srgbClr val="FF0000"/>
            </a:solidFill>
            <a:ln>
              <a:noFill/>
            </a:ln>
            <a:effectLst/>
          </c:spPr>
          <c:invertIfNegative val="0"/>
          <c:cat>
            <c:strRef>
              <c:f>apples!$M$35:$Q$35</c:f>
              <c:strCache>
                <c:ptCount val="5"/>
                <c:pt idx="0">
                  <c:v>Toyota Camry ICEV</c:v>
                </c:pt>
                <c:pt idx="1">
                  <c:v>Toyota Camry HEV</c:v>
                </c:pt>
                <c:pt idx="2">
                  <c:v>Honda Clarity PHEV</c:v>
                </c:pt>
                <c:pt idx="3">
                  <c:v>Honda Clarity BEV</c:v>
                </c:pt>
                <c:pt idx="4">
                  <c:v>Honda Clarity FCEV</c:v>
                </c:pt>
              </c:strCache>
            </c:strRef>
          </c:cat>
          <c:val>
            <c:numRef>
              <c:f>apples!$M$37:$Q$37</c:f>
              <c:numCache>
                <c:formatCode>General</c:formatCode>
                <c:ptCount val="5"/>
                <c:pt idx="0">
                  <c:v>67.28235294117647</c:v>
                </c:pt>
                <c:pt idx="1">
                  <c:v>43.992307692307691</c:v>
                </c:pt>
                <c:pt idx="2">
                  <c:v>93.535123563430489</c:v>
                </c:pt>
                <c:pt idx="3">
                  <c:v>127.95082325106469</c:v>
                </c:pt>
                <c:pt idx="4">
                  <c:v>200.07647058823531</c:v>
                </c:pt>
              </c:numCache>
            </c:numRef>
          </c:val>
          <c:extLst>
            <c:ext xmlns:c16="http://schemas.microsoft.com/office/drawing/2014/chart" uri="{C3380CC4-5D6E-409C-BE32-E72D297353CC}">
              <c16:uniqueId val="{00000001-0168-4403-BD12-A8A4C1CC8F0D}"/>
            </c:ext>
          </c:extLst>
        </c:ser>
        <c:ser>
          <c:idx val="2"/>
          <c:order val="2"/>
          <c:tx>
            <c:strRef>
              <c:f>apples!$L$38</c:f>
              <c:strCache>
                <c:ptCount val="1"/>
                <c:pt idx="0">
                  <c:v>fuel consumption</c:v>
                </c:pt>
              </c:strCache>
            </c:strRef>
          </c:tx>
          <c:spPr>
            <a:solidFill>
              <a:srgbClr val="FFC000"/>
            </a:solidFill>
            <a:ln>
              <a:noFill/>
            </a:ln>
            <a:effectLst/>
          </c:spPr>
          <c:invertIfNegative val="0"/>
          <c:cat>
            <c:strRef>
              <c:f>apples!$M$35:$Q$35</c:f>
              <c:strCache>
                <c:ptCount val="5"/>
                <c:pt idx="0">
                  <c:v>Toyota Camry ICEV</c:v>
                </c:pt>
                <c:pt idx="1">
                  <c:v>Toyota Camry HEV</c:v>
                </c:pt>
                <c:pt idx="2">
                  <c:v>Honda Clarity PHEV</c:v>
                </c:pt>
                <c:pt idx="3">
                  <c:v>Honda Clarity BEV</c:v>
                </c:pt>
                <c:pt idx="4">
                  <c:v>Honda Clarity FCEV</c:v>
                </c:pt>
              </c:strCache>
            </c:strRef>
          </c:cat>
          <c:val>
            <c:numRef>
              <c:f>apples!$M$38:$Q$38</c:f>
              <c:numCache>
                <c:formatCode>General</c:formatCode>
                <c:ptCount val="5"/>
                <c:pt idx="0">
                  <c:v>258.50588235294117</c:v>
                </c:pt>
                <c:pt idx="1">
                  <c:v>169.02307692307693</c:v>
                </c:pt>
                <c:pt idx="2">
                  <c:v>104.63333333333334</c:v>
                </c:pt>
                <c:pt idx="3">
                  <c:v>0</c:v>
                </c:pt>
                <c:pt idx="4">
                  <c:v>0</c:v>
                </c:pt>
              </c:numCache>
            </c:numRef>
          </c:val>
          <c:extLst>
            <c:ext xmlns:c16="http://schemas.microsoft.com/office/drawing/2014/chart" uri="{C3380CC4-5D6E-409C-BE32-E72D297353CC}">
              <c16:uniqueId val="{00000002-0168-4403-BD12-A8A4C1CC8F0D}"/>
            </c:ext>
          </c:extLst>
        </c:ser>
        <c:dLbls>
          <c:showLegendKey val="0"/>
          <c:showVal val="0"/>
          <c:showCatName val="0"/>
          <c:showSerName val="0"/>
          <c:showPercent val="0"/>
          <c:showBubbleSize val="0"/>
        </c:dLbls>
        <c:gapWidth val="150"/>
        <c:overlap val="100"/>
        <c:axId val="427219560"/>
        <c:axId val="427223480"/>
      </c:barChart>
      <c:lineChart>
        <c:grouping val="standard"/>
        <c:varyColors val="0"/>
        <c:ser>
          <c:idx val="3"/>
          <c:order val="3"/>
          <c:tx>
            <c:strRef>
              <c:f>apples!$L$39</c:f>
              <c:strCache>
                <c:ptCount val="1"/>
                <c:pt idx="0">
                  <c:v>ratio to HEV</c:v>
                </c:pt>
              </c:strCache>
            </c:strRef>
          </c:tx>
          <c:spPr>
            <a:ln w="28575" cap="rnd">
              <a:no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rgbClr val="00B050"/>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apples!$M$35:$Q$35</c:f>
              <c:strCache>
                <c:ptCount val="5"/>
                <c:pt idx="0">
                  <c:v>Toyota Camry ICEV</c:v>
                </c:pt>
                <c:pt idx="1">
                  <c:v>Toyota Camry HEV</c:v>
                </c:pt>
                <c:pt idx="2">
                  <c:v>Honda Clarity PHEV</c:v>
                </c:pt>
                <c:pt idx="3">
                  <c:v>Honda Clarity BEV</c:v>
                </c:pt>
                <c:pt idx="4">
                  <c:v>Honda Clarity FCEV</c:v>
                </c:pt>
              </c:strCache>
            </c:strRef>
          </c:cat>
          <c:val>
            <c:numRef>
              <c:f>apples!$M$39:$Q$39</c:f>
              <c:numCache>
                <c:formatCode>0.00</c:formatCode>
                <c:ptCount val="5"/>
                <c:pt idx="0">
                  <c:v>1.3672155717147862</c:v>
                </c:pt>
                <c:pt idx="1">
                  <c:v>1</c:v>
                </c:pt>
                <c:pt idx="2">
                  <c:v>0.97799787977747388</c:v>
                </c:pt>
                <c:pt idx="3">
                  <c:v>0.75151981244580635</c:v>
                </c:pt>
                <c:pt idx="4">
                  <c:v>0.98504389626089484</c:v>
                </c:pt>
              </c:numCache>
            </c:numRef>
          </c:val>
          <c:smooth val="0"/>
          <c:extLst>
            <c:ext xmlns:c16="http://schemas.microsoft.com/office/drawing/2014/chart" uri="{C3380CC4-5D6E-409C-BE32-E72D297353CC}">
              <c16:uniqueId val="{00000003-0168-4403-BD12-A8A4C1CC8F0D}"/>
            </c:ext>
          </c:extLst>
        </c:ser>
        <c:dLbls>
          <c:showLegendKey val="0"/>
          <c:showVal val="0"/>
          <c:showCatName val="0"/>
          <c:showSerName val="0"/>
          <c:showPercent val="0"/>
          <c:showBubbleSize val="0"/>
        </c:dLbls>
        <c:marker val="1"/>
        <c:smooth val="0"/>
        <c:axId val="427222696"/>
        <c:axId val="427218776"/>
      </c:lineChart>
      <c:catAx>
        <c:axId val="427219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Arial" panose="020B0604020202020204" pitchFamily="34" charset="0"/>
                <a:ea typeface="+mn-ea"/>
                <a:cs typeface="Arial" panose="020B0604020202020204" pitchFamily="34" charset="0"/>
              </a:defRPr>
            </a:pPr>
            <a:endParaRPr lang="en-US"/>
          </a:p>
        </c:txPr>
        <c:crossAx val="427223480"/>
        <c:crosses val="autoZero"/>
        <c:auto val="1"/>
        <c:lblAlgn val="ctr"/>
        <c:lblOffset val="100"/>
        <c:noMultiLvlLbl val="0"/>
      </c:catAx>
      <c:valAx>
        <c:axId val="427223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Arial" panose="020B0604020202020204" pitchFamily="34" charset="0"/>
                <a:ea typeface="+mn-ea"/>
                <a:cs typeface="Arial" panose="020B0604020202020204" pitchFamily="34" charset="0"/>
              </a:defRPr>
            </a:pPr>
            <a:endParaRPr lang="en-US"/>
          </a:p>
        </c:txPr>
        <c:crossAx val="427219560"/>
        <c:crosses val="autoZero"/>
        <c:crossBetween val="between"/>
      </c:valAx>
      <c:valAx>
        <c:axId val="427218776"/>
        <c:scaling>
          <c:orientation val="minMax"/>
          <c:max val="1.56"/>
          <c:min val="0"/>
        </c:scaling>
        <c:delete val="0"/>
        <c:axPos val="r"/>
        <c:title>
          <c:tx>
            <c:rich>
              <a:bodyPr rot="0" spcFirstLastPara="1" vertOverflow="ellipsis" wrap="square" anchor="ctr" anchorCtr="1"/>
              <a:lstStyle/>
              <a:p>
                <a:pPr>
                  <a:defRPr sz="900" b="0" i="0" u="none" strike="noStrike" kern="1200" baseline="0">
                    <a:solidFill>
                      <a:srgbClr val="00B050"/>
                    </a:solidFill>
                    <a:latin typeface="Arial" panose="020B0604020202020204" pitchFamily="34" charset="0"/>
                    <a:ea typeface="+mn-ea"/>
                    <a:cs typeface="Arial" panose="020B0604020202020204" pitchFamily="34" charset="0"/>
                  </a:defRPr>
                </a:pPr>
                <a:r>
                  <a:rPr lang="en-US">
                    <a:solidFill>
                      <a:srgbClr val="00B050"/>
                    </a:solidFill>
                  </a:rPr>
                  <a:t>ratio to HEV emissions</a:t>
                </a:r>
              </a:p>
            </c:rich>
          </c:tx>
          <c:layout>
            <c:manualLayout>
              <c:xMode val="edge"/>
              <c:yMode val="edge"/>
              <c:x val="0.82456238643246516"/>
              <c:y val="0.40080876142023553"/>
            </c:manualLayout>
          </c:layout>
          <c:overlay val="0"/>
          <c:spPr>
            <a:noFill/>
            <a:ln>
              <a:noFill/>
            </a:ln>
            <a:effectLst/>
          </c:spPr>
          <c:txPr>
            <a:bodyPr rot="0" spcFirstLastPara="1" vertOverflow="ellipsis" wrap="square" anchor="ctr" anchorCtr="1"/>
            <a:lstStyle/>
            <a:p>
              <a:pPr>
                <a:defRPr sz="900" b="0" i="0" u="none" strike="noStrike" kern="1200" baseline="0">
                  <a:solidFill>
                    <a:srgbClr val="00B050"/>
                  </a:solidFill>
                  <a:latin typeface="Arial" panose="020B0604020202020204" pitchFamily="34" charset="0"/>
                  <a:ea typeface="+mn-ea"/>
                  <a:cs typeface="Arial" panose="020B0604020202020204" pitchFamily="34" charset="0"/>
                </a:defRPr>
              </a:pPr>
              <a:endParaRPr lang="en-US"/>
            </a:p>
          </c:txPr>
        </c:title>
        <c:numFmt formatCode="0.00" sourceLinked="1"/>
        <c:majorTickMark val="out"/>
        <c:minorTickMark val="none"/>
        <c:tickLblPos val="nextTo"/>
        <c:spPr>
          <a:noFill/>
          <a:ln>
            <a:solidFill>
              <a:schemeClr val="bg1">
                <a:alpha val="0"/>
              </a:schemeClr>
            </a:solidFill>
          </a:ln>
          <a:effectLst/>
        </c:spPr>
        <c:txPr>
          <a:bodyPr rot="-60000000" spcFirstLastPara="1" vertOverflow="ellipsis" vert="horz" wrap="square" anchor="ctr" anchorCtr="1"/>
          <a:lstStyle/>
          <a:p>
            <a:pPr>
              <a:defRPr sz="900" b="0"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crossAx val="427222696"/>
        <c:crosses val="max"/>
        <c:crossBetween val="between"/>
      </c:valAx>
      <c:catAx>
        <c:axId val="427222696"/>
        <c:scaling>
          <c:orientation val="minMax"/>
        </c:scaling>
        <c:delete val="1"/>
        <c:axPos val="b"/>
        <c:numFmt formatCode="General" sourceLinked="1"/>
        <c:majorTickMark val="out"/>
        <c:minorTickMark val="none"/>
        <c:tickLblPos val="nextTo"/>
        <c:crossAx val="427218776"/>
        <c:crosses val="autoZero"/>
        <c:auto val="1"/>
        <c:lblAlgn val="ctr"/>
        <c:lblOffset val="100"/>
        <c:noMultiLvlLbl val="0"/>
      </c:catAx>
      <c:spPr>
        <a:noFill/>
        <a:ln>
          <a:noFill/>
        </a:ln>
        <a:effectLst/>
      </c:spPr>
    </c:plotArea>
    <c:legend>
      <c:legendPos val="l"/>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lt1"/>
    </a:solidFill>
    <a:ln w="25400" cap="flat" cmpd="sng" algn="ctr">
      <a:noFill/>
      <a:prstDash val="solid"/>
      <a:round/>
    </a:ln>
    <a:effectLst/>
  </c:spPr>
  <c:txPr>
    <a:bodyPr/>
    <a:lstStyle/>
    <a:p>
      <a:pPr>
        <a:defRPr sz="900">
          <a:solidFill>
            <a:schemeClr val="dk1"/>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'[Emre fuel spreadsheet with Ian addition.xlsx]Ian''s addition'!$J$3</c:f>
              <c:strCache>
                <c:ptCount val="1"/>
                <c:pt idx="0">
                  <c:v>well-to-tank</c:v>
                </c:pt>
              </c:strCache>
            </c:strRef>
          </c:tx>
          <c:spPr>
            <a:solidFill>
              <a:srgbClr val="7030A0">
                <a:alpha val="60000"/>
              </a:srgbClr>
            </a:solidFill>
            <a:ln>
              <a:noFill/>
            </a:ln>
            <a:effectLst/>
          </c:spPr>
          <c:invertIfNegative val="0"/>
          <c:cat>
            <c:strRef>
              <c:f>'[Emre fuel spreadsheet with Ian addition.xlsx]Ian''s addition'!$C$7:$C$18</c:f>
              <c:strCache>
                <c:ptCount val="12"/>
                <c:pt idx="0">
                  <c:v>gasoline</c:v>
                </c:pt>
                <c:pt idx="1">
                  <c:v>diesel</c:v>
                </c:pt>
                <c:pt idx="2">
                  <c:v>electricity</c:v>
                </c:pt>
                <c:pt idx="3">
                  <c:v>H2-SMR</c:v>
                </c:pt>
                <c:pt idx="4">
                  <c:v>H2-SMRwCC</c:v>
                </c:pt>
                <c:pt idx="5">
                  <c:v>H2-electrolysis-wind</c:v>
                </c:pt>
                <c:pt idx="6">
                  <c:v>H2-electrolysis-US avg power</c:v>
                </c:pt>
                <c:pt idx="7">
                  <c:v>CNG</c:v>
                </c:pt>
                <c:pt idx="8">
                  <c:v>LNG</c:v>
                </c:pt>
                <c:pt idx="9">
                  <c:v>LPG</c:v>
                </c:pt>
                <c:pt idx="10">
                  <c:v>MeOH</c:v>
                </c:pt>
                <c:pt idx="11">
                  <c:v>DME</c:v>
                </c:pt>
              </c:strCache>
            </c:strRef>
          </c:cat>
          <c:val>
            <c:numRef>
              <c:f>'[Emre fuel spreadsheet with Ian addition.xlsx]Ian''s addition'!$J$7:$J$18</c:f>
              <c:numCache>
                <c:formatCode>#,##0.0</c:formatCode>
                <c:ptCount val="12"/>
                <c:pt idx="0">
                  <c:v>19</c:v>
                </c:pt>
                <c:pt idx="1">
                  <c:v>18.383123969089191</c:v>
                </c:pt>
                <c:pt idx="2">
                  <c:v>121</c:v>
                </c:pt>
                <c:pt idx="3">
                  <c:v>113</c:v>
                </c:pt>
                <c:pt idx="4">
                  <c:v>48</c:v>
                </c:pt>
                <c:pt idx="5">
                  <c:v>21.917142857142856</c:v>
                </c:pt>
                <c:pt idx="6">
                  <c:v>190.01714285714286</c:v>
                </c:pt>
                <c:pt idx="7">
                  <c:v>17.564765919852668</c:v>
                </c:pt>
                <c:pt idx="8">
                  <c:v>20.661941852535229</c:v>
                </c:pt>
                <c:pt idx="9">
                  <c:v>15.62943187562805</c:v>
                </c:pt>
                <c:pt idx="10">
                  <c:v>25.85251239289493</c:v>
                </c:pt>
                <c:pt idx="11">
                  <c:v>34.576253482016938</c:v>
                </c:pt>
              </c:numCache>
            </c:numRef>
          </c:val>
          <c:extLst>
            <c:ext xmlns:c16="http://schemas.microsoft.com/office/drawing/2014/chart" uri="{C3380CC4-5D6E-409C-BE32-E72D297353CC}">
              <c16:uniqueId val="{00000000-4D72-4BB7-B8D3-76FA6E57B3D7}"/>
            </c:ext>
          </c:extLst>
        </c:ser>
        <c:ser>
          <c:idx val="1"/>
          <c:order val="1"/>
          <c:tx>
            <c:strRef>
              <c:f>'[Emre fuel spreadsheet with Ian addition.xlsx]Ian''s addition'!$K$3</c:f>
              <c:strCache>
                <c:ptCount val="1"/>
                <c:pt idx="0">
                  <c:v>tank-to-wheel</c:v>
                </c:pt>
              </c:strCache>
            </c:strRef>
          </c:tx>
          <c:spPr>
            <a:solidFill>
              <a:srgbClr val="FF0000">
                <a:alpha val="60000"/>
              </a:srgbClr>
            </a:solidFill>
            <a:ln>
              <a:noFill/>
            </a:ln>
            <a:effectLst/>
          </c:spPr>
          <c:invertIfNegative val="0"/>
          <c:cat>
            <c:strRef>
              <c:f>'[Emre fuel spreadsheet with Ian addition.xlsx]Ian''s addition'!$C$7:$C$18</c:f>
              <c:strCache>
                <c:ptCount val="12"/>
                <c:pt idx="0">
                  <c:v>gasoline</c:v>
                </c:pt>
                <c:pt idx="1">
                  <c:v>diesel</c:v>
                </c:pt>
                <c:pt idx="2">
                  <c:v>electricity</c:v>
                </c:pt>
                <c:pt idx="3">
                  <c:v>H2-SMR</c:v>
                </c:pt>
                <c:pt idx="4">
                  <c:v>H2-SMRwCC</c:v>
                </c:pt>
                <c:pt idx="5">
                  <c:v>H2-electrolysis-wind</c:v>
                </c:pt>
                <c:pt idx="6">
                  <c:v>H2-electrolysis-US avg power</c:v>
                </c:pt>
                <c:pt idx="7">
                  <c:v>CNG</c:v>
                </c:pt>
                <c:pt idx="8">
                  <c:v>LNG</c:v>
                </c:pt>
                <c:pt idx="9">
                  <c:v>LPG</c:v>
                </c:pt>
                <c:pt idx="10">
                  <c:v>MeOH</c:v>
                </c:pt>
                <c:pt idx="11">
                  <c:v>DME</c:v>
                </c:pt>
              </c:strCache>
            </c:strRef>
          </c:cat>
          <c:val>
            <c:numRef>
              <c:f>'[Emre fuel spreadsheet with Ian addition.xlsx]Ian''s addition'!$K$7:$K$18</c:f>
              <c:numCache>
                <c:formatCode>#,##0.0</c:formatCode>
                <c:ptCount val="12"/>
                <c:pt idx="0">
                  <c:v>73</c:v>
                </c:pt>
                <c:pt idx="1">
                  <c:v>76</c:v>
                </c:pt>
                <c:pt idx="2">
                  <c:v>0</c:v>
                </c:pt>
                <c:pt idx="3">
                  <c:v>0</c:v>
                </c:pt>
                <c:pt idx="4">
                  <c:v>0</c:v>
                </c:pt>
                <c:pt idx="5">
                  <c:v>0</c:v>
                </c:pt>
                <c:pt idx="6">
                  <c:v>0</c:v>
                </c:pt>
                <c:pt idx="7">
                  <c:v>57.227680880296255</c:v>
                </c:pt>
                <c:pt idx="8">
                  <c:v>57.461519505779286</c:v>
                </c:pt>
                <c:pt idx="9">
                  <c:v>65.00638970478623</c:v>
                </c:pt>
                <c:pt idx="10">
                  <c:v>69.769563822920659</c:v>
                </c:pt>
                <c:pt idx="11">
                  <c:v>67.811887723611221</c:v>
                </c:pt>
              </c:numCache>
            </c:numRef>
          </c:val>
          <c:extLst>
            <c:ext xmlns:c16="http://schemas.microsoft.com/office/drawing/2014/chart" uri="{C3380CC4-5D6E-409C-BE32-E72D297353CC}">
              <c16:uniqueId val="{00000001-4D72-4BB7-B8D3-76FA6E57B3D7}"/>
            </c:ext>
          </c:extLst>
        </c:ser>
        <c:dLbls>
          <c:showLegendKey val="0"/>
          <c:showVal val="0"/>
          <c:showCatName val="0"/>
          <c:showSerName val="0"/>
          <c:showPercent val="0"/>
          <c:showBubbleSize val="0"/>
        </c:dLbls>
        <c:gapWidth val="150"/>
        <c:overlap val="100"/>
        <c:axId val="427223872"/>
        <c:axId val="427224264"/>
      </c:barChart>
      <c:catAx>
        <c:axId val="4272238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27224264"/>
        <c:crosses val="autoZero"/>
        <c:auto val="1"/>
        <c:lblAlgn val="ctr"/>
        <c:lblOffset val="100"/>
        <c:noMultiLvlLbl val="0"/>
      </c:catAx>
      <c:valAx>
        <c:axId val="427224264"/>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r>
                  <a:rPr lang="en-US"/>
                  <a:t>GHG</a:t>
                </a:r>
                <a:r>
                  <a:rPr lang="en-US" baseline="0"/>
                  <a:t> Emissions (gCO</a:t>
                </a:r>
                <a:r>
                  <a:rPr lang="en-US" baseline="-25000"/>
                  <a:t>2</a:t>
                </a:r>
                <a:r>
                  <a:rPr lang="en-US" baseline="0"/>
                  <a:t>e/MJ)</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2722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sz="10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'[Emre fuel spreadsheet with Ian addition.xlsx]Diesel'!$A$1</c:f>
              <c:strCache>
                <c:ptCount val="1"/>
                <c:pt idx="0">
                  <c:v>Upstream</c:v>
                </c:pt>
              </c:strCache>
            </c:strRef>
          </c:tx>
          <c:spPr>
            <a:solidFill>
              <a:srgbClr val="7030A0">
                <a:alpha val="60000"/>
              </a:srgbClr>
            </a:solidFill>
            <a:ln>
              <a:noFill/>
            </a:ln>
            <a:effectLst/>
          </c:spPr>
          <c:invertIfNegative val="0"/>
          <c:val>
            <c:numRef>
              <c:f>'[Emre fuel spreadsheet with Ian addition.xlsx]Diesel'!$A$2:$A$34</c:f>
              <c:numCache>
                <c:formatCode>General</c:formatCode>
                <c:ptCount val="33"/>
                <c:pt idx="0">
                  <c:v>24.6438247449287</c:v>
                </c:pt>
                <c:pt idx="1">
                  <c:v>25.0829753995414</c:v>
                </c:pt>
                <c:pt idx="2">
                  <c:v>25.1149558474998</c:v>
                </c:pt>
                <c:pt idx="3">
                  <c:v>24.2982801465945</c:v>
                </c:pt>
                <c:pt idx="4">
                  <c:v>24.712409708302101</c:v>
                </c:pt>
                <c:pt idx="5">
                  <c:v>24.2982801465945</c:v>
                </c:pt>
                <c:pt idx="6">
                  <c:v>25.489592386339201</c:v>
                </c:pt>
                <c:pt idx="7">
                  <c:v>25.461928204632901</c:v>
                </c:pt>
                <c:pt idx="8">
                  <c:v>24.663022566491001</c:v>
                </c:pt>
                <c:pt idx="9">
                  <c:v>25.016898580388101</c:v>
                </c:pt>
                <c:pt idx="10">
                  <c:v>25.0068039315391</c:v>
                </c:pt>
                <c:pt idx="11">
                  <c:v>24.6916380788591</c:v>
                </c:pt>
                <c:pt idx="12">
                  <c:v>25.152871292505001</c:v>
                </c:pt>
                <c:pt idx="13">
                  <c:v>24.813224151803599</c:v>
                </c:pt>
                <c:pt idx="14">
                  <c:v>24.268716502068699</c:v>
                </c:pt>
                <c:pt idx="15">
                  <c:v>24.6117506006855</c:v>
                </c:pt>
                <c:pt idx="16">
                  <c:v>24.621028888468999</c:v>
                </c:pt>
                <c:pt idx="17">
                  <c:v>25.5644842473856</c:v>
                </c:pt>
                <c:pt idx="18">
                  <c:v>25.559986127479601</c:v>
                </c:pt>
                <c:pt idx="19">
                  <c:v>24.7490356184401</c:v>
                </c:pt>
                <c:pt idx="20">
                  <c:v>25.0486702892788</c:v>
                </c:pt>
                <c:pt idx="21">
                  <c:v>25.0471855136886</c:v>
                </c:pt>
                <c:pt idx="22">
                  <c:v>24.123292108105701</c:v>
                </c:pt>
                <c:pt idx="23">
                  <c:v>24.504444097475201</c:v>
                </c:pt>
                <c:pt idx="24">
                  <c:v>24.502924451031198</c:v>
                </c:pt>
                <c:pt idx="25">
                  <c:v>23.908045809141601</c:v>
                </c:pt>
                <c:pt idx="26">
                  <c:v>24.129759612937701</c:v>
                </c:pt>
                <c:pt idx="27">
                  <c:v>24.1292032842343</c:v>
                </c:pt>
                <c:pt idx="28">
                  <c:v>25.282969881343998</c:v>
                </c:pt>
                <c:pt idx="29">
                  <c:v>25.293016936044801</c:v>
                </c:pt>
                <c:pt idx="30">
                  <c:v>24.885815864731502</c:v>
                </c:pt>
                <c:pt idx="31">
                  <c:v>25.014760193596398</c:v>
                </c:pt>
                <c:pt idx="32">
                  <c:v>25.0179869777539</c:v>
                </c:pt>
              </c:numCache>
            </c:numRef>
          </c:val>
          <c:extLst>
            <c:ext xmlns:c16="http://schemas.microsoft.com/office/drawing/2014/chart" uri="{C3380CC4-5D6E-409C-BE32-E72D297353CC}">
              <c16:uniqueId val="{00000000-5C08-43CE-ADEA-40C3ECB0325F}"/>
            </c:ext>
          </c:extLst>
        </c:ser>
        <c:ser>
          <c:idx val="1"/>
          <c:order val="1"/>
          <c:tx>
            <c:strRef>
              <c:f>'[Emre fuel spreadsheet with Ian addition.xlsx]Diesel'!$B$1</c:f>
              <c:strCache>
                <c:ptCount val="1"/>
                <c:pt idx="0">
                  <c:v>Midstream</c:v>
                </c:pt>
              </c:strCache>
            </c:strRef>
          </c:tx>
          <c:spPr>
            <a:solidFill>
              <a:srgbClr val="FF0000">
                <a:alpha val="60000"/>
              </a:srgbClr>
            </a:solidFill>
            <a:ln>
              <a:noFill/>
            </a:ln>
            <a:effectLst/>
          </c:spPr>
          <c:invertIfNegative val="0"/>
          <c:val>
            <c:numRef>
              <c:f>'[Emre fuel spreadsheet with Ian addition.xlsx]Diesel'!$B$2:$B$34</c:f>
              <c:numCache>
                <c:formatCode>General</c:formatCode>
                <c:ptCount val="33"/>
                <c:pt idx="0">
                  <c:v>4.8694206061297098</c:v>
                </c:pt>
                <c:pt idx="1">
                  <c:v>4.9561932264067998</c:v>
                </c:pt>
                <c:pt idx="2">
                  <c:v>4.9625123044676602</c:v>
                </c:pt>
                <c:pt idx="3">
                  <c:v>4.8011437860792201</c:v>
                </c:pt>
                <c:pt idx="4">
                  <c:v>4.88297244061068</c:v>
                </c:pt>
                <c:pt idx="5">
                  <c:v>4.8011437860792201</c:v>
                </c:pt>
                <c:pt idx="6">
                  <c:v>5.0365374568502697</c:v>
                </c:pt>
                <c:pt idx="7">
                  <c:v>5.0310712381181402</c:v>
                </c:pt>
                <c:pt idx="8">
                  <c:v>4.8732139405197898</c:v>
                </c:pt>
                <c:pt idx="9">
                  <c:v>4.9431369809536996</c:v>
                </c:pt>
                <c:pt idx="10">
                  <c:v>4.9411423599228499</c:v>
                </c:pt>
                <c:pt idx="11">
                  <c:v>4.8788681345023699</c:v>
                </c:pt>
                <c:pt idx="12">
                  <c:v>4.97000408998026</c:v>
                </c:pt>
                <c:pt idx="13">
                  <c:v>4.9028925598966504</c:v>
                </c:pt>
                <c:pt idx="14">
                  <c:v>4.7953022488447896</c:v>
                </c:pt>
                <c:pt idx="15">
                  <c:v>4.8630830144401704</c:v>
                </c:pt>
                <c:pt idx="16">
                  <c:v>4.8649163291220603</c:v>
                </c:pt>
                <c:pt idx="17">
                  <c:v>5.0513354833411004</c:v>
                </c:pt>
                <c:pt idx="18">
                  <c:v>5.0504466912000296</c:v>
                </c:pt>
                <c:pt idx="19">
                  <c:v>4.8902094244551204</c:v>
                </c:pt>
                <c:pt idx="20">
                  <c:v>4.9494148138617602</c:v>
                </c:pt>
                <c:pt idx="21">
                  <c:v>4.9491214342046304</c:v>
                </c:pt>
                <c:pt idx="22">
                  <c:v>4.7665675638708898</c:v>
                </c:pt>
                <c:pt idx="23">
                  <c:v>4.8418801166224803</c:v>
                </c:pt>
                <c:pt idx="24">
                  <c:v>4.8415798467664501</c:v>
                </c:pt>
                <c:pt idx="25">
                  <c:v>4.7240366347469802</c:v>
                </c:pt>
                <c:pt idx="26">
                  <c:v>4.7678454905574199</c:v>
                </c:pt>
                <c:pt idx="27">
                  <c:v>4.7677355645016899</c:v>
                </c:pt>
                <c:pt idx="28">
                  <c:v>4.9957105197198697</c:v>
                </c:pt>
                <c:pt idx="29">
                  <c:v>4.9976957365316901</c:v>
                </c:pt>
                <c:pt idx="30">
                  <c:v>4.9172360957083203</c:v>
                </c:pt>
                <c:pt idx="31">
                  <c:v>4.9427144530054203</c:v>
                </c:pt>
                <c:pt idx="32">
                  <c:v>4.9433520394771104</c:v>
                </c:pt>
              </c:numCache>
            </c:numRef>
          </c:val>
          <c:extLst>
            <c:ext xmlns:c16="http://schemas.microsoft.com/office/drawing/2014/chart" uri="{C3380CC4-5D6E-409C-BE32-E72D297353CC}">
              <c16:uniqueId val="{00000001-5C08-43CE-ADEA-40C3ECB0325F}"/>
            </c:ext>
          </c:extLst>
        </c:ser>
        <c:ser>
          <c:idx val="2"/>
          <c:order val="2"/>
          <c:tx>
            <c:strRef>
              <c:f>'[Emre fuel spreadsheet with Ian addition.xlsx]Diesel'!$C$1</c:f>
              <c:strCache>
                <c:ptCount val="1"/>
                <c:pt idx="0">
                  <c:v>Process</c:v>
                </c:pt>
              </c:strCache>
            </c:strRef>
          </c:tx>
          <c:spPr>
            <a:solidFill>
              <a:srgbClr val="0000FF">
                <a:alpha val="60000"/>
              </a:srgbClr>
            </a:solidFill>
            <a:ln>
              <a:noFill/>
            </a:ln>
            <a:effectLst/>
          </c:spPr>
          <c:invertIfNegative val="0"/>
          <c:val>
            <c:numRef>
              <c:f>'[Emre fuel spreadsheet with Ian addition.xlsx]Diesel'!$C$2:$C$34</c:f>
              <c:numCache>
                <c:formatCode>General</c:formatCode>
                <c:ptCount val="33"/>
                <c:pt idx="0">
                  <c:v>8.8015621303163591</c:v>
                </c:pt>
                <c:pt idx="1">
                  <c:v>22.2933381075452</c:v>
                </c:pt>
                <c:pt idx="2">
                  <c:v>20.095976671087001</c:v>
                </c:pt>
                <c:pt idx="3">
                  <c:v>21.788519614367299</c:v>
                </c:pt>
                <c:pt idx="4">
                  <c:v>17.363021466474201</c:v>
                </c:pt>
                <c:pt idx="5">
                  <c:v>21.788519614369001</c:v>
                </c:pt>
                <c:pt idx="6">
                  <c:v>35.630130177889498</c:v>
                </c:pt>
                <c:pt idx="7">
                  <c:v>31.821024730493502</c:v>
                </c:pt>
                <c:pt idx="8">
                  <c:v>36.761838922116397</c:v>
                </c:pt>
                <c:pt idx="9">
                  <c:v>33.066895702778403</c:v>
                </c:pt>
                <c:pt idx="10">
                  <c:v>31.682919098854299</c:v>
                </c:pt>
                <c:pt idx="11">
                  <c:v>8.6311761001337501</c:v>
                </c:pt>
                <c:pt idx="12">
                  <c:v>36.715025209013902</c:v>
                </c:pt>
                <c:pt idx="13">
                  <c:v>9.8637469801966695</c:v>
                </c:pt>
                <c:pt idx="14">
                  <c:v>33.4877384411718</c:v>
                </c:pt>
                <c:pt idx="15">
                  <c:v>32.200148308043303</c:v>
                </c:pt>
                <c:pt idx="16">
                  <c:v>29.6461070784264</c:v>
                </c:pt>
                <c:pt idx="17">
                  <c:v>47.248028320681499</c:v>
                </c:pt>
                <c:pt idx="18">
                  <c:v>40.488130376974297</c:v>
                </c:pt>
                <c:pt idx="19">
                  <c:v>42.381443602428902</c:v>
                </c:pt>
                <c:pt idx="20">
                  <c:v>43.517970915450597</c:v>
                </c:pt>
                <c:pt idx="21">
                  <c:v>41.331952711368302</c:v>
                </c:pt>
                <c:pt idx="22">
                  <c:v>13.5058251792387</c:v>
                </c:pt>
                <c:pt idx="23">
                  <c:v>41.947366093923897</c:v>
                </c:pt>
                <c:pt idx="24">
                  <c:v>37.3133842261986</c:v>
                </c:pt>
                <c:pt idx="25">
                  <c:v>36.481448025405498</c:v>
                </c:pt>
                <c:pt idx="26">
                  <c:v>39.239269048539597</c:v>
                </c:pt>
                <c:pt idx="27">
                  <c:v>37.550429331726498</c:v>
                </c:pt>
                <c:pt idx="28">
                  <c:v>65.809982669914504</c:v>
                </c:pt>
                <c:pt idx="29">
                  <c:v>56.164275111855197</c:v>
                </c:pt>
                <c:pt idx="30">
                  <c:v>52.223492570714399</c:v>
                </c:pt>
                <c:pt idx="31">
                  <c:v>57.082500489837997</c:v>
                </c:pt>
                <c:pt idx="32">
                  <c:v>53.940285294511199</c:v>
                </c:pt>
              </c:numCache>
            </c:numRef>
          </c:val>
          <c:extLst>
            <c:ext xmlns:c16="http://schemas.microsoft.com/office/drawing/2014/chart" uri="{C3380CC4-5D6E-409C-BE32-E72D297353CC}">
              <c16:uniqueId val="{00000002-5C08-43CE-ADEA-40C3ECB0325F}"/>
            </c:ext>
          </c:extLst>
        </c:ser>
        <c:ser>
          <c:idx val="3"/>
          <c:order val="3"/>
          <c:tx>
            <c:strRef>
              <c:f>'[Emre fuel spreadsheet with Ian addition.xlsx]Diesel'!$D$1</c:f>
              <c:strCache>
                <c:ptCount val="1"/>
                <c:pt idx="0">
                  <c:v>CCUS</c:v>
                </c:pt>
              </c:strCache>
            </c:strRef>
          </c:tx>
          <c:spPr>
            <a:solidFill>
              <a:schemeClr val="accent4"/>
            </a:solidFill>
            <a:ln>
              <a:noFill/>
            </a:ln>
            <a:effectLst/>
          </c:spPr>
          <c:invertIfNegative val="0"/>
          <c:val>
            <c:numRef>
              <c:f>'[Emre fuel spreadsheet with Ian addition.xlsx]Diesel'!$D$2:$D$34</c:f>
              <c:numCache>
                <c:formatCode>General</c:formatCode>
                <c:ptCount val="3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numCache>
            </c:numRef>
          </c:val>
          <c:extLst>
            <c:ext xmlns:c16="http://schemas.microsoft.com/office/drawing/2014/chart" uri="{C3380CC4-5D6E-409C-BE32-E72D297353CC}">
              <c16:uniqueId val="{00000003-5C08-43CE-ADEA-40C3ECB0325F}"/>
            </c:ext>
          </c:extLst>
        </c:ser>
        <c:ser>
          <c:idx val="4"/>
          <c:order val="4"/>
          <c:tx>
            <c:strRef>
              <c:f>'[Emre fuel spreadsheet with Ian addition.xlsx]Diesel'!$E$1</c:f>
              <c:strCache>
                <c:ptCount val="1"/>
                <c:pt idx="0">
                  <c:v>Gate to User</c:v>
                </c:pt>
              </c:strCache>
            </c:strRef>
          </c:tx>
          <c:spPr>
            <a:solidFill>
              <a:schemeClr val="accent5"/>
            </a:solidFill>
            <a:ln>
              <a:noFill/>
            </a:ln>
            <a:effectLst/>
          </c:spPr>
          <c:invertIfNegative val="0"/>
          <c:val>
            <c:numRef>
              <c:f>'[Emre fuel spreadsheet with Ian addition.xlsx]Diesel'!$E$2:$E$34</c:f>
              <c:numCache>
                <c:formatCode>General</c:formatCode>
                <c:ptCount val="33"/>
                <c:pt idx="0">
                  <c:v>1.87951461966846</c:v>
                </c:pt>
                <c:pt idx="1">
                  <c:v>1.87951461966846</c:v>
                </c:pt>
                <c:pt idx="2">
                  <c:v>1.87951461966846</c:v>
                </c:pt>
                <c:pt idx="3">
                  <c:v>1.87951461966846</c:v>
                </c:pt>
                <c:pt idx="4">
                  <c:v>1.87951461966846</c:v>
                </c:pt>
                <c:pt idx="5">
                  <c:v>1.87951461966846</c:v>
                </c:pt>
                <c:pt idx="6">
                  <c:v>1.87951461966846</c:v>
                </c:pt>
                <c:pt idx="7">
                  <c:v>1.87951461966846</c:v>
                </c:pt>
                <c:pt idx="8">
                  <c:v>1.87951461966846</c:v>
                </c:pt>
                <c:pt idx="9">
                  <c:v>1.87951461966846</c:v>
                </c:pt>
                <c:pt idx="10">
                  <c:v>1.87951461966846</c:v>
                </c:pt>
                <c:pt idx="11">
                  <c:v>1.87951461966846</c:v>
                </c:pt>
                <c:pt idx="12">
                  <c:v>1.87951461966846</c:v>
                </c:pt>
                <c:pt idx="13">
                  <c:v>1.87951461966846</c:v>
                </c:pt>
                <c:pt idx="14">
                  <c:v>1.87951461966846</c:v>
                </c:pt>
                <c:pt idx="15">
                  <c:v>1.87951461966846</c:v>
                </c:pt>
                <c:pt idx="16">
                  <c:v>1.87951461966846</c:v>
                </c:pt>
                <c:pt idx="17">
                  <c:v>1.87951461966846</c:v>
                </c:pt>
                <c:pt idx="18">
                  <c:v>1.87951461966846</c:v>
                </c:pt>
                <c:pt idx="19">
                  <c:v>1.87951461966846</c:v>
                </c:pt>
                <c:pt idx="20">
                  <c:v>1.87951461966846</c:v>
                </c:pt>
                <c:pt idx="21">
                  <c:v>1.87951461966846</c:v>
                </c:pt>
                <c:pt idx="22">
                  <c:v>1.87951461966846</c:v>
                </c:pt>
                <c:pt idx="23">
                  <c:v>1.87951461966846</c:v>
                </c:pt>
                <c:pt idx="24">
                  <c:v>1.87951461966846</c:v>
                </c:pt>
                <c:pt idx="25">
                  <c:v>1.87951461966846</c:v>
                </c:pt>
                <c:pt idx="26">
                  <c:v>1.87951461966846</c:v>
                </c:pt>
                <c:pt idx="27">
                  <c:v>1.87951461966846</c:v>
                </c:pt>
                <c:pt idx="28">
                  <c:v>1.87951461966846</c:v>
                </c:pt>
                <c:pt idx="29">
                  <c:v>1.87951461966846</c:v>
                </c:pt>
                <c:pt idx="30">
                  <c:v>1.87951461966846</c:v>
                </c:pt>
                <c:pt idx="31">
                  <c:v>1.87951461966846</c:v>
                </c:pt>
                <c:pt idx="32">
                  <c:v>1.87951461966846</c:v>
                </c:pt>
              </c:numCache>
            </c:numRef>
          </c:val>
          <c:extLst>
            <c:ext xmlns:c16="http://schemas.microsoft.com/office/drawing/2014/chart" uri="{C3380CC4-5D6E-409C-BE32-E72D297353CC}">
              <c16:uniqueId val="{00000004-5C08-43CE-ADEA-40C3ECB0325F}"/>
            </c:ext>
          </c:extLst>
        </c:ser>
        <c:ser>
          <c:idx val="5"/>
          <c:order val="5"/>
          <c:tx>
            <c:strRef>
              <c:f>'[Emre fuel spreadsheet with Ian addition.xlsx]Diesel'!$G$1</c:f>
              <c:strCache>
                <c:ptCount val="1"/>
                <c:pt idx="0">
                  <c:v>EndUse</c:v>
                </c:pt>
              </c:strCache>
            </c:strRef>
          </c:tx>
          <c:spPr>
            <a:solidFill>
              <a:srgbClr val="FFA401">
                <a:alpha val="60000"/>
              </a:srgbClr>
            </a:solidFill>
            <a:ln>
              <a:noFill/>
            </a:ln>
            <a:effectLst/>
          </c:spPr>
          <c:invertIfNegative val="0"/>
          <c:val>
            <c:numRef>
              <c:f>'[Emre fuel spreadsheet with Ian addition.xlsx]Diesel'!$G$2:$G$34</c:f>
              <c:numCache>
                <c:formatCode>General</c:formatCode>
                <c:ptCount val="33"/>
                <c:pt idx="0">
                  <c:v>316.24713883125997</c:v>
                </c:pt>
                <c:pt idx="1">
                  <c:v>316.24713883125997</c:v>
                </c:pt>
                <c:pt idx="2">
                  <c:v>316.24713883125997</c:v>
                </c:pt>
                <c:pt idx="3">
                  <c:v>316.24713883125997</c:v>
                </c:pt>
                <c:pt idx="4">
                  <c:v>316.24713883125997</c:v>
                </c:pt>
                <c:pt idx="5">
                  <c:v>316.24713883125997</c:v>
                </c:pt>
                <c:pt idx="6">
                  <c:v>316.24713883125997</c:v>
                </c:pt>
                <c:pt idx="7">
                  <c:v>316.24713883125997</c:v>
                </c:pt>
                <c:pt idx="8">
                  <c:v>316.24713883125997</c:v>
                </c:pt>
                <c:pt idx="9">
                  <c:v>316.24713883125997</c:v>
                </c:pt>
                <c:pt idx="10">
                  <c:v>316.24713883125997</c:v>
                </c:pt>
                <c:pt idx="11">
                  <c:v>316.24713883125997</c:v>
                </c:pt>
                <c:pt idx="12">
                  <c:v>316.24713883125997</c:v>
                </c:pt>
                <c:pt idx="13">
                  <c:v>316.24713883125997</c:v>
                </c:pt>
                <c:pt idx="14">
                  <c:v>316.24713883125997</c:v>
                </c:pt>
                <c:pt idx="15">
                  <c:v>316.24713883125997</c:v>
                </c:pt>
                <c:pt idx="16">
                  <c:v>316.24713883125997</c:v>
                </c:pt>
                <c:pt idx="17">
                  <c:v>316.24713883125997</c:v>
                </c:pt>
                <c:pt idx="18">
                  <c:v>316.24713883125997</c:v>
                </c:pt>
                <c:pt idx="19">
                  <c:v>316.24713883125997</c:v>
                </c:pt>
                <c:pt idx="20">
                  <c:v>316.24713883125997</c:v>
                </c:pt>
                <c:pt idx="21">
                  <c:v>316.24713883125997</c:v>
                </c:pt>
                <c:pt idx="22">
                  <c:v>316.24713883125997</c:v>
                </c:pt>
                <c:pt idx="23">
                  <c:v>316.24713883125997</c:v>
                </c:pt>
                <c:pt idx="24">
                  <c:v>316.24713883125997</c:v>
                </c:pt>
                <c:pt idx="25">
                  <c:v>316.24713883125997</c:v>
                </c:pt>
                <c:pt idx="26">
                  <c:v>316.24713883125997</c:v>
                </c:pt>
                <c:pt idx="27">
                  <c:v>316.24713883125997</c:v>
                </c:pt>
                <c:pt idx="28">
                  <c:v>316.24713883125997</c:v>
                </c:pt>
                <c:pt idx="29">
                  <c:v>316.24713883125997</c:v>
                </c:pt>
                <c:pt idx="30">
                  <c:v>316.24713883125997</c:v>
                </c:pt>
                <c:pt idx="31">
                  <c:v>316.24713883125997</c:v>
                </c:pt>
                <c:pt idx="32">
                  <c:v>316.24713883125997</c:v>
                </c:pt>
              </c:numCache>
            </c:numRef>
          </c:val>
          <c:extLst>
            <c:ext xmlns:c16="http://schemas.microsoft.com/office/drawing/2014/chart" uri="{C3380CC4-5D6E-409C-BE32-E72D297353CC}">
              <c16:uniqueId val="{00000005-5C08-43CE-ADEA-40C3ECB0325F}"/>
            </c:ext>
          </c:extLst>
        </c:ser>
        <c:dLbls>
          <c:showLegendKey val="0"/>
          <c:showVal val="0"/>
          <c:showCatName val="0"/>
          <c:showSerName val="0"/>
          <c:showPercent val="0"/>
          <c:showBubbleSize val="0"/>
        </c:dLbls>
        <c:gapWidth val="150"/>
        <c:overlap val="100"/>
        <c:axId val="427218384"/>
        <c:axId val="427219168"/>
      </c:barChart>
      <c:catAx>
        <c:axId val="427218384"/>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27219168"/>
        <c:crosses val="autoZero"/>
        <c:auto val="1"/>
        <c:lblAlgn val="ctr"/>
        <c:lblOffset val="100"/>
        <c:noMultiLvlLbl val="0"/>
      </c:catAx>
      <c:valAx>
        <c:axId val="427219168"/>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r>
                  <a:rPr lang="en-US" sz="1000" b="0" i="0" baseline="0">
                    <a:effectLst/>
                  </a:rPr>
                  <a:t>GHG Emissions (gCO</a:t>
                </a:r>
                <a:r>
                  <a:rPr lang="en-US" sz="1000" b="0" i="0" baseline="-25000">
                    <a:effectLst/>
                  </a:rPr>
                  <a:t>2</a:t>
                </a:r>
                <a:r>
                  <a:rPr lang="en-US" sz="1000" b="0" i="0" baseline="0">
                    <a:effectLst/>
                  </a:rPr>
                  <a:t>e/mile driven)</a:t>
                </a:r>
                <a:endParaRPr lang="en-US"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27218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sz="10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Sheet1!$J$1</c:f>
              <c:strCache>
                <c:ptCount val="1"/>
                <c:pt idx="0">
                  <c:v>Upstream</c:v>
                </c:pt>
              </c:strCache>
            </c:strRef>
          </c:tx>
          <c:spPr>
            <a:solidFill>
              <a:srgbClr val="7030A0">
                <a:alpha val="60000"/>
              </a:srgbClr>
            </a:solidFill>
            <a:ln>
              <a:noFill/>
            </a:ln>
            <a:effectLst/>
          </c:spPr>
          <c:invertIfNegative val="0"/>
          <c:val>
            <c:numRef>
              <c:f>Sheet1!$J$2:$J$15</c:f>
              <c:numCache>
                <c:formatCode>General</c:formatCode>
                <c:ptCount val="14"/>
                <c:pt idx="0">
                  <c:v>76.024900000000002</c:v>
                </c:pt>
                <c:pt idx="1">
                  <c:v>72.962299999999999</c:v>
                </c:pt>
                <c:pt idx="2">
                  <c:v>95.325400000000002</c:v>
                </c:pt>
                <c:pt idx="3">
                  <c:v>91.365300000000005</c:v>
                </c:pt>
                <c:pt idx="4">
                  <c:v>128.53139999999999</c:v>
                </c:pt>
                <c:pt idx="5">
                  <c:v>113.39579999999999</c:v>
                </c:pt>
                <c:pt idx="6">
                  <c:v>106.35339999999999</c:v>
                </c:pt>
                <c:pt idx="7">
                  <c:v>111.68819999999999</c:v>
                </c:pt>
                <c:pt idx="8">
                  <c:v>99.755600000000001</c:v>
                </c:pt>
                <c:pt idx="9">
                  <c:v>98.533000000000001</c:v>
                </c:pt>
                <c:pt idx="10">
                  <c:v>108.071</c:v>
                </c:pt>
                <c:pt idx="11">
                  <c:v>104.1204</c:v>
                </c:pt>
                <c:pt idx="12">
                  <c:v>98.583500000000001</c:v>
                </c:pt>
                <c:pt idx="13">
                  <c:v>57.723399999999998</c:v>
                </c:pt>
              </c:numCache>
            </c:numRef>
          </c:val>
          <c:extLst>
            <c:ext xmlns:c16="http://schemas.microsoft.com/office/drawing/2014/chart" uri="{C3380CC4-5D6E-409C-BE32-E72D297353CC}">
              <c16:uniqueId val="{00000000-5439-41D0-832A-6FB9A343F2FB}"/>
            </c:ext>
          </c:extLst>
        </c:ser>
        <c:ser>
          <c:idx val="1"/>
          <c:order val="1"/>
          <c:tx>
            <c:strRef>
              <c:f>Sheet1!$K$1</c:f>
              <c:strCache>
                <c:ptCount val="1"/>
                <c:pt idx="0">
                  <c:v>Midstream</c:v>
                </c:pt>
              </c:strCache>
            </c:strRef>
          </c:tx>
          <c:spPr>
            <a:solidFill>
              <a:srgbClr val="FF0000">
                <a:alpha val="60000"/>
              </a:srgbClr>
            </a:solidFill>
            <a:ln>
              <a:noFill/>
            </a:ln>
            <a:effectLst/>
          </c:spPr>
          <c:invertIfNegative val="0"/>
          <c:val>
            <c:numRef>
              <c:f>Sheet1!$K$2:$K$15</c:f>
              <c:numCache>
                <c:formatCode>General</c:formatCode>
                <c:ptCount val="14"/>
                <c:pt idx="0">
                  <c:v>4.7202000000000002</c:v>
                </c:pt>
                <c:pt idx="1">
                  <c:v>4.5301</c:v>
                </c:pt>
                <c:pt idx="2">
                  <c:v>5.9185999999999996</c:v>
                </c:pt>
                <c:pt idx="3">
                  <c:v>5.6726999999999999</c:v>
                </c:pt>
                <c:pt idx="4">
                  <c:v>26.741099999999999</c:v>
                </c:pt>
                <c:pt idx="5">
                  <c:v>23.592199999999998</c:v>
                </c:pt>
                <c:pt idx="6">
                  <c:v>22.126999999999999</c:v>
                </c:pt>
                <c:pt idx="7">
                  <c:v>23.236899999999999</c:v>
                </c:pt>
                <c:pt idx="8">
                  <c:v>20.754300000000001</c:v>
                </c:pt>
                <c:pt idx="9">
                  <c:v>20.4999</c:v>
                </c:pt>
                <c:pt idx="10">
                  <c:v>22.484300000000001</c:v>
                </c:pt>
                <c:pt idx="11">
                  <c:v>21.662400000000002</c:v>
                </c:pt>
                <c:pt idx="12">
                  <c:v>20.510400000000001</c:v>
                </c:pt>
                <c:pt idx="13">
                  <c:v>12.009399999999999</c:v>
                </c:pt>
              </c:numCache>
            </c:numRef>
          </c:val>
          <c:extLst>
            <c:ext xmlns:c16="http://schemas.microsoft.com/office/drawing/2014/chart" uri="{C3380CC4-5D6E-409C-BE32-E72D297353CC}">
              <c16:uniqueId val="{00000001-5439-41D0-832A-6FB9A343F2FB}"/>
            </c:ext>
          </c:extLst>
        </c:ser>
        <c:ser>
          <c:idx val="2"/>
          <c:order val="2"/>
          <c:tx>
            <c:strRef>
              <c:f>Sheet1!$L$1</c:f>
              <c:strCache>
                <c:ptCount val="1"/>
                <c:pt idx="0">
                  <c:v>Process</c:v>
                </c:pt>
              </c:strCache>
            </c:strRef>
          </c:tx>
          <c:spPr>
            <a:solidFill>
              <a:srgbClr val="0000FF">
                <a:alpha val="60000"/>
              </a:srgbClr>
            </a:solidFill>
            <a:ln>
              <a:noFill/>
            </a:ln>
            <a:effectLst/>
          </c:spPr>
          <c:invertIfNegative val="0"/>
          <c:val>
            <c:numRef>
              <c:f>Sheet1!$L$2:$L$15</c:f>
              <c:numCache>
                <c:formatCode>General</c:formatCode>
                <c:ptCount val="14"/>
                <c:pt idx="0">
                  <c:v>863.49</c:v>
                </c:pt>
                <c:pt idx="1">
                  <c:v>828.18</c:v>
                </c:pt>
                <c:pt idx="2">
                  <c:v>108.07</c:v>
                </c:pt>
                <c:pt idx="3">
                  <c:v>103.79</c:v>
                </c:pt>
                <c:pt idx="4">
                  <c:v>700.43290000000002</c:v>
                </c:pt>
                <c:pt idx="5">
                  <c:v>665.13689999999997</c:v>
                </c:pt>
                <c:pt idx="6">
                  <c:v>626.69759999999997</c:v>
                </c:pt>
                <c:pt idx="7">
                  <c:v>658.65689999999995</c:v>
                </c:pt>
                <c:pt idx="8">
                  <c:v>587.64620000000002</c:v>
                </c:pt>
                <c:pt idx="9">
                  <c:v>580.31600000000003</c:v>
                </c:pt>
                <c:pt idx="10">
                  <c:v>637.20860000000005</c:v>
                </c:pt>
                <c:pt idx="11">
                  <c:v>613.73580000000004</c:v>
                </c:pt>
                <c:pt idx="12">
                  <c:v>580.68539999999996</c:v>
                </c:pt>
                <c:pt idx="13">
                  <c:v>388.31369999999998</c:v>
                </c:pt>
              </c:numCache>
            </c:numRef>
          </c:val>
          <c:extLst>
            <c:ext xmlns:c16="http://schemas.microsoft.com/office/drawing/2014/chart" uri="{C3380CC4-5D6E-409C-BE32-E72D297353CC}">
              <c16:uniqueId val="{00000002-5439-41D0-832A-6FB9A343F2FB}"/>
            </c:ext>
          </c:extLst>
        </c:ser>
        <c:ser>
          <c:idx val="3"/>
          <c:order val="3"/>
          <c:tx>
            <c:strRef>
              <c:f>Sheet1!$M$1</c:f>
              <c:strCache>
                <c:ptCount val="1"/>
                <c:pt idx="0">
                  <c:v>CCUS</c:v>
                </c:pt>
              </c:strCache>
            </c:strRef>
          </c:tx>
          <c:spPr>
            <a:solidFill>
              <a:schemeClr val="accent4"/>
            </a:solidFill>
            <a:ln>
              <a:noFill/>
            </a:ln>
            <a:effectLst/>
          </c:spPr>
          <c:invertIfNegative val="0"/>
          <c:val>
            <c:numRef>
              <c:f>Sheet1!$M$2:$M$15</c:f>
              <c:numCache>
                <c:formatCode>General</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c:ext xmlns:c16="http://schemas.microsoft.com/office/drawing/2014/chart" uri="{C3380CC4-5D6E-409C-BE32-E72D297353CC}">
              <c16:uniqueId val="{00000003-5439-41D0-832A-6FB9A343F2FB}"/>
            </c:ext>
          </c:extLst>
        </c:ser>
        <c:ser>
          <c:idx val="4"/>
          <c:order val="4"/>
          <c:tx>
            <c:strRef>
              <c:f>Sheet1!$N$1</c:f>
              <c:strCache>
                <c:ptCount val="1"/>
                <c:pt idx="0">
                  <c:v>Gate to user</c:v>
                </c:pt>
              </c:strCache>
            </c:strRef>
          </c:tx>
          <c:spPr>
            <a:solidFill>
              <a:schemeClr val="accent5"/>
            </a:solidFill>
            <a:ln>
              <a:noFill/>
            </a:ln>
            <a:effectLst/>
          </c:spPr>
          <c:invertIfNegative val="0"/>
          <c:val>
            <c:numRef>
              <c:f>Sheet1!$N$2:$N$15</c:f>
              <c:numCache>
                <c:formatCode>General</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c:ext xmlns:c16="http://schemas.microsoft.com/office/drawing/2014/chart" uri="{C3380CC4-5D6E-409C-BE32-E72D297353CC}">
              <c16:uniqueId val="{00000004-5439-41D0-832A-6FB9A343F2FB}"/>
            </c:ext>
          </c:extLst>
        </c:ser>
        <c:ser>
          <c:idx val="5"/>
          <c:order val="5"/>
          <c:tx>
            <c:strRef>
              <c:f>Sheet1!$O$1</c:f>
              <c:strCache>
                <c:ptCount val="1"/>
                <c:pt idx="0">
                  <c:v>End use</c:v>
                </c:pt>
              </c:strCache>
            </c:strRef>
          </c:tx>
          <c:spPr>
            <a:solidFill>
              <a:schemeClr val="accent6"/>
            </a:solidFill>
            <a:ln>
              <a:noFill/>
            </a:ln>
            <a:effectLst/>
          </c:spPr>
          <c:invertIfNegative val="0"/>
          <c:val>
            <c:numRef>
              <c:f>Sheet1!$O$2:$O$15</c:f>
              <c:numCache>
                <c:formatCode>General</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c:ext xmlns:c16="http://schemas.microsoft.com/office/drawing/2014/chart" uri="{C3380CC4-5D6E-409C-BE32-E72D297353CC}">
              <c16:uniqueId val="{00000005-5439-41D0-832A-6FB9A343F2FB}"/>
            </c:ext>
          </c:extLst>
        </c:ser>
        <c:dLbls>
          <c:showLegendKey val="0"/>
          <c:showVal val="0"/>
          <c:showCatName val="0"/>
          <c:showSerName val="0"/>
          <c:showPercent val="0"/>
          <c:showBubbleSize val="0"/>
        </c:dLbls>
        <c:gapWidth val="150"/>
        <c:overlap val="100"/>
        <c:axId val="427900064"/>
        <c:axId val="427901240"/>
      </c:barChart>
      <c:catAx>
        <c:axId val="427900064"/>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7901240"/>
        <c:crosses val="autoZero"/>
        <c:auto val="1"/>
        <c:lblAlgn val="ctr"/>
        <c:lblOffset val="100"/>
        <c:noMultiLvlLbl val="0"/>
      </c:catAx>
      <c:valAx>
        <c:axId val="427901240"/>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sz="1000" b="0" i="0" baseline="0">
                    <a:effectLst/>
                  </a:rPr>
                  <a:t>GHG Emissions (gCO</a:t>
                </a:r>
                <a:r>
                  <a:rPr lang="en-US" sz="1000" b="0" i="0" baseline="-25000">
                    <a:effectLst/>
                  </a:rPr>
                  <a:t>2</a:t>
                </a:r>
                <a:r>
                  <a:rPr lang="en-US" sz="1000" b="0" i="0" baseline="0">
                    <a:effectLst/>
                  </a:rPr>
                  <a:t>e/kWh)</a:t>
                </a:r>
                <a:endParaRPr lang="en-US" sz="1000"/>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7900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sz="1000">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Sheet1!$J$21</c:f>
              <c:strCache>
                <c:ptCount val="1"/>
                <c:pt idx="0">
                  <c:v>Upstream</c:v>
                </c:pt>
              </c:strCache>
            </c:strRef>
          </c:tx>
          <c:spPr>
            <a:solidFill>
              <a:srgbClr val="7030A0">
                <a:alpha val="60000"/>
              </a:srgbClr>
            </a:solidFill>
            <a:ln>
              <a:noFill/>
            </a:ln>
            <a:effectLst/>
          </c:spPr>
          <c:invertIfNegative val="0"/>
          <c:val>
            <c:numRef>
              <c:f>Sheet1!$J$22:$J$29</c:f>
              <c:numCache>
                <c:formatCode>General</c:formatCode>
                <c:ptCount val="8"/>
                <c:pt idx="0">
                  <c:v>98.533000000000001</c:v>
                </c:pt>
                <c:pt idx="1">
                  <c:v>49.471699999999998</c:v>
                </c:pt>
                <c:pt idx="2">
                  <c:v>51.788499999999999</c:v>
                </c:pt>
                <c:pt idx="3">
                  <c:v>54.332999999999998</c:v>
                </c:pt>
                <c:pt idx="4">
                  <c:v>57.666400000000003</c:v>
                </c:pt>
                <c:pt idx="5">
                  <c:v>60.838900000000002</c:v>
                </c:pt>
                <c:pt idx="6">
                  <c:v>65.502600000000001</c:v>
                </c:pt>
                <c:pt idx="7">
                  <c:v>72.3048</c:v>
                </c:pt>
              </c:numCache>
            </c:numRef>
          </c:val>
          <c:extLst>
            <c:ext xmlns:c16="http://schemas.microsoft.com/office/drawing/2014/chart" uri="{C3380CC4-5D6E-409C-BE32-E72D297353CC}">
              <c16:uniqueId val="{00000000-386A-4439-ABF7-68C0CF2BE7A1}"/>
            </c:ext>
          </c:extLst>
        </c:ser>
        <c:ser>
          <c:idx val="1"/>
          <c:order val="1"/>
          <c:tx>
            <c:strRef>
              <c:f>Sheet1!$K$21</c:f>
              <c:strCache>
                <c:ptCount val="1"/>
                <c:pt idx="0">
                  <c:v>Midstream</c:v>
                </c:pt>
              </c:strCache>
            </c:strRef>
          </c:tx>
          <c:spPr>
            <a:solidFill>
              <a:srgbClr val="FF0000">
                <a:alpha val="60000"/>
              </a:srgbClr>
            </a:solidFill>
            <a:ln>
              <a:noFill/>
            </a:ln>
            <a:effectLst/>
          </c:spPr>
          <c:invertIfNegative val="0"/>
          <c:val>
            <c:numRef>
              <c:f>Sheet1!$K$22:$K$29</c:f>
              <c:numCache>
                <c:formatCode>General</c:formatCode>
                <c:ptCount val="8"/>
                <c:pt idx="0">
                  <c:v>20.4999</c:v>
                </c:pt>
                <c:pt idx="1">
                  <c:v>20.4999</c:v>
                </c:pt>
                <c:pt idx="2">
                  <c:v>21.46</c:v>
                </c:pt>
                <c:pt idx="3">
                  <c:v>22.514399999999998</c:v>
                </c:pt>
                <c:pt idx="4">
                  <c:v>23.895600000000002</c:v>
                </c:pt>
                <c:pt idx="5">
                  <c:v>25.2103</c:v>
                </c:pt>
                <c:pt idx="6">
                  <c:v>27.142800000000001</c:v>
                </c:pt>
                <c:pt idx="7">
                  <c:v>29.961400000000001</c:v>
                </c:pt>
              </c:numCache>
            </c:numRef>
          </c:val>
          <c:extLst>
            <c:ext xmlns:c16="http://schemas.microsoft.com/office/drawing/2014/chart" uri="{C3380CC4-5D6E-409C-BE32-E72D297353CC}">
              <c16:uniqueId val="{00000001-386A-4439-ABF7-68C0CF2BE7A1}"/>
            </c:ext>
          </c:extLst>
        </c:ser>
        <c:ser>
          <c:idx val="2"/>
          <c:order val="2"/>
          <c:tx>
            <c:strRef>
              <c:f>Sheet1!$L$21</c:f>
              <c:strCache>
                <c:ptCount val="1"/>
                <c:pt idx="0">
                  <c:v>Process</c:v>
                </c:pt>
              </c:strCache>
            </c:strRef>
          </c:tx>
          <c:spPr>
            <a:solidFill>
              <a:srgbClr val="0000FF">
                <a:alpha val="60000"/>
              </a:srgbClr>
            </a:solidFill>
            <a:ln>
              <a:noFill/>
            </a:ln>
            <a:effectLst/>
          </c:spPr>
          <c:invertIfNegative val="0"/>
          <c:val>
            <c:numRef>
              <c:f>Sheet1!$L$22:$L$29</c:f>
              <c:numCache>
                <c:formatCode>General</c:formatCode>
                <c:ptCount val="8"/>
                <c:pt idx="0">
                  <c:v>580.31600000000003</c:v>
                </c:pt>
                <c:pt idx="1">
                  <c:v>580.31600000000003</c:v>
                </c:pt>
                <c:pt idx="2">
                  <c:v>607.49329999999998</c:v>
                </c:pt>
                <c:pt idx="3">
                  <c:v>637.34130000000005</c:v>
                </c:pt>
                <c:pt idx="4">
                  <c:v>676.44200000000001</c:v>
                </c:pt>
                <c:pt idx="5">
                  <c:v>713.65719999999999</c:v>
                </c:pt>
                <c:pt idx="6">
                  <c:v>768.36260000000004</c:v>
                </c:pt>
                <c:pt idx="7">
                  <c:v>848.15419999999995</c:v>
                </c:pt>
              </c:numCache>
            </c:numRef>
          </c:val>
          <c:extLst>
            <c:ext xmlns:c16="http://schemas.microsoft.com/office/drawing/2014/chart" uri="{C3380CC4-5D6E-409C-BE32-E72D297353CC}">
              <c16:uniqueId val="{00000002-386A-4439-ABF7-68C0CF2BE7A1}"/>
            </c:ext>
          </c:extLst>
        </c:ser>
        <c:ser>
          <c:idx val="3"/>
          <c:order val="3"/>
          <c:tx>
            <c:strRef>
              <c:f>Sheet1!$M$21</c:f>
              <c:strCache>
                <c:ptCount val="1"/>
                <c:pt idx="0">
                  <c:v>CCUS</c:v>
                </c:pt>
              </c:strCache>
            </c:strRef>
          </c:tx>
          <c:spPr>
            <a:solidFill>
              <a:schemeClr val="accent4"/>
            </a:solidFill>
            <a:ln>
              <a:noFill/>
            </a:ln>
            <a:effectLst/>
          </c:spPr>
          <c:invertIfNegative val="0"/>
          <c:val>
            <c:numRef>
              <c:f>Sheet1!$M$22:$M$29</c:f>
              <c:numCache>
                <c:formatCode>General</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3-386A-4439-ABF7-68C0CF2BE7A1}"/>
            </c:ext>
          </c:extLst>
        </c:ser>
        <c:ser>
          <c:idx val="4"/>
          <c:order val="4"/>
          <c:tx>
            <c:strRef>
              <c:f>Sheet1!$N$21</c:f>
              <c:strCache>
                <c:ptCount val="1"/>
                <c:pt idx="0">
                  <c:v>Gate to user</c:v>
                </c:pt>
              </c:strCache>
            </c:strRef>
          </c:tx>
          <c:spPr>
            <a:solidFill>
              <a:schemeClr val="accent5"/>
            </a:solidFill>
            <a:ln>
              <a:noFill/>
            </a:ln>
            <a:effectLst/>
          </c:spPr>
          <c:invertIfNegative val="0"/>
          <c:val>
            <c:numRef>
              <c:f>Sheet1!$N$22:$N$29</c:f>
              <c:numCache>
                <c:formatCode>General</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4-386A-4439-ABF7-68C0CF2BE7A1}"/>
            </c:ext>
          </c:extLst>
        </c:ser>
        <c:ser>
          <c:idx val="5"/>
          <c:order val="5"/>
          <c:tx>
            <c:strRef>
              <c:f>Sheet1!$O$21</c:f>
              <c:strCache>
                <c:ptCount val="1"/>
                <c:pt idx="0">
                  <c:v>End use</c:v>
                </c:pt>
              </c:strCache>
            </c:strRef>
          </c:tx>
          <c:spPr>
            <a:solidFill>
              <a:schemeClr val="accent6"/>
            </a:solidFill>
            <a:ln>
              <a:noFill/>
            </a:ln>
            <a:effectLst/>
          </c:spPr>
          <c:invertIfNegative val="0"/>
          <c:val>
            <c:numRef>
              <c:f>Sheet1!$O$22:$O$29</c:f>
              <c:numCache>
                <c:formatCode>General</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5-386A-4439-ABF7-68C0CF2BE7A1}"/>
            </c:ext>
          </c:extLst>
        </c:ser>
        <c:dLbls>
          <c:showLegendKey val="0"/>
          <c:showVal val="0"/>
          <c:showCatName val="0"/>
          <c:showSerName val="0"/>
          <c:showPercent val="0"/>
          <c:showBubbleSize val="0"/>
        </c:dLbls>
        <c:gapWidth val="150"/>
        <c:overlap val="100"/>
        <c:axId val="427904376"/>
        <c:axId val="427904768"/>
      </c:barChart>
      <c:catAx>
        <c:axId val="427904376"/>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7904768"/>
        <c:crosses val="autoZero"/>
        <c:auto val="1"/>
        <c:lblAlgn val="ctr"/>
        <c:lblOffset val="100"/>
        <c:noMultiLvlLbl val="0"/>
      </c:catAx>
      <c:valAx>
        <c:axId val="427904768"/>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sz="1000" b="0" i="0" baseline="0">
                    <a:effectLst/>
                  </a:rPr>
                  <a:t>GHG Emissions (gCO</a:t>
                </a:r>
                <a:r>
                  <a:rPr lang="en-US" sz="1000" b="0" i="0" baseline="-25000">
                    <a:effectLst/>
                  </a:rPr>
                  <a:t>2</a:t>
                </a:r>
                <a:r>
                  <a:rPr lang="en-US" sz="1000" b="0" i="0" baseline="0">
                    <a:effectLst/>
                  </a:rPr>
                  <a:t>e/kWh)</a:t>
                </a:r>
                <a:endParaRPr lang="en-US" sz="1000">
                  <a:effectLst/>
                </a:endParaRP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7904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sz="1000">
          <a:solidFill>
            <a:sysClr val="windowText" lastClr="000000"/>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Sheet1!$AJ$22</c:f>
              <c:strCache>
                <c:ptCount val="1"/>
                <c:pt idx="0">
                  <c:v>Upstream</c:v>
                </c:pt>
              </c:strCache>
            </c:strRef>
          </c:tx>
          <c:spPr>
            <a:solidFill>
              <a:srgbClr val="7030A0">
                <a:alpha val="60000"/>
              </a:srgbClr>
            </a:solidFill>
            <a:ln>
              <a:noFill/>
            </a:ln>
            <a:effectLst/>
          </c:spPr>
          <c:invertIfNegative val="0"/>
          <c:val>
            <c:numRef>
              <c:f>Sheet1!$AJ$24:$AJ$30</c:f>
              <c:numCache>
                <c:formatCode>General</c:formatCode>
                <c:ptCount val="7"/>
                <c:pt idx="0">
                  <c:v>28.9819</c:v>
                </c:pt>
                <c:pt idx="1">
                  <c:v>29.690100000000001</c:v>
                </c:pt>
                <c:pt idx="2">
                  <c:v>30.492599999999999</c:v>
                </c:pt>
                <c:pt idx="3">
                  <c:v>31.215699999999998</c:v>
                </c:pt>
                <c:pt idx="4">
                  <c:v>31.909400000000002</c:v>
                </c:pt>
                <c:pt idx="5">
                  <c:v>32.500300000000003</c:v>
                </c:pt>
                <c:pt idx="6">
                  <c:v>33.393500000000003</c:v>
                </c:pt>
              </c:numCache>
            </c:numRef>
          </c:val>
          <c:extLst>
            <c:ext xmlns:c16="http://schemas.microsoft.com/office/drawing/2014/chart" uri="{C3380CC4-5D6E-409C-BE32-E72D297353CC}">
              <c16:uniqueId val="{00000000-CF83-4661-B430-470CCD8DD694}"/>
            </c:ext>
          </c:extLst>
        </c:ser>
        <c:ser>
          <c:idx val="1"/>
          <c:order val="1"/>
          <c:tx>
            <c:strRef>
              <c:f>Sheet1!$AK$22</c:f>
              <c:strCache>
                <c:ptCount val="1"/>
                <c:pt idx="0">
                  <c:v>Midstream</c:v>
                </c:pt>
              </c:strCache>
            </c:strRef>
          </c:tx>
          <c:spPr>
            <a:solidFill>
              <a:srgbClr val="FF0000">
                <a:alpha val="60000"/>
              </a:srgbClr>
            </a:solidFill>
            <a:ln>
              <a:noFill/>
            </a:ln>
            <a:effectLst/>
          </c:spPr>
          <c:invertIfNegative val="0"/>
          <c:val>
            <c:numRef>
              <c:f>Sheet1!$AK$24:$AK$30</c:f>
              <c:numCache>
                <c:formatCode>General</c:formatCode>
                <c:ptCount val="7"/>
                <c:pt idx="0">
                  <c:v>12.009399999999999</c:v>
                </c:pt>
                <c:pt idx="1">
                  <c:v>12.302899999999999</c:v>
                </c:pt>
                <c:pt idx="2">
                  <c:v>12.635400000000001</c:v>
                </c:pt>
                <c:pt idx="3">
                  <c:v>12.9351</c:v>
                </c:pt>
                <c:pt idx="4">
                  <c:v>13.2225</c:v>
                </c:pt>
                <c:pt idx="5">
                  <c:v>13.4674</c:v>
                </c:pt>
                <c:pt idx="6">
                  <c:v>13.8375</c:v>
                </c:pt>
              </c:numCache>
            </c:numRef>
          </c:val>
          <c:extLst>
            <c:ext xmlns:c16="http://schemas.microsoft.com/office/drawing/2014/chart" uri="{C3380CC4-5D6E-409C-BE32-E72D297353CC}">
              <c16:uniqueId val="{00000001-CF83-4661-B430-470CCD8DD694}"/>
            </c:ext>
          </c:extLst>
        </c:ser>
        <c:ser>
          <c:idx val="2"/>
          <c:order val="2"/>
          <c:tx>
            <c:strRef>
              <c:f>Sheet1!$AL$22</c:f>
              <c:strCache>
                <c:ptCount val="1"/>
                <c:pt idx="0">
                  <c:v>Process</c:v>
                </c:pt>
              </c:strCache>
            </c:strRef>
          </c:tx>
          <c:spPr>
            <a:solidFill>
              <a:srgbClr val="0000FF">
                <a:alpha val="60000"/>
              </a:srgbClr>
            </a:solidFill>
            <a:ln>
              <a:noFill/>
            </a:ln>
            <a:effectLst/>
          </c:spPr>
          <c:invertIfNegative val="0"/>
          <c:val>
            <c:numRef>
              <c:f>Sheet1!$AL$24:$AL$30</c:f>
              <c:numCache>
                <c:formatCode>General</c:formatCode>
                <c:ptCount val="7"/>
                <c:pt idx="0">
                  <c:v>388.31369999999998</c:v>
                </c:pt>
                <c:pt idx="1">
                  <c:v>397.80259999999998</c:v>
                </c:pt>
                <c:pt idx="2">
                  <c:v>408.55399999999997</c:v>
                </c:pt>
                <c:pt idx="3">
                  <c:v>418.24299999999999</c:v>
                </c:pt>
                <c:pt idx="4">
                  <c:v>427.53730000000002</c:v>
                </c:pt>
                <c:pt idx="5">
                  <c:v>435.4547</c:v>
                </c:pt>
                <c:pt idx="6">
                  <c:v>447.4228</c:v>
                </c:pt>
              </c:numCache>
            </c:numRef>
          </c:val>
          <c:extLst>
            <c:ext xmlns:c16="http://schemas.microsoft.com/office/drawing/2014/chart" uri="{C3380CC4-5D6E-409C-BE32-E72D297353CC}">
              <c16:uniqueId val="{00000002-CF83-4661-B430-470CCD8DD694}"/>
            </c:ext>
          </c:extLst>
        </c:ser>
        <c:ser>
          <c:idx val="3"/>
          <c:order val="3"/>
          <c:tx>
            <c:strRef>
              <c:f>Sheet1!$AM$22</c:f>
              <c:strCache>
                <c:ptCount val="1"/>
                <c:pt idx="0">
                  <c:v>CCUS</c:v>
                </c:pt>
              </c:strCache>
            </c:strRef>
          </c:tx>
          <c:spPr>
            <a:solidFill>
              <a:schemeClr val="accent4"/>
            </a:solidFill>
            <a:ln>
              <a:noFill/>
            </a:ln>
            <a:effectLst/>
          </c:spPr>
          <c:invertIfNegative val="0"/>
          <c:val>
            <c:numRef>
              <c:f>Sheet1!$AM$24:$AM$30</c:f>
              <c:numCache>
                <c:formatCode>General</c:formatCode>
                <c:ptCount val="7"/>
                <c:pt idx="0">
                  <c:v>0</c:v>
                </c:pt>
                <c:pt idx="1">
                  <c:v>0</c:v>
                </c:pt>
                <c:pt idx="2">
                  <c:v>0</c:v>
                </c:pt>
                <c:pt idx="3">
                  <c:v>0</c:v>
                </c:pt>
                <c:pt idx="4">
                  <c:v>0</c:v>
                </c:pt>
                <c:pt idx="5">
                  <c:v>0</c:v>
                </c:pt>
                <c:pt idx="6">
                  <c:v>0</c:v>
                </c:pt>
              </c:numCache>
            </c:numRef>
          </c:val>
          <c:extLst>
            <c:ext xmlns:c16="http://schemas.microsoft.com/office/drawing/2014/chart" uri="{C3380CC4-5D6E-409C-BE32-E72D297353CC}">
              <c16:uniqueId val="{00000003-CF83-4661-B430-470CCD8DD694}"/>
            </c:ext>
          </c:extLst>
        </c:ser>
        <c:ser>
          <c:idx val="4"/>
          <c:order val="4"/>
          <c:tx>
            <c:strRef>
              <c:f>Sheet1!$AN$22</c:f>
              <c:strCache>
                <c:ptCount val="1"/>
                <c:pt idx="0">
                  <c:v>Gate to user</c:v>
                </c:pt>
              </c:strCache>
            </c:strRef>
          </c:tx>
          <c:spPr>
            <a:solidFill>
              <a:schemeClr val="accent5"/>
            </a:solidFill>
            <a:ln>
              <a:noFill/>
            </a:ln>
            <a:effectLst/>
          </c:spPr>
          <c:invertIfNegative val="0"/>
          <c:val>
            <c:numRef>
              <c:f>Sheet1!$AN$24:$AN$30</c:f>
              <c:numCache>
                <c:formatCode>General</c:formatCode>
                <c:ptCount val="7"/>
                <c:pt idx="0">
                  <c:v>0</c:v>
                </c:pt>
                <c:pt idx="1">
                  <c:v>0</c:v>
                </c:pt>
                <c:pt idx="2">
                  <c:v>0</c:v>
                </c:pt>
                <c:pt idx="3">
                  <c:v>0</c:v>
                </c:pt>
                <c:pt idx="4">
                  <c:v>0</c:v>
                </c:pt>
                <c:pt idx="5">
                  <c:v>0</c:v>
                </c:pt>
                <c:pt idx="6">
                  <c:v>0</c:v>
                </c:pt>
              </c:numCache>
            </c:numRef>
          </c:val>
          <c:extLst>
            <c:ext xmlns:c16="http://schemas.microsoft.com/office/drawing/2014/chart" uri="{C3380CC4-5D6E-409C-BE32-E72D297353CC}">
              <c16:uniqueId val="{00000004-CF83-4661-B430-470CCD8DD694}"/>
            </c:ext>
          </c:extLst>
        </c:ser>
        <c:ser>
          <c:idx val="5"/>
          <c:order val="5"/>
          <c:tx>
            <c:strRef>
              <c:f>Sheet1!$AO$22</c:f>
              <c:strCache>
                <c:ptCount val="1"/>
                <c:pt idx="0">
                  <c:v>End use</c:v>
                </c:pt>
              </c:strCache>
            </c:strRef>
          </c:tx>
          <c:spPr>
            <a:solidFill>
              <a:schemeClr val="accent6"/>
            </a:solidFill>
            <a:ln>
              <a:noFill/>
            </a:ln>
            <a:effectLst/>
          </c:spPr>
          <c:invertIfNegative val="0"/>
          <c:val>
            <c:numRef>
              <c:f>Sheet1!$AO$24:$AO$30</c:f>
              <c:numCache>
                <c:formatCode>General</c:formatCode>
                <c:ptCount val="7"/>
                <c:pt idx="0">
                  <c:v>0</c:v>
                </c:pt>
                <c:pt idx="1">
                  <c:v>0</c:v>
                </c:pt>
                <c:pt idx="2">
                  <c:v>0</c:v>
                </c:pt>
                <c:pt idx="3">
                  <c:v>0</c:v>
                </c:pt>
                <c:pt idx="4">
                  <c:v>0</c:v>
                </c:pt>
                <c:pt idx="5">
                  <c:v>0</c:v>
                </c:pt>
                <c:pt idx="6">
                  <c:v>0</c:v>
                </c:pt>
              </c:numCache>
            </c:numRef>
          </c:val>
          <c:extLst>
            <c:ext xmlns:c16="http://schemas.microsoft.com/office/drawing/2014/chart" uri="{C3380CC4-5D6E-409C-BE32-E72D297353CC}">
              <c16:uniqueId val="{00000005-CF83-4661-B430-470CCD8DD694}"/>
            </c:ext>
          </c:extLst>
        </c:ser>
        <c:dLbls>
          <c:showLegendKey val="0"/>
          <c:showVal val="0"/>
          <c:showCatName val="0"/>
          <c:showSerName val="0"/>
          <c:showPercent val="0"/>
          <c:showBubbleSize val="0"/>
        </c:dLbls>
        <c:gapWidth val="150"/>
        <c:overlap val="100"/>
        <c:axId val="427902024"/>
        <c:axId val="427901632"/>
      </c:barChart>
      <c:catAx>
        <c:axId val="427902024"/>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27901632"/>
        <c:crosses val="autoZero"/>
        <c:auto val="1"/>
        <c:lblAlgn val="ctr"/>
        <c:lblOffset val="100"/>
        <c:noMultiLvlLbl val="0"/>
      </c:catAx>
      <c:valAx>
        <c:axId val="427901632"/>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sz="1000" b="0" i="0" baseline="0">
                    <a:effectLst/>
                  </a:rPr>
                  <a:t>GHG Emissions (gCO</a:t>
                </a:r>
                <a:r>
                  <a:rPr lang="en-US" sz="1000" b="0" i="0" baseline="-25000">
                    <a:effectLst/>
                  </a:rPr>
                  <a:t>2</a:t>
                </a:r>
                <a:r>
                  <a:rPr lang="en-US" sz="1000" b="0" i="0" baseline="0">
                    <a:effectLst/>
                  </a:rPr>
                  <a:t>e/kWh)</a:t>
                </a:r>
                <a:endParaRPr lang="en-US" sz="1000">
                  <a:effectLst/>
                </a:endParaRP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27902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sz="10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4B527-93D1-457A-92BE-5081D267E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33</Pages>
  <Words>19127</Words>
  <Characters>109024</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t_ghosh</dc:creator>
  <cp:keywords/>
  <dc:description/>
  <cp:lastModifiedBy>t_ghosh</cp:lastModifiedBy>
  <cp:revision>14</cp:revision>
  <cp:lastPrinted>2019-04-29T20:59:00Z</cp:lastPrinted>
  <dcterms:created xsi:type="dcterms:W3CDTF">2019-08-12T13:29:00Z</dcterms:created>
  <dcterms:modified xsi:type="dcterms:W3CDTF">2019-08-30T17:16:00Z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b6ba77cc-d75c-3234-abef-1b7b88af2dbf</vt:lpwstr>
  </property>
  <property fmtid="{D5CDD505-2E9C-101B-9397-08002B2CF9AE}" pid="4" name="Mendeley Citation Style_1">
    <vt:lpwstr>http://www.zotero.org/styles/applied-energy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http://www.zotero.org/styles/applied-energy</vt:lpwstr>
  </property>
  <property fmtid="{D5CDD505-2E9C-101B-9397-08002B2CF9AE}" pid="14" name="Mendeley Recent Style Name 4_1">
    <vt:lpwstr>Applied Energy</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http://www.zotero.org/styles/elsevier-vancouver-author-date</vt:lpwstr>
  </property>
  <property fmtid="{D5CDD505-2E9C-101B-9397-08002B2CF9AE}" pid="18" name="Mendeley Recent Style Name 6_1">
    <vt:lpwstr>Elsevier - Vancouver (author-date)</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_NewReviewCycle">
    <vt:lpwstr/>
  </property>
</Properties>
</file>