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o-orienting-stimuli-create-additional-task-demands-in-the-looking-while-listening-paradigm"/>
    <w:p>
      <w:pPr>
        <w:pStyle w:val="Heading1"/>
      </w:pPr>
      <w:r>
        <w:t xml:space="preserve">Do orienting stimuli create additional task demands in the looking-while-listening paradigm?</w:t>
      </w:r>
    </w:p>
    <w:bookmarkEnd w:id="21"/>
    <w:bookmarkStart w:id="22" w:name="introduction"/>
    <w:p>
      <w:pPr>
        <w:pStyle w:val="Heading2"/>
      </w:pPr>
      <w:r>
        <w:t xml:space="preserve">Introduction</w:t>
      </w:r>
    </w:p>
    <w:bookmarkEnd w:id="22"/>
    <w:p>
      <w:r>
        <w:t xml:space="preserve">The looking-while-listening paradigm</w:t>
      </w:r>
      <w:r>
        <w:t xml:space="preserve"> </w:t>
      </w:r>
      <w:r>
        <w:t xml:space="preserve">(LWL; Fernald, Zangl, Portillo, &amp; Marchman,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w:t>
      </w:r>
      <w:r>
        <w:t xml:space="preserve"> </w:t>
      </w:r>
      <w:r>
        <w:t xml:space="preserve">(Fernald, Swingley, &amp; Pinto, 2001; Marchman &amp; Fernald, 2008)</w:t>
      </w:r>
      <w:r>
        <w:t xml:space="preserve">.</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bookmarkStart w:id="23" w:name="methods"/>
    <w:p>
      <w:pPr>
        <w:pStyle w:val="Heading2"/>
      </w:pPr>
      <w:r>
        <w:t xml:space="preserve">Methods</w:t>
      </w:r>
    </w:p>
    <w:bookmarkEnd w:id="23"/>
    <w:bookmarkStart w:id="24" w:name="participants"/>
    <w:p>
      <w:pPr>
        <w:pStyle w:val="Heading3"/>
      </w:pPr>
      <w:r>
        <w:t xml:space="preserve">Participants</w:t>
      </w:r>
    </w:p>
    <w:bookmarkEnd w:id="24"/>
    <w:p>
      <w:r>
        <w:t xml:space="preserve">The participants were fifty 30-- to 48-month-old children, 25 per condition (with and without the central fixation point). All participants passed a hearing screening and had age-appropriate speech and language, according to parent report.</w:t>
      </w:r>
    </w:p>
    <w:bookmarkStart w:id="25" w:name="procedure"/>
    <w:p>
      <w:pPr>
        <w:pStyle w:val="Heading3"/>
      </w:pPr>
      <w:r>
        <w:t xml:space="preserve">Procedure</w:t>
      </w:r>
    </w:p>
    <w:bookmarkEnd w:id="25"/>
    <w:p>
      <w:r>
        <w:t xml:space="preserve">A 2AFC mispronunciation experiment was used in condition. In this experiment, children saw pictures of a familiar and an unfamiliar object and heard three types of stimuli in a carrier phrase: familiar real words, one-feature mispronunciations (</w:t>
      </w:r>
      <w:r>
        <w:rPr>
          <w:i/>
        </w:rPr>
        <w:t xml:space="preserve">dog</w:t>
      </w:r>
      <w:r>
        <w:t xml:space="preserve"> </w:t>
      </w:r>
      <w:r>
        <w:t xml:space="preserve">vs.</w:t>
      </w:r>
      <w:r>
        <w:t xml:space="preserve"> </w:t>
      </w:r>
      <w:r>
        <w:rPr>
          <w:i/>
        </w:rPr>
        <w:t xml:space="preserve">tog</w:t>
      </w:r>
      <w:r>
        <w:t xml:space="preserve">), and nonwords (/veif/). Children also received an expressive vocabulary test (EVT-2, Williams, 2007).</w:t>
      </w:r>
    </w:p>
    <w:bookmarkStart w:id="26" w:name="statistical-analysis"/>
    <w:p>
      <w:pPr>
        <w:pStyle w:val="Heading3"/>
      </w:pPr>
      <w:r>
        <w:t xml:space="preserve">Statistical Analysis</w:t>
      </w:r>
    </w:p>
    <w:bookmarkEnd w:id="26"/>
    <w:p>
      <w:r>
        <w:t xml:space="preserve">The log-odds of looking to the familiar object was the dependent variable. We used a growth curve model to model how children’s eye gaze patterns were related to their expressive vocabulary size (Mirman et al., 2008)</w:t>
      </w:r>
    </w:p>
    <w:bookmarkStart w:id="27" w:name="results-and-discussion"/>
    <w:p>
      <w:pPr>
        <w:pStyle w:val="Heading2"/>
      </w:pPr>
      <w:r>
        <w:t xml:space="preserve">Results and Discussion</w:t>
      </w:r>
    </w:p>
    <w:bookmarkEnd w:id="27"/>
    <w:p>
      <w:r>
        <w:pict>
          <v:rect style="width:0;height:1.5pt" o:hralign="center" o:hrstd="t" o:hr="t"/>
        </w:pict>
      </w:r>
    </w:p>
    <w:bookmarkStart w:id="28" w:name="scratch-area-for-testing-things-out"/>
    <w:p>
      <w:pPr>
        <w:pStyle w:val="Heading2"/>
      </w:pPr>
      <w:r>
        <w:t xml:space="preserve">Scratch area for testing things out</w:t>
      </w:r>
    </w:p>
    <w:bookmarkEnd w:id="28"/>
    <w:p>
      <w:r>
        <w:rPr>
          <w:b/>
        </w:rPr>
        <w:t xml:space="preserve">Ciations</w:t>
      </w:r>
    </w:p>
    <w:p>
      <w:pPr>
        <w:numPr>
          <w:numId w:val="2"/>
          <w:ilvl w:val="0"/>
        </w:numPr>
      </w:pPr>
      <w:r>
        <w:t xml:space="preserve">Baayen &amp; Milin (2010)</w:t>
      </w:r>
      <w:r>
        <w:t xml:space="preserve"> </w:t>
      </w:r>
      <w:r>
        <w:t xml:space="preserve">recommend blah blah blah.</w:t>
      </w:r>
    </w:p>
    <w:p>
      <w:pPr>
        <w:numPr>
          <w:numId w:val="2"/>
          <w:ilvl w:val="0"/>
        </w:numPr>
      </w:pPr>
      <w:r>
        <w:t xml:space="preserve">We try the inverse-normal distribution</w:t>
      </w:r>
      <w:r>
        <w:t xml:space="preserve"> </w:t>
      </w:r>
      <w:r>
        <w:t xml:space="preserve">(Baayen &amp; Milin, 2010)</w:t>
      </w:r>
      <w:r>
        <w:t xml:space="preserve">,</w:t>
      </w:r>
    </w:p>
    <w:p>
      <w:r>
        <w:rPr>
          <w:b/>
        </w:rPr>
        <w:t xml:space="preserve">Embed an image!</w:t>
      </w:r>
    </w:p>
    <w:p>
      <w:pPr>
        <w:pStyle w:val="SourceCode"/>
      </w:pPr>
      <w:r>
        <w:rPr>
          <w:rStyle w:val="KeywordTok"/>
        </w:rPr>
        <w:t xml:space="preserve">plot</w:t>
      </w:r>
      <w:r>
        <w:rPr>
          <w:rStyle w:val="NormalTok"/>
        </w:rPr>
        <w:t xml:space="preserve">(cars)</w:t>
      </w:r>
    </w:p>
    <w:p>
      <w:r>
        <w:drawing>
          <wp:inline>
            <wp:extent cx="6489700" cy="5562600"/>
            <wp:effectExtent b="0" l="0" r="0" t="0"/>
            <wp:docPr descr="" id="1" name="Picture"/>
            <a:graphic>
              <a:graphicData uri="http://schemas.openxmlformats.org/drawingml/2006/picture">
                <pic:pic>
                  <pic:nvPicPr>
                    <pic:cNvPr descr="figure/unnamed-chunk-1.png" id="0" name="Picture"/>
                    <pic:cNvPicPr>
                      <a:picLocks noChangeArrowheads="1" noChangeAspect="1"/>
                    </pic:cNvPicPr>
                  </pic:nvPicPr>
                  <pic:blipFill>
                    <a:blip r:embed="rId29"/>
                    <a:stretch>
                      <a:fillRect/>
                    </a:stretch>
                  </pic:blipFill>
                  <pic:spPr bwMode="auto">
                    <a:xfrm>
                      <a:off x="0" y="0"/>
                      <a:ext cx="6489700" cy="5562600"/>
                    </a:xfrm>
                    <a:prstGeom prst="rect">
                      <a:avLst/>
                    </a:prstGeom>
                    <a:noFill/>
                    <a:ln w="9525">
                      <a:noFill/>
                      <a:headEnd/>
                      <a:tailEnd/>
                    </a:ln>
                  </pic:spPr>
                </pic:pic>
              </a:graphicData>
            </a:graphic>
          </wp:inline>
        </w:drawing>
      </w:r>
    </w:p>
    <w:p>
      <w:pPr>
        <w:pStyle w:val="ImageCaption"/>
      </w:pPr>
      <w:r>
        <w:t xml:space="preserve">Test image</w:t>
      </w:r>
    </w:p>
    <w:p>
      <w:r>
        <w:rPr>
          <w:b/>
        </w:rPr>
        <w:t xml:space="preserve">Tables?</w:t>
      </w:r>
    </w:p>
    <w:p>
      <w:r>
        <w:t xml:space="preserve">Use the</w:t>
      </w:r>
      <w:r>
        <w:t xml:space="preserve"> </w:t>
      </w:r>
      <w:r>
        <w:rPr>
          <w:rStyle w:val="VerbatimChar"/>
        </w:rPr>
        <w:t xml:space="preserve">ascii</w:t>
      </w:r>
      <w:r>
        <w:t xml:space="preserve"> </w:t>
      </w:r>
      <w:r>
        <w:t xml:space="preserve">package to make a captioned Pandoc table:</w:t>
      </w:r>
    </w:p>
    <w:p>
      <w:pPr>
        <w:pStyle w:val="SourceCode"/>
      </w:pPr>
      <w:r>
        <w:rPr>
          <w:rStyle w:val="KeywordTok"/>
        </w:rPr>
        <w:t xml:space="preserve">library</w:t>
      </w:r>
      <w:r>
        <w:rPr>
          <w:rStyle w:val="NormalTok"/>
        </w:rPr>
        <w:t xml:space="preserve">(ascii)</w:t>
      </w:r>
      <w:r>
        <w:cr/>
      </w:r>
      <w:r>
        <w:rPr>
          <w:rStyle w:val="KeywordTok"/>
        </w:rPr>
        <w:t xml:space="preserve">data</w:t>
      </w:r>
      <w:r>
        <w:rPr>
          <w:rStyle w:val="NormalTok"/>
        </w:rPr>
        <w:t xml:space="preserve">(esoph)</w:t>
      </w:r>
      <w:r>
        <w:cr/>
      </w:r>
      <w:r>
        <w:rPr>
          <w:rStyle w:val="KeywordTok"/>
        </w:rPr>
        <w:t xml:space="preserve">print</w:t>
      </w:r>
      <w:r>
        <w:rPr>
          <w:rStyle w:val="NormalTok"/>
        </w:rPr>
        <w:t xml:space="preserve">(</w:t>
      </w:r>
      <w:r>
        <w:rPr>
          <w:rStyle w:val="KeywordTok"/>
        </w:rPr>
        <w:t xml:space="preserve">ascii</w:t>
      </w:r>
      <w:r>
        <w:rPr>
          <w:rStyle w:val="NormalTok"/>
        </w:rPr>
        <w:t xml:space="preserve">(esoph[</w:t>
      </w:r>
      <w:r>
        <w:rPr>
          <w:rStyle w:val="DecValTok"/>
        </w:rPr>
        <w:t xml:space="preserve">1</w:t>
      </w:r>
      <w:r>
        <w:rPr>
          <w:rStyle w:val="NormalTok"/>
        </w:rPr>
        <w:t xml:space="preserve">:</w:t>
      </w:r>
      <w:r>
        <w:rPr>
          <w:rStyle w:val="DecValTok"/>
        </w:rPr>
        <w:t xml:space="preserve">10</w:t>
      </w:r>
      <w:r>
        <w:rPr>
          <w:rStyle w:val="NormalTok"/>
        </w:rPr>
        <w:t xml:space="preserve">, ]), </w:t>
      </w:r>
      <w:r>
        <w:rPr>
          <w:rStyle w:val="DataTypeTok"/>
        </w:rPr>
        <w:t xml:space="preserve">type =</w:t>
      </w:r>
      <w:r>
        <w:rPr>
          <w:rStyle w:val="NormalTok"/>
        </w:rPr>
        <w:t xml:space="preserve"> </w:t>
      </w:r>
      <w:r>
        <w:rPr>
          <w:rStyle w:val="StringTok"/>
        </w:rPr>
        <w:t xml:space="preserve">"pandoc"</w:t>
      </w:r>
      <w:r>
        <w:rPr>
          <w:rStyle w:val="NormalTok"/>
        </w:rPr>
        <w:t xml:space="preserve">)</w:t>
      </w:r>
    </w:p>
    <w:tbl>
      <w:tblPr>
        <w:tblStyle w:val="TableNormal"/>
        <w:tblCaption w:val="This is a table caption."/>
      </w:tblPr>
      <w:tblGrid/>
      <w:tr>
        <w:tc>
          <w:tcPr>
            <w:tcBorders>
              <w:bottom w:val="single"/>
            </w:tcBorders>
            <w:vAlign w:val="bottom"/>
          </w:tcPr>
          <w:p/>
        </w:tc>
        <w:tc>
          <w:tcPr>
            <w:tcBorders>
              <w:bottom w:val="single"/>
            </w:tcBorders>
            <w:vAlign w:val="bottom"/>
          </w:tcPr>
          <w:p>
            <w:pPr>
              <w:jc w:val="left"/>
            </w:pPr>
            <w:r>
              <w:rPr>
                <w:b/>
              </w:rPr>
              <w:t xml:space="preserve">agegp</w:t>
            </w:r>
          </w:p>
        </w:tc>
        <w:tc>
          <w:tcPr>
            <w:tcBorders>
              <w:bottom w:val="single"/>
            </w:tcBorders>
            <w:vAlign w:val="bottom"/>
          </w:tcPr>
          <w:p>
            <w:pPr>
              <w:jc w:val="left"/>
            </w:pPr>
            <w:r>
              <w:rPr>
                <w:b/>
              </w:rPr>
              <w:t xml:space="preserve">alcgp</w:t>
            </w:r>
          </w:p>
        </w:tc>
        <w:tc>
          <w:tcPr>
            <w:tcBorders>
              <w:bottom w:val="single"/>
            </w:tcBorders>
            <w:vAlign w:val="bottom"/>
          </w:tcPr>
          <w:p>
            <w:pPr>
              <w:jc w:val="left"/>
            </w:pPr>
            <w:r>
              <w:rPr>
                <w:b/>
              </w:rPr>
              <w:t xml:space="preserve">tobgp</w:t>
            </w:r>
          </w:p>
        </w:tc>
        <w:tc>
          <w:tcPr>
            <w:tcBorders>
              <w:bottom w:val="single"/>
            </w:tcBorders>
            <w:vAlign w:val="bottom"/>
          </w:tcPr>
          <w:p>
            <w:pPr>
              <w:jc w:val="left"/>
            </w:pPr>
            <w:r>
              <w:rPr>
                <w:b/>
              </w:rPr>
              <w:t xml:space="preserve">ncases</w:t>
            </w:r>
          </w:p>
        </w:tc>
        <w:tc>
          <w:tcPr>
            <w:tcBorders>
              <w:bottom w:val="single"/>
            </w:tcBorders>
            <w:vAlign w:val="bottom"/>
          </w:tcPr>
          <w:p>
            <w:pPr>
              <w:jc w:val="left"/>
            </w:pPr>
            <w:r>
              <w:rPr>
                <w:b/>
              </w:rPr>
              <w:t xml:space="preserve">ncontrols</w:t>
            </w:r>
          </w:p>
        </w:tc>
      </w:tr>
      <w:tr>
        <w:tc>
          <w:p>
            <w:pPr>
              <w:jc w:val="left"/>
            </w:pPr>
            <w:r>
              <w:t xml:space="preserve">1</w:t>
            </w:r>
          </w:p>
        </w:tc>
        <w:tc>
          <w:p>
            <w:pPr>
              <w:jc w:val="left"/>
            </w:pPr>
            <w:r>
              <w:t xml:space="preserve">25-34</w:t>
            </w:r>
          </w:p>
        </w:tc>
        <w:tc>
          <w:p>
            <w:pPr>
              <w:jc w:val="left"/>
            </w:pPr>
            <w:r>
              <w:t xml:space="preserve">0-39g/day</w:t>
            </w:r>
          </w:p>
        </w:tc>
        <w:tc>
          <w:p>
            <w:pPr>
              <w:jc w:val="left"/>
            </w:pPr>
            <w:r>
              <w:t xml:space="preserve">0-9g/day</w:t>
            </w:r>
          </w:p>
        </w:tc>
        <w:tc>
          <w:p>
            <w:pPr>
              <w:jc w:val="left"/>
            </w:pPr>
            <w:r>
              <w:t xml:space="preserve">0.00</w:t>
            </w:r>
          </w:p>
        </w:tc>
        <w:tc>
          <w:p>
            <w:pPr>
              <w:jc w:val="left"/>
            </w:pPr>
            <w:r>
              <w:t xml:space="preserve">40.00</w:t>
            </w:r>
          </w:p>
        </w:tc>
      </w:tr>
      <w:tr>
        <w:tc>
          <w:p>
            <w:pPr>
              <w:jc w:val="left"/>
            </w:pPr>
            <w:r>
              <w:t xml:space="preserve">2</w:t>
            </w:r>
          </w:p>
        </w:tc>
        <w:tc>
          <w:p>
            <w:pPr>
              <w:jc w:val="left"/>
            </w:pPr>
            <w:r>
              <w:t xml:space="preserve">25-34</w:t>
            </w:r>
          </w:p>
        </w:tc>
        <w:tc>
          <w:p>
            <w:pPr>
              <w:jc w:val="left"/>
            </w:pPr>
            <w:r>
              <w:t xml:space="preserve">0-39g/day</w:t>
            </w:r>
          </w:p>
        </w:tc>
        <w:tc>
          <w:p>
            <w:pPr>
              <w:jc w:val="left"/>
            </w:pPr>
            <w:r>
              <w:t xml:space="preserve">10-19</w:t>
            </w:r>
          </w:p>
        </w:tc>
        <w:tc>
          <w:p>
            <w:pPr>
              <w:jc w:val="left"/>
            </w:pPr>
            <w:r>
              <w:t xml:space="preserve">0.00</w:t>
            </w:r>
          </w:p>
        </w:tc>
        <w:tc>
          <w:p>
            <w:pPr>
              <w:jc w:val="left"/>
            </w:pPr>
            <w:r>
              <w:t xml:space="preserve">10.00</w:t>
            </w:r>
          </w:p>
        </w:tc>
      </w:tr>
      <w:tr>
        <w:tc>
          <w:p>
            <w:pPr>
              <w:jc w:val="left"/>
            </w:pPr>
            <w:r>
              <w:t xml:space="preserve">3</w:t>
            </w:r>
          </w:p>
        </w:tc>
        <w:tc>
          <w:p>
            <w:pPr>
              <w:jc w:val="left"/>
            </w:pPr>
            <w:r>
              <w:t xml:space="preserve">25-34</w:t>
            </w:r>
          </w:p>
        </w:tc>
        <w:tc>
          <w:p>
            <w:pPr>
              <w:jc w:val="left"/>
            </w:pPr>
            <w:r>
              <w:t xml:space="preserve">0-39g/day</w:t>
            </w:r>
          </w:p>
        </w:tc>
        <w:tc>
          <w:p>
            <w:pPr>
              <w:jc w:val="left"/>
            </w:pPr>
            <w:r>
              <w:t xml:space="preserve">20-29</w:t>
            </w:r>
          </w:p>
        </w:tc>
        <w:tc>
          <w:p>
            <w:pPr>
              <w:jc w:val="left"/>
            </w:pPr>
            <w:r>
              <w:t xml:space="preserve">0.00</w:t>
            </w:r>
          </w:p>
        </w:tc>
        <w:tc>
          <w:p>
            <w:pPr>
              <w:jc w:val="left"/>
            </w:pPr>
            <w:r>
              <w:t xml:space="preserve">6.00</w:t>
            </w:r>
          </w:p>
        </w:tc>
      </w:tr>
      <w:tr>
        <w:tc>
          <w:p>
            <w:pPr>
              <w:jc w:val="left"/>
            </w:pPr>
            <w:r>
              <w:t xml:space="preserve">4</w:t>
            </w:r>
          </w:p>
        </w:tc>
        <w:tc>
          <w:p>
            <w:pPr>
              <w:jc w:val="left"/>
            </w:pPr>
            <w:r>
              <w:t xml:space="preserve">25-34</w:t>
            </w:r>
          </w:p>
        </w:tc>
        <w:tc>
          <w:p>
            <w:pPr>
              <w:jc w:val="left"/>
            </w:pPr>
            <w:r>
              <w:t xml:space="preserve">0-39g/day</w:t>
            </w:r>
          </w:p>
        </w:tc>
        <w:tc>
          <w:p>
            <w:pPr>
              <w:jc w:val="left"/>
            </w:pPr>
            <w:r>
              <w:t xml:space="preserve">30+</w:t>
            </w:r>
          </w:p>
        </w:tc>
        <w:tc>
          <w:p>
            <w:pPr>
              <w:jc w:val="left"/>
            </w:pPr>
            <w:r>
              <w:t xml:space="preserve">0.00</w:t>
            </w:r>
          </w:p>
        </w:tc>
        <w:tc>
          <w:p>
            <w:pPr>
              <w:jc w:val="left"/>
            </w:pPr>
            <w:r>
              <w:t xml:space="preserve">5.00</w:t>
            </w:r>
          </w:p>
        </w:tc>
      </w:tr>
      <w:tr>
        <w:tc>
          <w:p>
            <w:pPr>
              <w:jc w:val="left"/>
            </w:pPr>
            <w:r>
              <w:t xml:space="preserve">5</w:t>
            </w:r>
          </w:p>
        </w:tc>
        <w:tc>
          <w:p>
            <w:pPr>
              <w:jc w:val="left"/>
            </w:pPr>
            <w:r>
              <w:t xml:space="preserve">25-34</w:t>
            </w:r>
          </w:p>
        </w:tc>
        <w:tc>
          <w:p>
            <w:pPr>
              <w:jc w:val="left"/>
            </w:pPr>
            <w:r>
              <w:t xml:space="preserve">40-79</w:t>
            </w:r>
          </w:p>
        </w:tc>
        <w:tc>
          <w:p>
            <w:pPr>
              <w:jc w:val="left"/>
            </w:pPr>
            <w:r>
              <w:t xml:space="preserve">0-9g/day</w:t>
            </w:r>
          </w:p>
        </w:tc>
        <w:tc>
          <w:p>
            <w:pPr>
              <w:jc w:val="left"/>
            </w:pPr>
            <w:r>
              <w:t xml:space="preserve">0.00</w:t>
            </w:r>
          </w:p>
        </w:tc>
        <w:tc>
          <w:p>
            <w:pPr>
              <w:jc w:val="left"/>
            </w:pPr>
            <w:r>
              <w:t xml:space="preserve">27.00</w:t>
            </w:r>
          </w:p>
        </w:tc>
      </w:tr>
      <w:tr>
        <w:tc>
          <w:p>
            <w:pPr>
              <w:jc w:val="left"/>
            </w:pPr>
            <w:r>
              <w:t xml:space="preserve">6</w:t>
            </w:r>
          </w:p>
        </w:tc>
        <w:tc>
          <w:p>
            <w:pPr>
              <w:jc w:val="left"/>
            </w:pPr>
            <w:r>
              <w:t xml:space="preserve">25-34</w:t>
            </w:r>
          </w:p>
        </w:tc>
        <w:tc>
          <w:p>
            <w:pPr>
              <w:jc w:val="left"/>
            </w:pPr>
            <w:r>
              <w:t xml:space="preserve">40-79</w:t>
            </w:r>
          </w:p>
        </w:tc>
        <w:tc>
          <w:p>
            <w:pPr>
              <w:jc w:val="left"/>
            </w:pPr>
            <w:r>
              <w:t xml:space="preserve">10-19</w:t>
            </w:r>
          </w:p>
        </w:tc>
        <w:tc>
          <w:p>
            <w:pPr>
              <w:jc w:val="left"/>
            </w:pPr>
            <w:r>
              <w:t xml:space="preserve">0.00</w:t>
            </w:r>
          </w:p>
        </w:tc>
        <w:tc>
          <w:p>
            <w:pPr>
              <w:jc w:val="left"/>
            </w:pPr>
            <w:r>
              <w:t xml:space="preserve">7.00</w:t>
            </w:r>
          </w:p>
        </w:tc>
      </w:tr>
      <w:tr>
        <w:tc>
          <w:p>
            <w:pPr>
              <w:jc w:val="left"/>
            </w:pPr>
            <w:r>
              <w:t xml:space="preserve">7</w:t>
            </w:r>
          </w:p>
        </w:tc>
        <w:tc>
          <w:p>
            <w:pPr>
              <w:jc w:val="left"/>
            </w:pPr>
            <w:r>
              <w:t xml:space="preserve">25-34</w:t>
            </w:r>
          </w:p>
        </w:tc>
        <w:tc>
          <w:p>
            <w:pPr>
              <w:jc w:val="left"/>
            </w:pPr>
            <w:r>
              <w:t xml:space="preserve">40-79</w:t>
            </w:r>
          </w:p>
        </w:tc>
        <w:tc>
          <w:p>
            <w:pPr>
              <w:jc w:val="left"/>
            </w:pPr>
            <w:r>
              <w:t xml:space="preserve">20-29</w:t>
            </w:r>
          </w:p>
        </w:tc>
        <w:tc>
          <w:p>
            <w:pPr>
              <w:jc w:val="left"/>
            </w:pPr>
            <w:r>
              <w:t xml:space="preserve">0.00</w:t>
            </w:r>
          </w:p>
        </w:tc>
        <w:tc>
          <w:p>
            <w:pPr>
              <w:jc w:val="left"/>
            </w:pPr>
            <w:r>
              <w:t xml:space="preserve">4.00</w:t>
            </w:r>
          </w:p>
        </w:tc>
      </w:tr>
      <w:tr>
        <w:tc>
          <w:p>
            <w:pPr>
              <w:jc w:val="left"/>
            </w:pPr>
            <w:r>
              <w:t xml:space="preserve">8</w:t>
            </w:r>
          </w:p>
        </w:tc>
        <w:tc>
          <w:p>
            <w:pPr>
              <w:jc w:val="left"/>
            </w:pPr>
            <w:r>
              <w:t xml:space="preserve">25-34</w:t>
            </w:r>
          </w:p>
        </w:tc>
        <w:tc>
          <w:p>
            <w:pPr>
              <w:jc w:val="left"/>
            </w:pPr>
            <w:r>
              <w:t xml:space="preserve">40-79</w:t>
            </w:r>
          </w:p>
        </w:tc>
        <w:tc>
          <w:p>
            <w:pPr>
              <w:jc w:val="left"/>
            </w:pPr>
            <w:r>
              <w:t xml:space="preserve">30+</w:t>
            </w:r>
          </w:p>
        </w:tc>
        <w:tc>
          <w:p>
            <w:pPr>
              <w:jc w:val="left"/>
            </w:pPr>
            <w:r>
              <w:t xml:space="preserve">0.00</w:t>
            </w:r>
          </w:p>
        </w:tc>
        <w:tc>
          <w:p>
            <w:pPr>
              <w:jc w:val="left"/>
            </w:pPr>
            <w:r>
              <w:t xml:space="preserve">7.00</w:t>
            </w:r>
          </w:p>
        </w:tc>
      </w:tr>
      <w:tr>
        <w:tc>
          <w:p>
            <w:pPr>
              <w:jc w:val="left"/>
            </w:pPr>
            <w:r>
              <w:t xml:space="preserve">9</w:t>
            </w:r>
          </w:p>
        </w:tc>
        <w:tc>
          <w:p>
            <w:pPr>
              <w:jc w:val="left"/>
            </w:pPr>
            <w:r>
              <w:t xml:space="preserve">25-34</w:t>
            </w:r>
          </w:p>
        </w:tc>
        <w:tc>
          <w:p>
            <w:pPr>
              <w:jc w:val="left"/>
            </w:pPr>
            <w:r>
              <w:t xml:space="preserve">80-119</w:t>
            </w:r>
          </w:p>
        </w:tc>
        <w:tc>
          <w:p>
            <w:pPr>
              <w:jc w:val="left"/>
            </w:pPr>
            <w:r>
              <w:t xml:space="preserve">0-9g/day</w:t>
            </w:r>
          </w:p>
        </w:tc>
        <w:tc>
          <w:p>
            <w:pPr>
              <w:jc w:val="left"/>
            </w:pPr>
            <w:r>
              <w:t xml:space="preserve">0.00</w:t>
            </w:r>
          </w:p>
        </w:tc>
        <w:tc>
          <w:p>
            <w:pPr>
              <w:jc w:val="left"/>
            </w:pPr>
            <w:r>
              <w:t xml:space="preserve">2.00</w:t>
            </w:r>
          </w:p>
        </w:tc>
      </w:tr>
      <w:tr>
        <w:tc>
          <w:p>
            <w:pPr>
              <w:jc w:val="left"/>
            </w:pPr>
            <w:r>
              <w:t xml:space="preserve">10</w:t>
            </w:r>
          </w:p>
        </w:tc>
        <w:tc>
          <w:p>
            <w:pPr>
              <w:jc w:val="left"/>
            </w:pPr>
            <w:r>
              <w:t xml:space="preserve">25-34</w:t>
            </w:r>
          </w:p>
        </w:tc>
        <w:tc>
          <w:p>
            <w:pPr>
              <w:jc w:val="left"/>
            </w:pPr>
            <w:r>
              <w:t xml:space="preserve">80-119</w:t>
            </w:r>
          </w:p>
        </w:tc>
        <w:tc>
          <w:p>
            <w:pPr>
              <w:jc w:val="left"/>
            </w:pPr>
            <w:r>
              <w:t xml:space="preserve">10-19</w:t>
            </w:r>
          </w:p>
        </w:tc>
        <w:tc>
          <w:p>
            <w:pPr>
              <w:jc w:val="left"/>
            </w:pPr>
            <w:r>
              <w:t xml:space="preserve">0.00</w:t>
            </w:r>
          </w:p>
        </w:tc>
        <w:tc>
          <w:p>
            <w:pPr>
              <w:jc w:val="left"/>
            </w:pPr>
            <w:r>
              <w:t xml:space="preserve">1.00</w:t>
            </w:r>
          </w:p>
        </w:tc>
      </w:tr>
    </w:tbl>
    <w:p>
      <w:pPr>
        <w:pStyle w:val="TableCaption"/>
      </w:pPr>
      <w:r>
        <w:t xml:space="preserve">This is a table caption.</w:t>
      </w:r>
    </w:p>
    <w:bookmarkStart w:id="30" w:name="references"/>
    <w:p>
      <w:pPr>
        <w:pStyle w:val="Heading2"/>
      </w:pPr>
      <w:r>
        <w:t xml:space="preserve">References</w:t>
      </w:r>
    </w:p>
    <w:bookmarkEnd w:id="30"/>
    <w:p>
      <w:r>
        <w:t xml:space="preserve">Baayen, R. H., &amp; Milin, P. (2010). Analysing Reaction Times.</w:t>
      </w:r>
      <w:r>
        <w:t xml:space="preserve"> </w:t>
      </w:r>
      <w:r>
        <w:rPr>
          <w:i/>
        </w:rPr>
        <w:t xml:space="preserve">International Journal of Psychological Research</w:t>
      </w:r>
      <w:r>
        <w:t xml:space="preserve">,</w:t>
      </w:r>
      <w:r>
        <w:t xml:space="preserve"> </w:t>
      </w:r>
      <w:r>
        <w:rPr>
          <w:i/>
        </w:rPr>
        <w:t xml:space="preserve">3</w:t>
      </w:r>
      <w:r>
        <w:t xml:space="preserve">(2), 12–28.</w:t>
      </w:r>
    </w:p>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4de3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c154a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