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o-orienting-stimuli-create-additional-task-demands-in-the-looking-while-listening-paradigm" w:name="do-orienting-stimuli-create-additional-task-demands-in-the-looking-while-listening-paradigm"/>
    <w:p>
      <w:pPr>
        <w:pStyle w:val="Heading1"/>
      </w:pPr>
      <w:r>
        <w:t xml:space="preserve">Do orienting stimuli create additional task demands in the looking-while-listening paradigm?</w:t>
      </w:r>
    </w:p>
    <w:bookmarkEnd w:id="do-orienting-stimuli-create-additional-task-demands-in-the-looking-while-listening-paradigm"/>
    <w:bookmarkStart w:id="introduction" w:name="introduction"/>
    <w:p>
      <w:pPr>
        <w:pStyle w:val="Heading2"/>
      </w:pPr>
      <w:r>
        <w:t xml:space="preserve">Introduction</w:t>
      </w:r>
    </w:p>
    <w:bookmarkEnd w:id="introduction"/>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methods" w:name="methods"/>
    <w:p>
      <w:pPr>
        <w:pStyle w:val="Heading2"/>
      </w:pPr>
      <w:r>
        <w:t xml:space="preserve">Methods</w:t>
      </w:r>
    </w:p>
    <w:bookmarkEnd w:id="methods"/>
    <w:bookmarkStart w:id="participants" w:name="participants"/>
    <w:p>
      <w:pPr>
        <w:pStyle w:val="Heading3"/>
      </w:pPr>
      <w:r>
        <w:t xml:space="preserve">Participants</w:t>
      </w:r>
    </w:p>
    <w:bookmarkEnd w:id="participants"/>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procedure" w:name="procedure"/>
    <w:p>
      <w:pPr>
        <w:pStyle w:val="Heading3"/>
      </w:pPr>
      <w:r>
        <w:t xml:space="preserve">Procedure</w:t>
      </w:r>
    </w:p>
    <w:bookmarkEnd w:id="procedure"/>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statistical-analysis" w:name="statistical-analysis"/>
    <w:p>
      <w:pPr>
        <w:pStyle w:val="Heading3"/>
      </w:pPr>
      <w:r>
        <w:t xml:space="preserve">Statistical Analysis</w:t>
      </w:r>
    </w:p>
    <w:bookmarkEnd w:id="statistical-analysis"/>
    <w:p>
      <w:r>
        <w:t xml:space="preserve">The log-odds of looking to the familiar object was the dependent variable. We used a growth curve model to model how children’s eye gaze patterns were related to their expressive vocabulary size (Mirman et al., 2008)</w:t>
      </w:r>
    </w:p>
    <w:bookmarkStart w:id="results-and-discussion" w:name="results-and-discussion"/>
    <w:p>
      <w:pPr>
        <w:pStyle w:val="Heading2"/>
      </w:pPr>
      <w:r>
        <w:t xml:space="preserve">Results and Discussion</w:t>
      </w:r>
    </w:p>
    <w:bookmarkEnd w:id="results-and-discussion"/>
    <w:bookmarkStart w:id="references" w:name="references"/>
    <w:p>
      <w:pPr>
        <w:pStyle w:val="Heading2"/>
      </w:pPr>
      <w:r>
        <w:t xml:space="preserve">References</w:t>
      </w:r>
    </w:p>
    <w:bookmarkEnd w:id="references"/>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 &amp; Trans.),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 9.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