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448" w:rsidRDefault="00B71448"/>
    <w:p w:rsidR="004F6F1C" w:rsidRDefault="004F6F1C" w:rsidP="004F6F1C">
      <w:r>
        <w:t>SUMMARY OF FINDINGS YIELDED WITH THE EIT SPANISH INSTRUMENT</w:t>
      </w:r>
    </w:p>
    <w:p w:rsidR="004F6F1C" w:rsidRDefault="004F6F1C" w:rsidP="004F6F1C"/>
    <w:p w:rsidR="004F6F1C" w:rsidRDefault="004F6F1C" w:rsidP="004F6F1C">
      <w:r>
        <w:t xml:space="preserve">Results reported in Ortega (2000): The reliability of the L2 Spanish EI task with 16 fifth-semester college learners of L2 Spanish (administered in the beginning and again in the end of a 15-week semester) was </w:t>
      </w:r>
      <w:proofErr w:type="spellStart"/>
      <w:r>
        <w:t>Cronbach’s</w:t>
      </w:r>
      <w:proofErr w:type="spellEnd"/>
      <w:r>
        <w:t xml:space="preserve"> alpha .95 (beginning) and .96 (end). The correlation with SOPI ratings at the end of the semester administration (with 15 learners, after one participant was withdrawn because of incomplete data) was Pearson r=0.87. [Note: The ACTFL ratings initially assigned by the two </w:t>
      </w:r>
      <w:proofErr w:type="spellStart"/>
      <w:r>
        <w:t>raters</w:t>
      </w:r>
      <w:proofErr w:type="spellEnd"/>
      <w:r>
        <w:t xml:space="preserve"> were converted into interval scale values using the scale equivalent devised by Henning (1992) and later the two </w:t>
      </w:r>
      <w:proofErr w:type="spellStart"/>
      <w:r>
        <w:t>raters’</w:t>
      </w:r>
      <w:proofErr w:type="spellEnd"/>
      <w:r>
        <w:t xml:space="preserve"> values were averaged, then the resulting data correlated with the EI scores.]</w:t>
      </w:r>
    </w:p>
    <w:p w:rsidR="004F6F1C" w:rsidRDefault="004F6F1C" w:rsidP="004F6F1C"/>
    <w:p w:rsidR="004F6F1C" w:rsidRDefault="004F6F1C" w:rsidP="004F6F1C"/>
    <w:p w:rsidR="004F6F1C" w:rsidRDefault="004F6F1C" w:rsidP="004F6F1C">
      <w:proofErr w:type="gramStart"/>
      <w:r>
        <w:t>Table 8.2.</w:t>
      </w:r>
      <w:proofErr w:type="gramEnd"/>
      <w:r>
        <w:t xml:space="preserve"> Results of elicited imitation task and grammaticality judgment task (partial Table from Ortega, 2000)</w:t>
      </w:r>
    </w:p>
    <w:p w:rsidR="004F6F1C" w:rsidRDefault="004F6F1C" w:rsidP="004F6F1C"/>
    <w:tbl>
      <w:tblPr>
        <w:tblW w:w="0" w:type="auto"/>
        <w:tblLayout w:type="fixed"/>
        <w:tblCellMar>
          <w:left w:w="30" w:type="dxa"/>
          <w:right w:w="30" w:type="dxa"/>
        </w:tblCellMar>
        <w:tblLook w:val="04A0"/>
      </w:tblPr>
      <w:tblGrid>
        <w:gridCol w:w="2060"/>
        <w:gridCol w:w="1440"/>
        <w:gridCol w:w="1440"/>
      </w:tblGrid>
      <w:tr w:rsidR="004F6F1C" w:rsidTr="004F6F1C">
        <w:trPr>
          <w:trHeight w:val="260"/>
        </w:trPr>
        <w:tc>
          <w:tcPr>
            <w:tcW w:w="2060" w:type="dxa"/>
            <w:tcBorders>
              <w:top w:val="single" w:sz="8" w:space="0" w:color="auto"/>
              <w:left w:val="nil"/>
              <w:bottom w:val="nil"/>
              <w:right w:val="nil"/>
            </w:tcBorders>
          </w:tcPr>
          <w:p w:rsidR="004F6F1C" w:rsidRDefault="004F6F1C">
            <w:pPr>
              <w:jc w:val="right"/>
              <w:rPr>
                <w:color w:val="000000"/>
                <w:sz w:val="20"/>
                <w:lang w:eastAsia="en-US"/>
              </w:rPr>
            </w:pPr>
          </w:p>
        </w:tc>
        <w:tc>
          <w:tcPr>
            <w:tcW w:w="2880" w:type="dxa"/>
            <w:gridSpan w:val="2"/>
            <w:tcBorders>
              <w:top w:val="single" w:sz="8" w:space="0" w:color="auto"/>
              <w:left w:val="nil"/>
              <w:bottom w:val="nil"/>
              <w:right w:val="nil"/>
            </w:tcBorders>
          </w:tcPr>
          <w:p w:rsidR="004F6F1C" w:rsidRDefault="004F6F1C">
            <w:pPr>
              <w:jc w:val="right"/>
              <w:rPr>
                <w:color w:val="000000"/>
                <w:sz w:val="20"/>
                <w:u w:val="single"/>
                <w:lang w:eastAsia="en-US"/>
              </w:rPr>
            </w:pPr>
          </w:p>
          <w:p w:rsidR="004F6F1C" w:rsidRDefault="004F6F1C">
            <w:pPr>
              <w:jc w:val="right"/>
              <w:rPr>
                <w:color w:val="000000"/>
                <w:sz w:val="20"/>
                <w:u w:val="single"/>
                <w:lang w:eastAsia="en-US"/>
              </w:rPr>
            </w:pPr>
            <w:r>
              <w:rPr>
                <w:color w:val="000000"/>
                <w:sz w:val="20"/>
                <w:u w:val="single"/>
              </w:rPr>
              <w:t>Elicited Imitation Task</w:t>
            </w:r>
          </w:p>
        </w:tc>
      </w:tr>
      <w:tr w:rsidR="004F6F1C" w:rsidTr="004F6F1C">
        <w:trPr>
          <w:trHeight w:val="260"/>
        </w:trPr>
        <w:tc>
          <w:tcPr>
            <w:tcW w:w="2060" w:type="dxa"/>
            <w:tcBorders>
              <w:top w:val="nil"/>
              <w:left w:val="nil"/>
              <w:bottom w:val="single" w:sz="8" w:space="0" w:color="auto"/>
              <w:right w:val="nil"/>
            </w:tcBorders>
            <w:hideMark/>
          </w:tcPr>
          <w:p w:rsidR="004F6F1C" w:rsidRDefault="004F6F1C">
            <w:pPr>
              <w:rPr>
                <w:color w:val="000000"/>
                <w:sz w:val="20"/>
                <w:lang w:eastAsia="en-US"/>
              </w:rPr>
            </w:pPr>
            <w:r>
              <w:rPr>
                <w:color w:val="000000"/>
                <w:sz w:val="20"/>
              </w:rPr>
              <w:t>Descriptive statistics</w:t>
            </w:r>
          </w:p>
        </w:tc>
        <w:tc>
          <w:tcPr>
            <w:tcW w:w="1440" w:type="dxa"/>
            <w:tcBorders>
              <w:top w:val="nil"/>
              <w:left w:val="nil"/>
              <w:bottom w:val="single" w:sz="8" w:space="0" w:color="auto"/>
              <w:right w:val="nil"/>
            </w:tcBorders>
            <w:hideMark/>
          </w:tcPr>
          <w:p w:rsidR="004F6F1C" w:rsidRDefault="004F6F1C">
            <w:pPr>
              <w:jc w:val="right"/>
              <w:rPr>
                <w:color w:val="000000"/>
                <w:sz w:val="20"/>
                <w:lang w:eastAsia="en-US"/>
              </w:rPr>
            </w:pPr>
            <w:r>
              <w:rPr>
                <w:color w:val="000000"/>
                <w:sz w:val="20"/>
              </w:rPr>
              <w:t>Semester beginning</w:t>
            </w:r>
          </w:p>
        </w:tc>
        <w:tc>
          <w:tcPr>
            <w:tcW w:w="1440" w:type="dxa"/>
            <w:tcBorders>
              <w:top w:val="nil"/>
              <w:left w:val="nil"/>
              <w:bottom w:val="single" w:sz="8" w:space="0" w:color="auto"/>
              <w:right w:val="nil"/>
            </w:tcBorders>
            <w:hideMark/>
          </w:tcPr>
          <w:p w:rsidR="004F6F1C" w:rsidRDefault="004F6F1C">
            <w:pPr>
              <w:jc w:val="right"/>
              <w:rPr>
                <w:color w:val="000000"/>
                <w:sz w:val="20"/>
                <w:lang w:eastAsia="en-US"/>
              </w:rPr>
            </w:pPr>
            <w:r>
              <w:rPr>
                <w:color w:val="000000"/>
                <w:sz w:val="20"/>
              </w:rPr>
              <w:t>Semester</w:t>
            </w:r>
          </w:p>
          <w:p w:rsidR="004F6F1C" w:rsidRDefault="004F6F1C">
            <w:pPr>
              <w:jc w:val="right"/>
              <w:rPr>
                <w:color w:val="000000"/>
                <w:sz w:val="20"/>
                <w:lang w:eastAsia="en-US"/>
              </w:rPr>
            </w:pPr>
            <w:r>
              <w:rPr>
                <w:color w:val="000000"/>
                <w:sz w:val="20"/>
              </w:rPr>
              <w:t>End</w:t>
            </w:r>
          </w:p>
        </w:tc>
      </w:tr>
      <w:tr w:rsidR="004F6F1C" w:rsidTr="004F6F1C">
        <w:trPr>
          <w:trHeight w:val="260"/>
        </w:trPr>
        <w:tc>
          <w:tcPr>
            <w:tcW w:w="2060" w:type="dxa"/>
            <w:tcBorders>
              <w:top w:val="single" w:sz="8" w:space="0" w:color="auto"/>
              <w:left w:val="nil"/>
              <w:bottom w:val="nil"/>
              <w:right w:val="nil"/>
            </w:tcBorders>
            <w:hideMark/>
          </w:tcPr>
          <w:p w:rsidR="004F6F1C" w:rsidRDefault="004F6F1C">
            <w:pPr>
              <w:rPr>
                <w:color w:val="000000"/>
                <w:sz w:val="20"/>
                <w:lang w:eastAsia="en-US"/>
              </w:rPr>
            </w:pPr>
            <w:r>
              <w:rPr>
                <w:color w:val="000000"/>
                <w:sz w:val="20"/>
                <w:u w:val="single"/>
              </w:rPr>
              <w:t>N</w:t>
            </w:r>
          </w:p>
        </w:tc>
        <w:tc>
          <w:tcPr>
            <w:tcW w:w="1440" w:type="dxa"/>
            <w:tcBorders>
              <w:top w:val="single" w:sz="8" w:space="0" w:color="auto"/>
              <w:left w:val="nil"/>
              <w:bottom w:val="nil"/>
              <w:right w:val="nil"/>
            </w:tcBorders>
            <w:hideMark/>
          </w:tcPr>
          <w:p w:rsidR="004F6F1C" w:rsidRDefault="004F6F1C">
            <w:pPr>
              <w:jc w:val="right"/>
              <w:rPr>
                <w:color w:val="000000"/>
                <w:sz w:val="20"/>
                <w:lang w:eastAsia="en-US"/>
              </w:rPr>
            </w:pPr>
            <w:r>
              <w:rPr>
                <w:color w:val="000000"/>
                <w:sz w:val="20"/>
              </w:rPr>
              <w:t xml:space="preserve">  16</w:t>
            </w:r>
          </w:p>
        </w:tc>
        <w:tc>
          <w:tcPr>
            <w:tcW w:w="1440" w:type="dxa"/>
            <w:tcBorders>
              <w:top w:val="single" w:sz="8" w:space="0" w:color="auto"/>
              <w:left w:val="nil"/>
              <w:bottom w:val="nil"/>
              <w:right w:val="nil"/>
            </w:tcBorders>
            <w:hideMark/>
          </w:tcPr>
          <w:p w:rsidR="004F6F1C" w:rsidRDefault="004F6F1C">
            <w:pPr>
              <w:jc w:val="right"/>
              <w:rPr>
                <w:color w:val="000000"/>
                <w:sz w:val="20"/>
                <w:lang w:eastAsia="en-US"/>
              </w:rPr>
            </w:pPr>
            <w:r>
              <w:rPr>
                <w:color w:val="000000"/>
                <w:sz w:val="20"/>
              </w:rPr>
              <w:t xml:space="preserve">  16</w:t>
            </w:r>
          </w:p>
        </w:tc>
      </w:tr>
      <w:tr w:rsidR="004F6F1C" w:rsidTr="004F6F1C">
        <w:trPr>
          <w:trHeight w:val="260"/>
        </w:trPr>
        <w:tc>
          <w:tcPr>
            <w:tcW w:w="2060" w:type="dxa"/>
            <w:hideMark/>
          </w:tcPr>
          <w:p w:rsidR="004F6F1C" w:rsidRDefault="004F6F1C">
            <w:pPr>
              <w:rPr>
                <w:color w:val="000000"/>
                <w:sz w:val="20"/>
                <w:lang w:eastAsia="en-US"/>
              </w:rPr>
            </w:pPr>
            <w:r>
              <w:rPr>
                <w:color w:val="000000"/>
                <w:sz w:val="20"/>
                <w:u w:val="single"/>
              </w:rPr>
              <w:t>k</w:t>
            </w:r>
          </w:p>
        </w:tc>
        <w:tc>
          <w:tcPr>
            <w:tcW w:w="1440" w:type="dxa"/>
            <w:hideMark/>
          </w:tcPr>
          <w:p w:rsidR="004F6F1C" w:rsidRDefault="004F6F1C">
            <w:pPr>
              <w:jc w:val="right"/>
              <w:rPr>
                <w:color w:val="000000"/>
                <w:sz w:val="20"/>
                <w:lang w:eastAsia="en-US"/>
              </w:rPr>
            </w:pPr>
            <w:r>
              <w:rPr>
                <w:color w:val="000000"/>
                <w:sz w:val="20"/>
              </w:rPr>
              <w:t xml:space="preserve">  30</w:t>
            </w:r>
          </w:p>
        </w:tc>
        <w:tc>
          <w:tcPr>
            <w:tcW w:w="1440" w:type="dxa"/>
            <w:hideMark/>
          </w:tcPr>
          <w:p w:rsidR="004F6F1C" w:rsidRDefault="004F6F1C">
            <w:pPr>
              <w:jc w:val="right"/>
              <w:rPr>
                <w:color w:val="000000"/>
                <w:sz w:val="20"/>
                <w:lang w:eastAsia="en-US"/>
              </w:rPr>
            </w:pPr>
            <w:r>
              <w:rPr>
                <w:color w:val="000000"/>
                <w:sz w:val="20"/>
              </w:rPr>
              <w:t xml:space="preserve">  30</w:t>
            </w:r>
          </w:p>
        </w:tc>
      </w:tr>
      <w:tr w:rsidR="004F6F1C" w:rsidTr="004F6F1C">
        <w:trPr>
          <w:trHeight w:val="260"/>
        </w:trPr>
        <w:tc>
          <w:tcPr>
            <w:tcW w:w="2060" w:type="dxa"/>
            <w:hideMark/>
          </w:tcPr>
          <w:p w:rsidR="004F6F1C" w:rsidRDefault="004F6F1C">
            <w:pPr>
              <w:rPr>
                <w:color w:val="000000"/>
                <w:sz w:val="20"/>
                <w:lang w:eastAsia="en-US"/>
              </w:rPr>
            </w:pPr>
            <w:r>
              <w:rPr>
                <w:color w:val="000000"/>
                <w:sz w:val="20"/>
              </w:rPr>
              <w:t>Total possible score</w:t>
            </w:r>
          </w:p>
        </w:tc>
        <w:tc>
          <w:tcPr>
            <w:tcW w:w="1440" w:type="dxa"/>
            <w:hideMark/>
          </w:tcPr>
          <w:p w:rsidR="004F6F1C" w:rsidRDefault="004F6F1C">
            <w:pPr>
              <w:jc w:val="right"/>
              <w:rPr>
                <w:color w:val="000000"/>
                <w:sz w:val="20"/>
                <w:lang w:eastAsia="en-US"/>
              </w:rPr>
            </w:pPr>
            <w:r>
              <w:rPr>
                <w:color w:val="000000"/>
                <w:sz w:val="20"/>
              </w:rPr>
              <w:t>120</w:t>
            </w:r>
          </w:p>
        </w:tc>
        <w:tc>
          <w:tcPr>
            <w:tcW w:w="1440" w:type="dxa"/>
            <w:hideMark/>
          </w:tcPr>
          <w:p w:rsidR="004F6F1C" w:rsidRDefault="004F6F1C">
            <w:pPr>
              <w:jc w:val="right"/>
              <w:rPr>
                <w:color w:val="000000"/>
                <w:sz w:val="20"/>
                <w:lang w:eastAsia="en-US"/>
              </w:rPr>
            </w:pPr>
            <w:r>
              <w:rPr>
                <w:color w:val="000000"/>
                <w:sz w:val="20"/>
              </w:rPr>
              <w:t>120</w:t>
            </w:r>
          </w:p>
        </w:tc>
      </w:tr>
      <w:tr w:rsidR="004F6F1C" w:rsidTr="004F6F1C">
        <w:trPr>
          <w:trHeight w:val="260"/>
        </w:trPr>
        <w:tc>
          <w:tcPr>
            <w:tcW w:w="2060" w:type="dxa"/>
            <w:hideMark/>
          </w:tcPr>
          <w:p w:rsidR="004F6F1C" w:rsidRDefault="004F6F1C">
            <w:pPr>
              <w:rPr>
                <w:color w:val="000000"/>
                <w:sz w:val="20"/>
                <w:lang w:eastAsia="en-US"/>
              </w:rPr>
            </w:pPr>
            <w:r>
              <w:rPr>
                <w:color w:val="000000"/>
                <w:sz w:val="20"/>
              </w:rPr>
              <w:t>mean</w:t>
            </w:r>
          </w:p>
        </w:tc>
        <w:tc>
          <w:tcPr>
            <w:tcW w:w="1440" w:type="dxa"/>
            <w:hideMark/>
          </w:tcPr>
          <w:p w:rsidR="004F6F1C" w:rsidRDefault="004F6F1C">
            <w:pPr>
              <w:jc w:val="right"/>
              <w:rPr>
                <w:color w:val="000000"/>
                <w:sz w:val="20"/>
                <w:lang w:eastAsia="en-US"/>
              </w:rPr>
            </w:pPr>
            <w:r>
              <w:rPr>
                <w:color w:val="000000"/>
                <w:sz w:val="20"/>
              </w:rPr>
              <w:t xml:space="preserve">  45.38</w:t>
            </w:r>
          </w:p>
        </w:tc>
        <w:tc>
          <w:tcPr>
            <w:tcW w:w="1440" w:type="dxa"/>
            <w:hideMark/>
          </w:tcPr>
          <w:p w:rsidR="004F6F1C" w:rsidRDefault="004F6F1C">
            <w:pPr>
              <w:jc w:val="right"/>
              <w:rPr>
                <w:color w:val="000000"/>
                <w:sz w:val="20"/>
                <w:lang w:eastAsia="en-US"/>
              </w:rPr>
            </w:pPr>
            <w:r>
              <w:rPr>
                <w:color w:val="000000"/>
                <w:sz w:val="20"/>
              </w:rPr>
              <w:t xml:space="preserve">  60.25</w:t>
            </w:r>
          </w:p>
        </w:tc>
      </w:tr>
      <w:tr w:rsidR="004F6F1C" w:rsidTr="004F6F1C">
        <w:trPr>
          <w:trHeight w:val="260"/>
        </w:trPr>
        <w:tc>
          <w:tcPr>
            <w:tcW w:w="2060" w:type="dxa"/>
            <w:hideMark/>
          </w:tcPr>
          <w:p w:rsidR="004F6F1C" w:rsidRDefault="004F6F1C">
            <w:pPr>
              <w:rPr>
                <w:color w:val="000000"/>
                <w:sz w:val="20"/>
                <w:lang w:eastAsia="en-US"/>
              </w:rPr>
            </w:pPr>
            <w:r>
              <w:rPr>
                <w:color w:val="000000"/>
                <w:sz w:val="20"/>
              </w:rPr>
              <w:t>mode</w:t>
            </w:r>
          </w:p>
        </w:tc>
        <w:tc>
          <w:tcPr>
            <w:tcW w:w="1440" w:type="dxa"/>
            <w:hideMark/>
          </w:tcPr>
          <w:p w:rsidR="004F6F1C" w:rsidRDefault="004F6F1C">
            <w:pPr>
              <w:jc w:val="right"/>
              <w:rPr>
                <w:color w:val="000000"/>
                <w:sz w:val="20"/>
                <w:lang w:eastAsia="en-US"/>
              </w:rPr>
            </w:pPr>
            <w:r>
              <w:rPr>
                <w:color w:val="000000"/>
                <w:sz w:val="20"/>
              </w:rPr>
              <w:t xml:space="preserve">  58</w:t>
            </w:r>
          </w:p>
        </w:tc>
        <w:tc>
          <w:tcPr>
            <w:tcW w:w="1440" w:type="dxa"/>
            <w:hideMark/>
          </w:tcPr>
          <w:p w:rsidR="004F6F1C" w:rsidRDefault="004F6F1C">
            <w:pPr>
              <w:jc w:val="right"/>
              <w:rPr>
                <w:color w:val="000000"/>
                <w:sz w:val="20"/>
                <w:lang w:eastAsia="en-US"/>
              </w:rPr>
            </w:pPr>
            <w:r>
              <w:rPr>
                <w:color w:val="000000"/>
                <w:sz w:val="20"/>
              </w:rPr>
              <w:t xml:space="preserve">  44</w:t>
            </w:r>
          </w:p>
        </w:tc>
      </w:tr>
      <w:tr w:rsidR="004F6F1C" w:rsidTr="004F6F1C">
        <w:trPr>
          <w:trHeight w:val="260"/>
        </w:trPr>
        <w:tc>
          <w:tcPr>
            <w:tcW w:w="2060" w:type="dxa"/>
            <w:hideMark/>
          </w:tcPr>
          <w:p w:rsidR="004F6F1C" w:rsidRDefault="004F6F1C">
            <w:pPr>
              <w:rPr>
                <w:color w:val="000000"/>
                <w:sz w:val="20"/>
                <w:lang w:eastAsia="en-US"/>
              </w:rPr>
            </w:pPr>
            <w:r>
              <w:rPr>
                <w:color w:val="000000"/>
                <w:sz w:val="20"/>
              </w:rPr>
              <w:t>median</w:t>
            </w:r>
          </w:p>
        </w:tc>
        <w:tc>
          <w:tcPr>
            <w:tcW w:w="1440" w:type="dxa"/>
            <w:hideMark/>
          </w:tcPr>
          <w:p w:rsidR="004F6F1C" w:rsidRDefault="004F6F1C">
            <w:pPr>
              <w:jc w:val="right"/>
              <w:rPr>
                <w:color w:val="000000"/>
                <w:sz w:val="20"/>
                <w:lang w:eastAsia="en-US"/>
              </w:rPr>
            </w:pPr>
            <w:r>
              <w:rPr>
                <w:color w:val="000000"/>
                <w:sz w:val="20"/>
              </w:rPr>
              <w:t xml:space="preserve">  36</w:t>
            </w:r>
          </w:p>
        </w:tc>
        <w:tc>
          <w:tcPr>
            <w:tcW w:w="1440" w:type="dxa"/>
            <w:hideMark/>
          </w:tcPr>
          <w:p w:rsidR="004F6F1C" w:rsidRDefault="004F6F1C">
            <w:pPr>
              <w:jc w:val="right"/>
              <w:rPr>
                <w:color w:val="000000"/>
                <w:sz w:val="20"/>
                <w:lang w:eastAsia="en-US"/>
              </w:rPr>
            </w:pPr>
            <w:r>
              <w:rPr>
                <w:color w:val="000000"/>
                <w:sz w:val="20"/>
              </w:rPr>
              <w:t xml:space="preserve">  52.50</w:t>
            </w:r>
          </w:p>
        </w:tc>
      </w:tr>
      <w:tr w:rsidR="004F6F1C" w:rsidTr="004F6F1C">
        <w:trPr>
          <w:trHeight w:val="260"/>
        </w:trPr>
        <w:tc>
          <w:tcPr>
            <w:tcW w:w="2060" w:type="dxa"/>
            <w:hideMark/>
          </w:tcPr>
          <w:p w:rsidR="004F6F1C" w:rsidRDefault="004F6F1C">
            <w:pPr>
              <w:rPr>
                <w:color w:val="000000"/>
                <w:sz w:val="20"/>
                <w:lang w:eastAsia="en-US"/>
              </w:rPr>
            </w:pPr>
            <w:r>
              <w:rPr>
                <w:color w:val="000000"/>
                <w:sz w:val="20"/>
              </w:rPr>
              <w:t>midpoint</w:t>
            </w:r>
          </w:p>
        </w:tc>
        <w:tc>
          <w:tcPr>
            <w:tcW w:w="1440" w:type="dxa"/>
            <w:hideMark/>
          </w:tcPr>
          <w:p w:rsidR="004F6F1C" w:rsidRDefault="004F6F1C">
            <w:pPr>
              <w:jc w:val="right"/>
              <w:rPr>
                <w:color w:val="000000"/>
                <w:sz w:val="20"/>
                <w:lang w:eastAsia="en-US"/>
              </w:rPr>
            </w:pPr>
            <w:r>
              <w:rPr>
                <w:color w:val="000000"/>
                <w:sz w:val="20"/>
              </w:rPr>
              <w:t xml:space="preserve">  54</w:t>
            </w:r>
          </w:p>
        </w:tc>
        <w:tc>
          <w:tcPr>
            <w:tcW w:w="1440" w:type="dxa"/>
            <w:hideMark/>
          </w:tcPr>
          <w:p w:rsidR="004F6F1C" w:rsidRDefault="004F6F1C">
            <w:pPr>
              <w:jc w:val="right"/>
              <w:rPr>
                <w:color w:val="000000"/>
                <w:sz w:val="20"/>
                <w:lang w:eastAsia="en-US"/>
              </w:rPr>
            </w:pPr>
            <w:r>
              <w:rPr>
                <w:color w:val="000000"/>
                <w:sz w:val="20"/>
              </w:rPr>
              <w:t xml:space="preserve">  67.50</w:t>
            </w:r>
          </w:p>
        </w:tc>
      </w:tr>
      <w:tr w:rsidR="004F6F1C" w:rsidTr="004F6F1C">
        <w:trPr>
          <w:trHeight w:val="260"/>
        </w:trPr>
        <w:tc>
          <w:tcPr>
            <w:tcW w:w="2060" w:type="dxa"/>
            <w:hideMark/>
          </w:tcPr>
          <w:p w:rsidR="004F6F1C" w:rsidRDefault="004F6F1C">
            <w:pPr>
              <w:rPr>
                <w:color w:val="000000"/>
                <w:sz w:val="20"/>
                <w:lang w:eastAsia="en-US"/>
              </w:rPr>
            </w:pPr>
            <w:r>
              <w:rPr>
                <w:color w:val="000000"/>
                <w:sz w:val="20"/>
              </w:rPr>
              <w:t>min.-max.</w:t>
            </w:r>
          </w:p>
        </w:tc>
        <w:tc>
          <w:tcPr>
            <w:tcW w:w="1440" w:type="dxa"/>
            <w:hideMark/>
          </w:tcPr>
          <w:p w:rsidR="004F6F1C" w:rsidRDefault="004F6F1C">
            <w:pPr>
              <w:jc w:val="right"/>
              <w:rPr>
                <w:color w:val="000000"/>
                <w:sz w:val="20"/>
                <w:lang w:eastAsia="en-US"/>
              </w:rPr>
            </w:pPr>
            <w:r>
              <w:rPr>
                <w:color w:val="000000"/>
                <w:sz w:val="20"/>
              </w:rPr>
              <w:t xml:space="preserve">  18-90</w:t>
            </w:r>
          </w:p>
        </w:tc>
        <w:tc>
          <w:tcPr>
            <w:tcW w:w="1440" w:type="dxa"/>
            <w:hideMark/>
          </w:tcPr>
          <w:p w:rsidR="004F6F1C" w:rsidRDefault="004F6F1C">
            <w:pPr>
              <w:jc w:val="right"/>
              <w:rPr>
                <w:color w:val="000000"/>
                <w:sz w:val="20"/>
                <w:lang w:eastAsia="en-US"/>
              </w:rPr>
            </w:pPr>
            <w:r>
              <w:rPr>
                <w:color w:val="000000"/>
                <w:sz w:val="20"/>
              </w:rPr>
              <w:t xml:space="preserve">  34-101</w:t>
            </w:r>
          </w:p>
        </w:tc>
      </w:tr>
      <w:tr w:rsidR="004F6F1C" w:rsidTr="004F6F1C">
        <w:trPr>
          <w:trHeight w:val="260"/>
        </w:trPr>
        <w:tc>
          <w:tcPr>
            <w:tcW w:w="2060" w:type="dxa"/>
            <w:hideMark/>
          </w:tcPr>
          <w:p w:rsidR="004F6F1C" w:rsidRDefault="004F6F1C">
            <w:pPr>
              <w:rPr>
                <w:color w:val="000000"/>
                <w:sz w:val="20"/>
                <w:lang w:eastAsia="en-US"/>
              </w:rPr>
            </w:pPr>
            <w:r>
              <w:rPr>
                <w:color w:val="000000"/>
                <w:sz w:val="20"/>
              </w:rPr>
              <w:t>range</w:t>
            </w:r>
          </w:p>
        </w:tc>
        <w:tc>
          <w:tcPr>
            <w:tcW w:w="1440" w:type="dxa"/>
            <w:hideMark/>
          </w:tcPr>
          <w:p w:rsidR="004F6F1C" w:rsidRDefault="004F6F1C">
            <w:pPr>
              <w:jc w:val="right"/>
              <w:rPr>
                <w:color w:val="000000"/>
                <w:sz w:val="20"/>
                <w:lang w:eastAsia="en-US"/>
              </w:rPr>
            </w:pPr>
            <w:r>
              <w:rPr>
                <w:color w:val="000000"/>
                <w:sz w:val="20"/>
              </w:rPr>
              <w:t xml:space="preserve">  73</w:t>
            </w:r>
          </w:p>
        </w:tc>
        <w:tc>
          <w:tcPr>
            <w:tcW w:w="1440" w:type="dxa"/>
            <w:hideMark/>
          </w:tcPr>
          <w:p w:rsidR="004F6F1C" w:rsidRDefault="004F6F1C">
            <w:pPr>
              <w:jc w:val="right"/>
              <w:rPr>
                <w:color w:val="000000"/>
                <w:sz w:val="20"/>
                <w:lang w:eastAsia="en-US"/>
              </w:rPr>
            </w:pPr>
            <w:r>
              <w:rPr>
                <w:color w:val="000000"/>
                <w:sz w:val="20"/>
              </w:rPr>
              <w:t xml:space="preserve">  68</w:t>
            </w:r>
          </w:p>
        </w:tc>
      </w:tr>
      <w:tr w:rsidR="004F6F1C" w:rsidTr="004F6F1C">
        <w:trPr>
          <w:trHeight w:val="260"/>
        </w:trPr>
        <w:tc>
          <w:tcPr>
            <w:tcW w:w="2060" w:type="dxa"/>
            <w:hideMark/>
          </w:tcPr>
          <w:p w:rsidR="004F6F1C" w:rsidRDefault="004F6F1C">
            <w:pPr>
              <w:rPr>
                <w:color w:val="000000"/>
                <w:sz w:val="20"/>
                <w:lang w:eastAsia="en-US"/>
              </w:rPr>
            </w:pPr>
            <w:r>
              <w:rPr>
                <w:color w:val="000000"/>
                <w:sz w:val="20"/>
                <w:u w:val="single"/>
              </w:rPr>
              <w:t>SD</w:t>
            </w:r>
          </w:p>
        </w:tc>
        <w:tc>
          <w:tcPr>
            <w:tcW w:w="1440" w:type="dxa"/>
            <w:hideMark/>
          </w:tcPr>
          <w:p w:rsidR="004F6F1C" w:rsidRDefault="004F6F1C">
            <w:pPr>
              <w:jc w:val="right"/>
              <w:rPr>
                <w:color w:val="000000"/>
                <w:sz w:val="20"/>
                <w:lang w:eastAsia="en-US"/>
              </w:rPr>
            </w:pPr>
            <w:r>
              <w:rPr>
                <w:color w:val="000000"/>
                <w:sz w:val="20"/>
              </w:rPr>
              <w:t xml:space="preserve">  21.95</w:t>
            </w:r>
          </w:p>
        </w:tc>
        <w:tc>
          <w:tcPr>
            <w:tcW w:w="1440" w:type="dxa"/>
            <w:hideMark/>
          </w:tcPr>
          <w:p w:rsidR="004F6F1C" w:rsidRDefault="004F6F1C">
            <w:pPr>
              <w:jc w:val="right"/>
              <w:rPr>
                <w:color w:val="000000"/>
                <w:sz w:val="20"/>
                <w:lang w:eastAsia="en-US"/>
              </w:rPr>
            </w:pPr>
            <w:r>
              <w:rPr>
                <w:color w:val="000000"/>
                <w:sz w:val="20"/>
              </w:rPr>
              <w:t xml:space="preserve">  22.28</w:t>
            </w:r>
          </w:p>
        </w:tc>
      </w:tr>
      <w:tr w:rsidR="004F6F1C" w:rsidTr="004F6F1C">
        <w:trPr>
          <w:trHeight w:val="260"/>
        </w:trPr>
        <w:tc>
          <w:tcPr>
            <w:tcW w:w="2060" w:type="dxa"/>
            <w:tcBorders>
              <w:top w:val="nil"/>
              <w:left w:val="nil"/>
              <w:bottom w:val="single" w:sz="8" w:space="0" w:color="auto"/>
              <w:right w:val="nil"/>
            </w:tcBorders>
            <w:hideMark/>
          </w:tcPr>
          <w:p w:rsidR="004F6F1C" w:rsidRDefault="004F6F1C">
            <w:pPr>
              <w:rPr>
                <w:color w:val="000000"/>
                <w:sz w:val="20"/>
                <w:lang w:eastAsia="en-US"/>
              </w:rPr>
            </w:pPr>
            <w:r>
              <w:rPr>
                <w:color w:val="000000"/>
                <w:sz w:val="20"/>
              </w:rPr>
              <w:t>skew</w:t>
            </w:r>
          </w:p>
        </w:tc>
        <w:tc>
          <w:tcPr>
            <w:tcW w:w="1440" w:type="dxa"/>
            <w:tcBorders>
              <w:top w:val="nil"/>
              <w:left w:val="nil"/>
              <w:bottom w:val="single" w:sz="8" w:space="0" w:color="auto"/>
              <w:right w:val="nil"/>
            </w:tcBorders>
            <w:hideMark/>
          </w:tcPr>
          <w:p w:rsidR="004F6F1C" w:rsidRDefault="004F6F1C">
            <w:pPr>
              <w:jc w:val="right"/>
              <w:rPr>
                <w:color w:val="000000"/>
                <w:sz w:val="20"/>
                <w:lang w:eastAsia="en-US"/>
              </w:rPr>
            </w:pPr>
            <w:r>
              <w:rPr>
                <w:color w:val="000000"/>
                <w:sz w:val="20"/>
              </w:rPr>
              <w:t xml:space="preserve">    0.90</w:t>
            </w:r>
          </w:p>
        </w:tc>
        <w:tc>
          <w:tcPr>
            <w:tcW w:w="1440" w:type="dxa"/>
            <w:tcBorders>
              <w:top w:val="nil"/>
              <w:left w:val="nil"/>
              <w:bottom w:val="single" w:sz="8" w:space="0" w:color="auto"/>
              <w:right w:val="nil"/>
            </w:tcBorders>
            <w:hideMark/>
          </w:tcPr>
          <w:p w:rsidR="004F6F1C" w:rsidRDefault="004F6F1C">
            <w:pPr>
              <w:jc w:val="right"/>
              <w:rPr>
                <w:color w:val="000000"/>
                <w:sz w:val="20"/>
                <w:lang w:eastAsia="en-US"/>
              </w:rPr>
            </w:pPr>
            <w:r>
              <w:rPr>
                <w:color w:val="000000"/>
                <w:sz w:val="20"/>
              </w:rPr>
              <w:t xml:space="preserve">    0.75</w:t>
            </w:r>
          </w:p>
        </w:tc>
      </w:tr>
    </w:tbl>
    <w:p w:rsidR="004F6F1C" w:rsidRDefault="004F6F1C" w:rsidP="004F6F1C">
      <w:pPr>
        <w:rPr>
          <w:sz w:val="20"/>
          <w:szCs w:val="20"/>
          <w:lang w:eastAsia="en-US"/>
        </w:rPr>
      </w:pPr>
      <w:r>
        <w:rPr>
          <w:i/>
          <w:iCs/>
          <w:sz w:val="20"/>
        </w:rPr>
        <w:t>Note</w:t>
      </w:r>
      <w:r>
        <w:rPr>
          <w:sz w:val="20"/>
        </w:rPr>
        <w:t xml:space="preserve">. </w:t>
      </w:r>
      <w:r>
        <w:rPr>
          <w:sz w:val="20"/>
          <w:u w:val="single"/>
        </w:rPr>
        <w:t>k</w:t>
      </w:r>
      <w:r>
        <w:rPr>
          <w:sz w:val="20"/>
        </w:rPr>
        <w:t xml:space="preserve"> = number of test items.</w:t>
      </w:r>
    </w:p>
    <w:p w:rsidR="004F6F1C" w:rsidRDefault="004F6F1C" w:rsidP="004F6F1C"/>
    <w:p w:rsidR="004F6F1C" w:rsidRDefault="004F6F1C" w:rsidP="004F6F1C">
      <w:pPr>
        <w:rPr>
          <w:rFonts w:ascii="Times" w:hAnsi="Times"/>
        </w:rPr>
      </w:pPr>
    </w:p>
    <w:p w:rsidR="004F6F1C" w:rsidRDefault="004F6F1C" w:rsidP="004F6F1C">
      <w:r>
        <w:t>Results reported in Ortega et al. (in preparation): The reliability of the EI task with 28 4</w:t>
      </w:r>
      <w:r>
        <w:rPr>
          <w:vertAlign w:val="superscript"/>
        </w:rPr>
        <w:t>th</w:t>
      </w:r>
      <w:r>
        <w:t>- and 6</w:t>
      </w:r>
      <w:r>
        <w:rPr>
          <w:vertAlign w:val="superscript"/>
        </w:rPr>
        <w:t>th</w:t>
      </w:r>
      <w:r>
        <w:t xml:space="preserve">-semester college learners of L2 Spanish was </w:t>
      </w:r>
      <w:proofErr w:type="spellStart"/>
      <w:r>
        <w:t>Cronbach’s</w:t>
      </w:r>
      <w:proofErr w:type="spellEnd"/>
      <w:r>
        <w:t xml:space="preserve"> alpha .97. A comparison of the 4</w:t>
      </w:r>
      <w:r>
        <w:rPr>
          <w:vertAlign w:val="superscript"/>
        </w:rPr>
        <w:t>th</w:t>
      </w:r>
      <w:r>
        <w:t>-semester learners (“low proficiency”) and the 6</w:t>
      </w:r>
      <w:r>
        <w:rPr>
          <w:vertAlign w:val="superscript"/>
        </w:rPr>
        <w:t>th</w:t>
      </w:r>
      <w:r>
        <w:t xml:space="preserve">-semester (“high proficiency”) is presented in Table 4. The correlation with SOPI ratings (28 subjects) was Pearson r=0.88. [Note: The ACTFL ratings initially assigned by the two </w:t>
      </w:r>
      <w:proofErr w:type="spellStart"/>
      <w:r>
        <w:t>raters</w:t>
      </w:r>
      <w:proofErr w:type="spellEnd"/>
      <w:r>
        <w:t xml:space="preserve"> were converted into interval scale values using the scale equivalent devised by Henning (1992) and later the two </w:t>
      </w:r>
      <w:proofErr w:type="spellStart"/>
      <w:r>
        <w:t>raters’</w:t>
      </w:r>
      <w:proofErr w:type="spellEnd"/>
      <w:r>
        <w:t xml:space="preserve"> values were averaged, then the resulting data correlated with the EI scores.]</w:t>
      </w:r>
    </w:p>
    <w:p w:rsidR="004F6F1C" w:rsidRDefault="004F6F1C" w:rsidP="004F6F1C"/>
    <w:p w:rsidR="004F6F1C" w:rsidRDefault="004F6F1C" w:rsidP="004F6F1C"/>
    <w:p w:rsidR="004F6F1C" w:rsidRDefault="004F6F1C" w:rsidP="004F6F1C"/>
    <w:p w:rsidR="004F6F1C" w:rsidRDefault="004F6F1C" w:rsidP="004F6F1C"/>
    <w:p w:rsidR="004F6F1C" w:rsidRDefault="004F6F1C" w:rsidP="004F6F1C"/>
    <w:p w:rsidR="004F6F1C" w:rsidRDefault="004F6F1C" w:rsidP="004F6F1C"/>
    <w:p w:rsidR="004F6F1C" w:rsidRDefault="004F6F1C" w:rsidP="004F6F1C"/>
    <w:p w:rsidR="004F6F1C" w:rsidRDefault="004F6F1C" w:rsidP="004F6F1C">
      <w:proofErr w:type="gramStart"/>
      <w:r>
        <w:rPr>
          <w:b/>
        </w:rPr>
        <w:lastRenderedPageBreak/>
        <w:t>Table 4.</w:t>
      </w:r>
      <w:proofErr w:type="gramEnd"/>
      <w:r>
        <w:rPr>
          <w:b/>
        </w:rPr>
        <w:t xml:space="preserve"> Descriptive statistics of EI scores (</w:t>
      </w:r>
      <w:r>
        <w:t>Partial Table from Ortega et al., in preparation)</w:t>
      </w:r>
    </w:p>
    <w:p w:rsidR="004F6F1C" w:rsidRDefault="004F6F1C" w:rsidP="004F6F1C">
      <w:pPr>
        <w:pStyle w:val="Heading1"/>
        <w:ind w:left="270"/>
        <w:rPr>
          <w:b/>
          <w:u w:val="none"/>
        </w:rPr>
      </w:pPr>
    </w:p>
    <w:tbl>
      <w:tblPr>
        <w:tblW w:w="0" w:type="auto"/>
        <w:tblInd w:w="378" w:type="dxa"/>
        <w:tblBorders>
          <w:top w:val="single" w:sz="4" w:space="0" w:color="auto"/>
          <w:bottom w:val="single" w:sz="4" w:space="0" w:color="auto"/>
        </w:tblBorders>
        <w:tblLayout w:type="fixed"/>
        <w:tblLook w:val="04A0"/>
      </w:tblPr>
      <w:tblGrid>
        <w:gridCol w:w="1152"/>
        <w:gridCol w:w="828"/>
        <w:gridCol w:w="594"/>
        <w:gridCol w:w="823"/>
        <w:gridCol w:w="769"/>
        <w:gridCol w:w="805"/>
        <w:gridCol w:w="913"/>
      </w:tblGrid>
      <w:tr w:rsidR="004F6F1C" w:rsidTr="004F6F1C">
        <w:tc>
          <w:tcPr>
            <w:tcW w:w="1152" w:type="dxa"/>
            <w:tcBorders>
              <w:top w:val="single" w:sz="4" w:space="0" w:color="auto"/>
              <w:left w:val="nil"/>
              <w:bottom w:val="single" w:sz="4" w:space="0" w:color="auto"/>
              <w:right w:val="nil"/>
            </w:tcBorders>
          </w:tcPr>
          <w:p w:rsidR="004F6F1C" w:rsidRDefault="004F6F1C">
            <w:pPr>
              <w:rPr>
                <w:rFonts w:ascii="Times" w:hAnsi="Times"/>
                <w:sz w:val="20"/>
                <w:lang w:eastAsia="en-US"/>
              </w:rPr>
            </w:pPr>
          </w:p>
        </w:tc>
        <w:tc>
          <w:tcPr>
            <w:tcW w:w="828" w:type="dxa"/>
            <w:tcBorders>
              <w:top w:val="single" w:sz="4" w:space="0" w:color="auto"/>
              <w:left w:val="nil"/>
              <w:bottom w:val="single" w:sz="4" w:space="0" w:color="auto"/>
              <w:right w:val="nil"/>
            </w:tcBorders>
            <w:hideMark/>
          </w:tcPr>
          <w:p w:rsidR="004F6F1C" w:rsidRDefault="004F6F1C">
            <w:pPr>
              <w:rPr>
                <w:rFonts w:ascii="Times" w:hAnsi="Times"/>
                <w:sz w:val="20"/>
                <w:lang w:eastAsia="en-US"/>
              </w:rPr>
            </w:pPr>
            <w:r>
              <w:rPr>
                <w:sz w:val="20"/>
              </w:rPr>
              <w:t>Group</w:t>
            </w:r>
          </w:p>
        </w:tc>
        <w:tc>
          <w:tcPr>
            <w:tcW w:w="594" w:type="dxa"/>
            <w:tcBorders>
              <w:top w:val="single" w:sz="4" w:space="0" w:color="auto"/>
              <w:left w:val="nil"/>
              <w:bottom w:val="single" w:sz="4" w:space="0" w:color="auto"/>
              <w:right w:val="nil"/>
            </w:tcBorders>
            <w:hideMark/>
          </w:tcPr>
          <w:p w:rsidR="004F6F1C" w:rsidRDefault="004F6F1C">
            <w:pPr>
              <w:jc w:val="right"/>
              <w:rPr>
                <w:rFonts w:ascii="Times" w:hAnsi="Times"/>
                <w:sz w:val="20"/>
                <w:u w:val="single"/>
                <w:lang w:eastAsia="en-US"/>
              </w:rPr>
            </w:pPr>
            <w:r>
              <w:rPr>
                <w:sz w:val="20"/>
                <w:u w:val="single"/>
              </w:rPr>
              <w:t>N</w:t>
            </w:r>
          </w:p>
        </w:tc>
        <w:tc>
          <w:tcPr>
            <w:tcW w:w="823" w:type="dxa"/>
            <w:tcBorders>
              <w:top w:val="single" w:sz="4" w:space="0" w:color="auto"/>
              <w:left w:val="nil"/>
              <w:bottom w:val="single" w:sz="4" w:space="0" w:color="auto"/>
              <w:right w:val="nil"/>
            </w:tcBorders>
            <w:hideMark/>
          </w:tcPr>
          <w:p w:rsidR="004F6F1C" w:rsidRDefault="004F6F1C">
            <w:pPr>
              <w:jc w:val="right"/>
              <w:rPr>
                <w:rFonts w:ascii="Times" w:hAnsi="Times"/>
                <w:sz w:val="20"/>
                <w:lang w:eastAsia="en-US"/>
              </w:rPr>
            </w:pPr>
            <w:r>
              <w:rPr>
                <w:sz w:val="20"/>
              </w:rPr>
              <w:t>Mean</w:t>
            </w:r>
          </w:p>
        </w:tc>
        <w:tc>
          <w:tcPr>
            <w:tcW w:w="769" w:type="dxa"/>
            <w:tcBorders>
              <w:top w:val="single" w:sz="4" w:space="0" w:color="auto"/>
              <w:left w:val="nil"/>
              <w:bottom w:val="single" w:sz="4" w:space="0" w:color="auto"/>
              <w:right w:val="nil"/>
            </w:tcBorders>
            <w:hideMark/>
          </w:tcPr>
          <w:p w:rsidR="004F6F1C" w:rsidRDefault="004F6F1C">
            <w:pPr>
              <w:jc w:val="right"/>
              <w:rPr>
                <w:rFonts w:ascii="Times" w:hAnsi="Times"/>
                <w:sz w:val="20"/>
                <w:lang w:eastAsia="en-US"/>
              </w:rPr>
            </w:pPr>
            <w:r>
              <w:rPr>
                <w:sz w:val="20"/>
              </w:rPr>
              <w:t>SD</w:t>
            </w:r>
          </w:p>
        </w:tc>
        <w:tc>
          <w:tcPr>
            <w:tcW w:w="805" w:type="dxa"/>
            <w:tcBorders>
              <w:top w:val="single" w:sz="4" w:space="0" w:color="auto"/>
              <w:left w:val="nil"/>
              <w:bottom w:val="single" w:sz="4" w:space="0" w:color="auto"/>
              <w:right w:val="nil"/>
            </w:tcBorders>
            <w:hideMark/>
          </w:tcPr>
          <w:p w:rsidR="004F6F1C" w:rsidRDefault="004F6F1C">
            <w:pPr>
              <w:jc w:val="right"/>
              <w:rPr>
                <w:rFonts w:ascii="Times" w:hAnsi="Times"/>
                <w:sz w:val="20"/>
                <w:lang w:eastAsia="en-US"/>
              </w:rPr>
            </w:pPr>
            <w:r>
              <w:rPr>
                <w:sz w:val="20"/>
              </w:rPr>
              <w:t xml:space="preserve">Max. </w:t>
            </w:r>
          </w:p>
        </w:tc>
        <w:tc>
          <w:tcPr>
            <w:tcW w:w="913" w:type="dxa"/>
            <w:tcBorders>
              <w:top w:val="single" w:sz="4" w:space="0" w:color="auto"/>
              <w:left w:val="nil"/>
              <w:bottom w:val="single" w:sz="4" w:space="0" w:color="auto"/>
              <w:right w:val="nil"/>
            </w:tcBorders>
            <w:hideMark/>
          </w:tcPr>
          <w:p w:rsidR="004F6F1C" w:rsidRDefault="004F6F1C">
            <w:pPr>
              <w:jc w:val="right"/>
              <w:rPr>
                <w:rFonts w:ascii="Times" w:hAnsi="Times"/>
                <w:sz w:val="20"/>
                <w:lang w:eastAsia="en-US"/>
              </w:rPr>
            </w:pPr>
            <w:r>
              <w:rPr>
                <w:sz w:val="20"/>
              </w:rPr>
              <w:t xml:space="preserve">Min. </w:t>
            </w:r>
          </w:p>
        </w:tc>
      </w:tr>
      <w:tr w:rsidR="004F6F1C" w:rsidTr="004F6F1C">
        <w:tc>
          <w:tcPr>
            <w:tcW w:w="1152" w:type="dxa"/>
            <w:tcBorders>
              <w:top w:val="nil"/>
              <w:left w:val="nil"/>
              <w:bottom w:val="nil"/>
              <w:right w:val="nil"/>
            </w:tcBorders>
            <w:hideMark/>
          </w:tcPr>
          <w:p w:rsidR="004F6F1C" w:rsidRDefault="004F6F1C">
            <w:pPr>
              <w:spacing w:before="120"/>
              <w:rPr>
                <w:rFonts w:ascii="Times" w:hAnsi="Times"/>
                <w:sz w:val="20"/>
                <w:lang w:eastAsia="en-US"/>
              </w:rPr>
            </w:pPr>
            <w:r>
              <w:rPr>
                <w:sz w:val="20"/>
              </w:rPr>
              <w:t>Spanish</w:t>
            </w:r>
          </w:p>
        </w:tc>
        <w:tc>
          <w:tcPr>
            <w:tcW w:w="828" w:type="dxa"/>
            <w:tcBorders>
              <w:top w:val="nil"/>
              <w:left w:val="nil"/>
              <w:bottom w:val="nil"/>
              <w:right w:val="nil"/>
            </w:tcBorders>
            <w:hideMark/>
          </w:tcPr>
          <w:p w:rsidR="004F6F1C" w:rsidRDefault="004F6F1C">
            <w:pPr>
              <w:spacing w:before="120"/>
              <w:rPr>
                <w:rFonts w:ascii="Times" w:hAnsi="Times"/>
                <w:sz w:val="20"/>
                <w:lang w:eastAsia="en-US"/>
              </w:rPr>
            </w:pPr>
            <w:r>
              <w:rPr>
                <w:sz w:val="20"/>
              </w:rPr>
              <w:t>High</w:t>
            </w:r>
          </w:p>
        </w:tc>
        <w:tc>
          <w:tcPr>
            <w:tcW w:w="594" w:type="dxa"/>
            <w:tcBorders>
              <w:top w:val="nil"/>
              <w:left w:val="nil"/>
              <w:bottom w:val="nil"/>
              <w:right w:val="nil"/>
            </w:tcBorders>
            <w:hideMark/>
          </w:tcPr>
          <w:p w:rsidR="004F6F1C" w:rsidRDefault="004F6F1C">
            <w:pPr>
              <w:spacing w:before="120"/>
              <w:jc w:val="right"/>
              <w:rPr>
                <w:rFonts w:ascii="Times" w:hAnsi="Times"/>
                <w:sz w:val="20"/>
                <w:lang w:eastAsia="en-US"/>
              </w:rPr>
            </w:pPr>
            <w:r>
              <w:rPr>
                <w:sz w:val="20"/>
              </w:rPr>
              <w:t>17</w:t>
            </w:r>
          </w:p>
        </w:tc>
        <w:tc>
          <w:tcPr>
            <w:tcW w:w="823" w:type="dxa"/>
            <w:tcBorders>
              <w:top w:val="nil"/>
              <w:left w:val="nil"/>
              <w:bottom w:val="nil"/>
              <w:right w:val="nil"/>
            </w:tcBorders>
            <w:hideMark/>
          </w:tcPr>
          <w:p w:rsidR="004F6F1C" w:rsidRDefault="004F6F1C">
            <w:pPr>
              <w:spacing w:before="120"/>
              <w:jc w:val="right"/>
              <w:rPr>
                <w:rFonts w:ascii="Times" w:hAnsi="Times"/>
                <w:sz w:val="20"/>
                <w:lang w:eastAsia="en-US"/>
              </w:rPr>
            </w:pPr>
            <w:r>
              <w:rPr>
                <w:sz w:val="20"/>
              </w:rPr>
              <w:t>86.76</w:t>
            </w:r>
          </w:p>
        </w:tc>
        <w:tc>
          <w:tcPr>
            <w:tcW w:w="769" w:type="dxa"/>
            <w:tcBorders>
              <w:top w:val="nil"/>
              <w:left w:val="nil"/>
              <w:bottom w:val="nil"/>
              <w:right w:val="nil"/>
            </w:tcBorders>
            <w:hideMark/>
          </w:tcPr>
          <w:p w:rsidR="004F6F1C" w:rsidRDefault="004F6F1C">
            <w:pPr>
              <w:spacing w:before="120"/>
              <w:jc w:val="right"/>
              <w:rPr>
                <w:rFonts w:ascii="Times" w:hAnsi="Times"/>
                <w:sz w:val="20"/>
                <w:lang w:eastAsia="en-US"/>
              </w:rPr>
            </w:pPr>
            <w:r>
              <w:rPr>
                <w:sz w:val="20"/>
              </w:rPr>
              <w:t>21.86</w:t>
            </w:r>
          </w:p>
        </w:tc>
        <w:tc>
          <w:tcPr>
            <w:tcW w:w="805" w:type="dxa"/>
            <w:tcBorders>
              <w:top w:val="nil"/>
              <w:left w:val="nil"/>
              <w:bottom w:val="nil"/>
              <w:right w:val="nil"/>
            </w:tcBorders>
            <w:hideMark/>
          </w:tcPr>
          <w:p w:rsidR="004F6F1C" w:rsidRDefault="004F6F1C">
            <w:pPr>
              <w:spacing w:before="120"/>
              <w:jc w:val="right"/>
              <w:rPr>
                <w:rFonts w:ascii="Times" w:hAnsi="Times"/>
                <w:sz w:val="20"/>
                <w:lang w:eastAsia="en-US"/>
              </w:rPr>
            </w:pPr>
            <w:r>
              <w:rPr>
                <w:sz w:val="20"/>
              </w:rPr>
              <w:t>115</w:t>
            </w:r>
          </w:p>
        </w:tc>
        <w:tc>
          <w:tcPr>
            <w:tcW w:w="913" w:type="dxa"/>
            <w:tcBorders>
              <w:top w:val="nil"/>
              <w:left w:val="nil"/>
              <w:bottom w:val="nil"/>
              <w:right w:val="nil"/>
            </w:tcBorders>
            <w:hideMark/>
          </w:tcPr>
          <w:p w:rsidR="004F6F1C" w:rsidRDefault="004F6F1C">
            <w:pPr>
              <w:spacing w:before="120"/>
              <w:jc w:val="right"/>
              <w:rPr>
                <w:rFonts w:ascii="Times" w:hAnsi="Times"/>
                <w:sz w:val="20"/>
                <w:lang w:eastAsia="en-US"/>
              </w:rPr>
            </w:pPr>
            <w:r>
              <w:rPr>
                <w:sz w:val="20"/>
              </w:rPr>
              <w:t>45</w:t>
            </w:r>
          </w:p>
        </w:tc>
      </w:tr>
      <w:tr w:rsidR="004F6F1C" w:rsidTr="004F6F1C">
        <w:tc>
          <w:tcPr>
            <w:tcW w:w="1152" w:type="dxa"/>
            <w:tcBorders>
              <w:top w:val="nil"/>
              <w:left w:val="nil"/>
              <w:bottom w:val="single" w:sz="4" w:space="0" w:color="auto"/>
              <w:right w:val="nil"/>
            </w:tcBorders>
          </w:tcPr>
          <w:p w:rsidR="004F6F1C" w:rsidRDefault="004F6F1C">
            <w:pPr>
              <w:rPr>
                <w:rFonts w:ascii="Times" w:hAnsi="Times"/>
                <w:sz w:val="20"/>
                <w:lang w:eastAsia="en-US"/>
              </w:rPr>
            </w:pPr>
          </w:p>
        </w:tc>
        <w:tc>
          <w:tcPr>
            <w:tcW w:w="828" w:type="dxa"/>
            <w:tcBorders>
              <w:top w:val="nil"/>
              <w:left w:val="nil"/>
              <w:bottom w:val="single" w:sz="4" w:space="0" w:color="auto"/>
              <w:right w:val="nil"/>
            </w:tcBorders>
            <w:hideMark/>
          </w:tcPr>
          <w:p w:rsidR="004F6F1C" w:rsidRDefault="004F6F1C">
            <w:pPr>
              <w:rPr>
                <w:rFonts w:ascii="Times" w:hAnsi="Times"/>
                <w:sz w:val="20"/>
                <w:lang w:eastAsia="en-US"/>
              </w:rPr>
            </w:pPr>
            <w:r>
              <w:rPr>
                <w:sz w:val="20"/>
              </w:rPr>
              <w:t>Low</w:t>
            </w:r>
          </w:p>
        </w:tc>
        <w:tc>
          <w:tcPr>
            <w:tcW w:w="594" w:type="dxa"/>
            <w:tcBorders>
              <w:top w:val="nil"/>
              <w:left w:val="nil"/>
              <w:bottom w:val="single" w:sz="4" w:space="0" w:color="auto"/>
              <w:right w:val="nil"/>
            </w:tcBorders>
            <w:hideMark/>
          </w:tcPr>
          <w:p w:rsidR="004F6F1C" w:rsidRDefault="004F6F1C">
            <w:pPr>
              <w:jc w:val="right"/>
              <w:rPr>
                <w:rFonts w:ascii="Times" w:hAnsi="Times"/>
                <w:sz w:val="20"/>
                <w:lang w:eastAsia="en-US"/>
              </w:rPr>
            </w:pPr>
            <w:r>
              <w:rPr>
                <w:sz w:val="20"/>
              </w:rPr>
              <w:t>11</w:t>
            </w:r>
          </w:p>
        </w:tc>
        <w:tc>
          <w:tcPr>
            <w:tcW w:w="823" w:type="dxa"/>
            <w:tcBorders>
              <w:top w:val="nil"/>
              <w:left w:val="nil"/>
              <w:bottom w:val="single" w:sz="4" w:space="0" w:color="auto"/>
              <w:right w:val="nil"/>
            </w:tcBorders>
            <w:hideMark/>
          </w:tcPr>
          <w:p w:rsidR="004F6F1C" w:rsidRDefault="004F6F1C">
            <w:pPr>
              <w:jc w:val="right"/>
              <w:rPr>
                <w:rFonts w:ascii="Times" w:hAnsi="Times"/>
                <w:sz w:val="20"/>
                <w:lang w:eastAsia="en-US"/>
              </w:rPr>
            </w:pPr>
            <w:r>
              <w:rPr>
                <w:sz w:val="20"/>
              </w:rPr>
              <w:t>49.64</w:t>
            </w:r>
          </w:p>
        </w:tc>
        <w:tc>
          <w:tcPr>
            <w:tcW w:w="769" w:type="dxa"/>
            <w:tcBorders>
              <w:top w:val="nil"/>
              <w:left w:val="nil"/>
              <w:bottom w:val="single" w:sz="4" w:space="0" w:color="auto"/>
              <w:right w:val="nil"/>
            </w:tcBorders>
            <w:hideMark/>
          </w:tcPr>
          <w:p w:rsidR="004F6F1C" w:rsidRDefault="004F6F1C">
            <w:pPr>
              <w:jc w:val="right"/>
              <w:rPr>
                <w:rFonts w:ascii="Times" w:hAnsi="Times"/>
                <w:sz w:val="20"/>
                <w:lang w:eastAsia="en-US"/>
              </w:rPr>
            </w:pPr>
            <w:r>
              <w:rPr>
                <w:sz w:val="20"/>
              </w:rPr>
              <w:t>17.90</w:t>
            </w:r>
          </w:p>
        </w:tc>
        <w:tc>
          <w:tcPr>
            <w:tcW w:w="805" w:type="dxa"/>
            <w:tcBorders>
              <w:top w:val="nil"/>
              <w:left w:val="nil"/>
              <w:bottom w:val="single" w:sz="4" w:space="0" w:color="auto"/>
              <w:right w:val="nil"/>
            </w:tcBorders>
            <w:hideMark/>
          </w:tcPr>
          <w:p w:rsidR="004F6F1C" w:rsidRDefault="004F6F1C">
            <w:pPr>
              <w:jc w:val="right"/>
              <w:rPr>
                <w:rFonts w:ascii="Times" w:hAnsi="Times"/>
                <w:sz w:val="20"/>
                <w:lang w:eastAsia="en-US"/>
              </w:rPr>
            </w:pPr>
            <w:r>
              <w:rPr>
                <w:sz w:val="20"/>
              </w:rPr>
              <w:t>81</w:t>
            </w:r>
          </w:p>
        </w:tc>
        <w:tc>
          <w:tcPr>
            <w:tcW w:w="913" w:type="dxa"/>
            <w:tcBorders>
              <w:top w:val="nil"/>
              <w:left w:val="nil"/>
              <w:bottom w:val="single" w:sz="4" w:space="0" w:color="auto"/>
              <w:right w:val="nil"/>
            </w:tcBorders>
            <w:hideMark/>
          </w:tcPr>
          <w:p w:rsidR="004F6F1C" w:rsidRDefault="004F6F1C">
            <w:pPr>
              <w:jc w:val="right"/>
              <w:rPr>
                <w:rFonts w:ascii="Times" w:hAnsi="Times"/>
                <w:sz w:val="20"/>
                <w:lang w:eastAsia="en-US"/>
              </w:rPr>
            </w:pPr>
            <w:r>
              <w:rPr>
                <w:sz w:val="20"/>
              </w:rPr>
              <w:t>30</w:t>
            </w:r>
          </w:p>
        </w:tc>
      </w:tr>
    </w:tbl>
    <w:p w:rsidR="004F6F1C" w:rsidRDefault="004F6F1C" w:rsidP="004F6F1C">
      <w:pPr>
        <w:ind w:left="360"/>
        <w:rPr>
          <w:rFonts w:ascii="Times" w:hAnsi="Times"/>
          <w:bCs/>
          <w:sz w:val="20"/>
          <w:szCs w:val="20"/>
          <w:lang w:eastAsia="en-US"/>
        </w:rPr>
      </w:pPr>
      <w:r>
        <w:rPr>
          <w:bCs/>
          <w:i/>
          <w:sz w:val="20"/>
        </w:rPr>
        <w:t>Note</w:t>
      </w:r>
      <w:r>
        <w:rPr>
          <w:bCs/>
          <w:sz w:val="20"/>
        </w:rPr>
        <w:t>: Maximum score for the EI task is 120.</w:t>
      </w:r>
    </w:p>
    <w:p w:rsidR="004F6F1C" w:rsidRDefault="004F6F1C" w:rsidP="004F6F1C">
      <w:pPr>
        <w:rPr>
          <w:b/>
          <w:sz w:val="22"/>
        </w:rPr>
      </w:pPr>
    </w:p>
    <w:p w:rsidR="004F6F1C" w:rsidRDefault="004F6F1C" w:rsidP="004F6F1C">
      <w:pPr>
        <w:rPr>
          <w:b/>
          <w:sz w:val="22"/>
        </w:rPr>
      </w:pPr>
    </w:p>
    <w:p w:rsidR="004F6F1C" w:rsidRDefault="004F6F1C" w:rsidP="004F6F1C">
      <w:pPr>
        <w:rPr>
          <w:b/>
          <w:sz w:val="22"/>
        </w:rPr>
      </w:pPr>
      <w:r>
        <w:rPr>
          <w:b/>
          <w:sz w:val="22"/>
        </w:rPr>
        <w:t xml:space="preserve">References cited: </w:t>
      </w:r>
    </w:p>
    <w:p w:rsidR="004F6F1C" w:rsidRDefault="004F6F1C" w:rsidP="004F6F1C">
      <w:pPr>
        <w:rPr>
          <w:b/>
          <w:sz w:val="22"/>
        </w:rPr>
      </w:pPr>
    </w:p>
    <w:p w:rsidR="004F6F1C" w:rsidRDefault="004F6F1C" w:rsidP="004F6F1C">
      <w:pPr>
        <w:overflowPunct/>
        <w:spacing w:after="240"/>
        <w:ind w:left="720" w:hanging="720"/>
        <w:rPr>
          <w:rFonts w:eastAsia="MS Mincho"/>
          <w:lang w:val="en-US"/>
        </w:rPr>
      </w:pPr>
      <w:r>
        <w:rPr>
          <w:rFonts w:eastAsia="MS Mincho"/>
          <w:lang w:val="en-US"/>
        </w:rPr>
        <w:t xml:space="preserve">Ortega, L. (2000). </w:t>
      </w:r>
      <w:r>
        <w:rPr>
          <w:rFonts w:eastAsia="MS Mincho"/>
          <w:i/>
          <w:iCs/>
          <w:lang w:val="en-US"/>
        </w:rPr>
        <w:t>Understanding syntactic complexity: The measurement of change in the syntax of instructed L2 Spanish learners.</w:t>
      </w:r>
      <w:r>
        <w:rPr>
          <w:rFonts w:eastAsia="MS Mincho"/>
          <w:lang w:val="en-US"/>
        </w:rPr>
        <w:t xml:space="preserve"> </w:t>
      </w:r>
      <w:proofErr w:type="gramStart"/>
      <w:r>
        <w:rPr>
          <w:rFonts w:eastAsia="MS Mincho"/>
          <w:lang w:val="en-US"/>
        </w:rPr>
        <w:t xml:space="preserve">Unpublished Doctoral dissertation, </w:t>
      </w:r>
      <w:smartTag w:uri="urn:schemas-microsoft-com:office:smarttags" w:element="place">
        <w:smartTag w:uri="urn:schemas-microsoft-com:office:smarttags" w:element="PlaceType">
          <w:r>
            <w:rPr>
              <w:rFonts w:eastAsia="MS Mincho"/>
              <w:lang w:val="en-US"/>
            </w:rPr>
            <w:t>University</w:t>
          </w:r>
        </w:smartTag>
        <w:r>
          <w:rPr>
            <w:rFonts w:eastAsia="MS Mincho"/>
            <w:lang w:val="en-US"/>
          </w:rPr>
          <w:t xml:space="preserve"> of </w:t>
        </w:r>
        <w:smartTag w:uri="urn:schemas-microsoft-com:office:smarttags" w:element="PlaceName">
          <w:r>
            <w:rPr>
              <w:rFonts w:eastAsia="MS Mincho"/>
              <w:lang w:val="en-US"/>
            </w:rPr>
            <w:t>Hawai'i</w:t>
          </w:r>
        </w:smartTag>
      </w:smartTag>
      <w:r>
        <w:rPr>
          <w:rFonts w:eastAsia="MS Mincho"/>
          <w:lang w:val="en-US"/>
        </w:rPr>
        <w:t xml:space="preserve"> at </w:t>
      </w:r>
      <w:proofErr w:type="spellStart"/>
      <w:r>
        <w:rPr>
          <w:rFonts w:eastAsia="MS Mincho"/>
          <w:lang w:val="en-US"/>
        </w:rPr>
        <w:t>Manoa</w:t>
      </w:r>
      <w:proofErr w:type="spellEnd"/>
      <w:r>
        <w:rPr>
          <w:rFonts w:eastAsia="MS Mincho"/>
          <w:lang w:val="en-US"/>
        </w:rPr>
        <w:t>.</w:t>
      </w:r>
      <w:proofErr w:type="gramEnd"/>
    </w:p>
    <w:p w:rsidR="004F6F1C" w:rsidRDefault="004F6F1C" w:rsidP="004F6F1C">
      <w:pPr>
        <w:rPr>
          <w:b/>
          <w:sz w:val="22"/>
          <w:lang w:val="en-US"/>
        </w:rPr>
      </w:pPr>
    </w:p>
    <w:p w:rsidR="004F6F1C" w:rsidRDefault="004F6F1C" w:rsidP="004F6F1C">
      <w:pPr>
        <w:overflowPunct/>
        <w:spacing w:after="240"/>
        <w:ind w:left="720" w:hanging="720"/>
        <w:rPr>
          <w:rFonts w:eastAsia="MS Mincho"/>
          <w:lang w:val="en-US"/>
        </w:rPr>
      </w:pPr>
      <w:proofErr w:type="gramStart"/>
      <w:r>
        <w:rPr>
          <w:rFonts w:eastAsia="MS Mincho"/>
          <w:lang w:val="en-US"/>
        </w:rPr>
        <w:t xml:space="preserve">Ortega, L., Iwashita, N., </w:t>
      </w:r>
      <w:proofErr w:type="spellStart"/>
      <w:r>
        <w:rPr>
          <w:rFonts w:eastAsia="MS Mincho"/>
          <w:lang w:val="en-US"/>
        </w:rPr>
        <w:t>Rabie</w:t>
      </w:r>
      <w:proofErr w:type="spellEnd"/>
      <w:r>
        <w:rPr>
          <w:rFonts w:eastAsia="MS Mincho"/>
          <w:lang w:val="en-US"/>
        </w:rPr>
        <w:t>, S., &amp; Norris, J. M. (in preparation).</w:t>
      </w:r>
      <w:proofErr w:type="gramEnd"/>
      <w:r>
        <w:rPr>
          <w:rFonts w:eastAsia="MS Mincho"/>
          <w:lang w:val="en-US"/>
        </w:rPr>
        <w:t xml:space="preserve"> </w:t>
      </w:r>
      <w:proofErr w:type="gramStart"/>
      <w:r>
        <w:rPr>
          <w:rFonts w:eastAsia="MS Mincho"/>
          <w:i/>
          <w:iCs/>
          <w:lang w:val="en-US"/>
        </w:rPr>
        <w:t xml:space="preserve">A </w:t>
      </w:r>
      <w:proofErr w:type="spellStart"/>
      <w:r>
        <w:rPr>
          <w:rFonts w:eastAsia="MS Mincho"/>
          <w:i/>
          <w:iCs/>
          <w:lang w:val="en-US"/>
        </w:rPr>
        <w:t>multilanguage</w:t>
      </w:r>
      <w:proofErr w:type="spellEnd"/>
      <w:r>
        <w:rPr>
          <w:rFonts w:eastAsia="MS Mincho"/>
          <w:i/>
          <w:iCs/>
          <w:lang w:val="en-US"/>
        </w:rPr>
        <w:t xml:space="preserve"> comparison of measures of syntactic complexity</w:t>
      </w:r>
      <w:r>
        <w:rPr>
          <w:rFonts w:eastAsia="MS Mincho"/>
          <w:lang w:val="en-US"/>
        </w:rPr>
        <w:t>.</w:t>
      </w:r>
      <w:proofErr w:type="gramEnd"/>
      <w:r>
        <w:rPr>
          <w:rFonts w:eastAsia="MS Mincho"/>
          <w:lang w:val="en-US"/>
        </w:rPr>
        <w:t xml:space="preserve"> </w:t>
      </w:r>
      <w:smartTag w:uri="urn:schemas-microsoft-com:office:smarttags" w:element="City">
        <w:r>
          <w:rPr>
            <w:rFonts w:eastAsia="MS Mincho"/>
            <w:lang w:val="en-US"/>
          </w:rPr>
          <w:t>Honolulu</w:t>
        </w:r>
      </w:smartTag>
      <w:r>
        <w:rPr>
          <w:rFonts w:eastAsia="MS Mincho"/>
          <w:lang w:val="en-US"/>
        </w:rPr>
        <w:t xml:space="preserve">: </w:t>
      </w:r>
      <w:smartTag w:uri="urn:schemas-microsoft-com:office:smarttags" w:element="PlaceType">
        <w:r>
          <w:rPr>
            <w:rFonts w:eastAsia="MS Mincho"/>
            <w:lang w:val="en-US"/>
          </w:rPr>
          <w:t>University</w:t>
        </w:r>
      </w:smartTag>
      <w:r>
        <w:rPr>
          <w:rFonts w:eastAsia="MS Mincho"/>
          <w:lang w:val="en-US"/>
        </w:rPr>
        <w:t xml:space="preserve"> of </w:t>
      </w:r>
      <w:smartTag w:uri="urn:schemas-microsoft-com:office:smarttags" w:element="PlaceName">
        <w:r>
          <w:rPr>
            <w:rFonts w:eastAsia="MS Mincho"/>
            <w:lang w:val="en-US"/>
          </w:rPr>
          <w:t>Hawai'i</w:t>
        </w:r>
      </w:smartTag>
      <w:r>
        <w:rPr>
          <w:rFonts w:eastAsia="MS Mincho"/>
          <w:lang w:val="en-US"/>
        </w:rPr>
        <w:t xml:space="preserve">, National Foreign </w:t>
      </w:r>
      <w:smartTag w:uri="urn:schemas-microsoft-com:office:smarttags" w:element="place">
        <w:smartTag w:uri="urn:schemas-microsoft-com:office:smarttags" w:element="PlaceName">
          <w:r>
            <w:rPr>
              <w:rFonts w:eastAsia="MS Mincho"/>
              <w:lang w:val="en-US"/>
            </w:rPr>
            <w:t>Language</w:t>
          </w:r>
        </w:smartTag>
        <w:r>
          <w:rPr>
            <w:rFonts w:eastAsia="MS Mincho"/>
            <w:lang w:val="en-US"/>
          </w:rPr>
          <w:t xml:space="preserve"> </w:t>
        </w:r>
        <w:smartTag w:uri="urn:schemas-microsoft-com:office:smarttags" w:element="PlaceName">
          <w:r>
            <w:rPr>
              <w:rFonts w:eastAsia="MS Mincho"/>
              <w:lang w:val="en-US"/>
            </w:rPr>
            <w:t>Resource</w:t>
          </w:r>
        </w:smartTag>
        <w:r>
          <w:rPr>
            <w:rFonts w:eastAsia="MS Mincho"/>
            <w:lang w:val="en-US"/>
          </w:rPr>
          <w:t xml:space="preserve"> </w:t>
        </w:r>
        <w:smartTag w:uri="urn:schemas-microsoft-com:office:smarttags" w:element="PlaceType">
          <w:r>
            <w:rPr>
              <w:rFonts w:eastAsia="MS Mincho"/>
              <w:lang w:val="en-US"/>
            </w:rPr>
            <w:t>Center</w:t>
          </w:r>
        </w:smartTag>
      </w:smartTag>
      <w:r>
        <w:rPr>
          <w:rFonts w:eastAsia="MS Mincho"/>
          <w:lang w:val="en-US"/>
        </w:rPr>
        <w:t>.</w:t>
      </w:r>
    </w:p>
    <w:p w:rsidR="004F6F1C" w:rsidRDefault="004F6F1C" w:rsidP="004F6F1C">
      <w:pPr>
        <w:rPr>
          <w:b/>
          <w:sz w:val="22"/>
        </w:rPr>
      </w:pPr>
    </w:p>
    <w:p w:rsidR="004F6F1C" w:rsidRDefault="004F6F1C" w:rsidP="004F6F1C">
      <w:pPr>
        <w:overflowPunct/>
        <w:spacing w:after="240"/>
        <w:ind w:left="720" w:hanging="720"/>
        <w:rPr>
          <w:rFonts w:eastAsia="MS Mincho"/>
          <w:sz w:val="20"/>
          <w:lang w:val="en-US"/>
        </w:rPr>
      </w:pPr>
    </w:p>
    <w:p w:rsidR="004F6F1C" w:rsidRDefault="004F6F1C"/>
    <w:sectPr w:rsidR="004F6F1C" w:rsidSect="00B714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4F6F1C"/>
    <w:rsid w:val="004F6F1C"/>
    <w:rsid w:val="00B714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F1C"/>
    <w:pPr>
      <w:overflowPunct w:val="0"/>
      <w:autoSpaceDE w:val="0"/>
      <w:autoSpaceDN w:val="0"/>
      <w:adjustRightInd w:val="0"/>
      <w:spacing w:after="0" w:line="240" w:lineRule="auto"/>
    </w:pPr>
    <w:rPr>
      <w:rFonts w:ascii="Times New Roman" w:eastAsia="Times New Roman" w:hAnsi="Times New Roman" w:cs="Times New Roman"/>
      <w:sz w:val="24"/>
      <w:szCs w:val="24"/>
      <w:lang w:val="en-AU" w:eastAsia="ja-JP"/>
    </w:rPr>
  </w:style>
  <w:style w:type="paragraph" w:styleId="Heading1">
    <w:name w:val="heading 1"/>
    <w:basedOn w:val="Normal"/>
    <w:next w:val="Normal"/>
    <w:link w:val="Heading1Char"/>
    <w:qFormat/>
    <w:rsid w:val="004F6F1C"/>
    <w:pPr>
      <w:keepNext/>
      <w:overflowPunct/>
      <w:autoSpaceDE/>
      <w:autoSpaceDN/>
      <w:adjustRightInd/>
      <w:outlineLvl w:val="0"/>
    </w:pPr>
    <w:rPr>
      <w:sz w:val="20"/>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6F1C"/>
    <w:rPr>
      <w:rFonts w:ascii="Times New Roman" w:eastAsia="Times New Roman" w:hAnsi="Times New Roman" w:cs="Times New Roman"/>
      <w:sz w:val="20"/>
      <w:szCs w:val="24"/>
      <w:u w:val="single"/>
    </w:rPr>
  </w:style>
</w:styles>
</file>

<file path=word/webSettings.xml><?xml version="1.0" encoding="utf-8"?>
<w:webSettings xmlns:r="http://schemas.openxmlformats.org/officeDocument/2006/relationships" xmlns:w="http://schemas.openxmlformats.org/wordprocessingml/2006/main">
  <w:divs>
    <w:div w:id="117480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Lourdes Ortega</dc:creator>
  <cp:lastModifiedBy>Lourdes Ortega</cp:lastModifiedBy>
  <cp:revision>1</cp:revision>
  <dcterms:created xsi:type="dcterms:W3CDTF">2012-02-19T18:12:00Z</dcterms:created>
  <dcterms:modified xsi:type="dcterms:W3CDTF">2012-02-19T18:14:00Z</dcterms:modified>
</cp:coreProperties>
</file>