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1EE03" w14:textId="77777777" w:rsidR="00C307F1" w:rsidRDefault="00C307F1">
      <w:pPr>
        <w:rPr>
          <w:b/>
        </w:rPr>
      </w:pPr>
    </w:p>
    <w:p w14:paraId="53E35DD2" w14:textId="77777777" w:rsidR="00C307F1" w:rsidRDefault="00C307F1">
      <w:pPr>
        <w:rPr>
          <w:b/>
        </w:rPr>
      </w:pPr>
      <w:r>
        <w:rPr>
          <w:b/>
        </w:rPr>
        <w:br w:type="page"/>
      </w:r>
    </w:p>
    <w:p w14:paraId="2953E05F" w14:textId="376C1C94" w:rsidR="00C307F1" w:rsidRDefault="00C307F1">
      <w:pPr>
        <w:rPr>
          <w:b/>
        </w:rPr>
      </w:pPr>
      <w:r>
        <w:rPr>
          <w:b/>
        </w:rPr>
        <w:lastRenderedPageBreak/>
        <w:t>Abstract</w:t>
      </w:r>
    </w:p>
    <w:p w14:paraId="74D855C0" w14:textId="77777777" w:rsidR="00C307F1" w:rsidRPr="00C307F1" w:rsidRDefault="00C307F1"/>
    <w:p w14:paraId="088E9A8D" w14:textId="1DAA278D" w:rsidR="00C307F1" w:rsidRDefault="00C307F1"/>
    <w:p w14:paraId="23BC0C4A" w14:textId="003031FA" w:rsidR="00FC53FA" w:rsidRDefault="00FC53FA"/>
    <w:p w14:paraId="53F9F50C" w14:textId="373AB42A" w:rsidR="00FC53FA" w:rsidRDefault="00FC53FA"/>
    <w:p w14:paraId="621E7936" w14:textId="0AB6D2C4" w:rsidR="00FC53FA" w:rsidRPr="00FC53FA" w:rsidRDefault="00FC53FA">
      <w:pPr>
        <w:rPr>
          <w:b/>
        </w:rPr>
      </w:pPr>
      <w:r w:rsidRPr="00FC53FA">
        <w:rPr>
          <w:b/>
        </w:rPr>
        <w:t>Review of Literature</w:t>
      </w:r>
    </w:p>
    <w:p w14:paraId="22C07209" w14:textId="0B3501E8" w:rsidR="00FC53FA" w:rsidRDefault="00FC53FA">
      <w:r>
        <w:t>Study 1</w:t>
      </w:r>
    </w:p>
    <w:p w14:paraId="0B96C879" w14:textId="55590B96" w:rsidR="00FC53FA" w:rsidRDefault="00FC53FA">
      <w:r>
        <w:t>Study 2</w:t>
      </w:r>
    </w:p>
    <w:p w14:paraId="541E696F" w14:textId="2DBFAF67" w:rsidR="00FC53FA" w:rsidRDefault="00FC53FA"/>
    <w:p w14:paraId="2DB8C15C" w14:textId="7885F479" w:rsidR="00FC53FA" w:rsidRPr="00FC53FA" w:rsidRDefault="00FC53FA">
      <w:pPr>
        <w:rPr>
          <w:b/>
        </w:rPr>
      </w:pPr>
      <w:r w:rsidRPr="00FC53FA">
        <w:rPr>
          <w:b/>
        </w:rPr>
        <w:t>Research Questions</w:t>
      </w:r>
    </w:p>
    <w:p w14:paraId="4600C795" w14:textId="26F58243" w:rsidR="00FC53FA" w:rsidRDefault="00FC53FA"/>
    <w:p w14:paraId="339303BB" w14:textId="7E38E9BF" w:rsidR="00FC53FA" w:rsidRPr="00FC53FA" w:rsidRDefault="00FC53FA">
      <w:pPr>
        <w:rPr>
          <w:b/>
        </w:rPr>
      </w:pPr>
      <w:r w:rsidRPr="00FC53FA">
        <w:rPr>
          <w:b/>
        </w:rPr>
        <w:t>Methodology</w:t>
      </w:r>
    </w:p>
    <w:p w14:paraId="686C2E55" w14:textId="3B657CDF" w:rsidR="00FC53FA" w:rsidRDefault="00FC53FA">
      <w:r>
        <w:t>Participants</w:t>
      </w:r>
    </w:p>
    <w:p w14:paraId="1F534C9A" w14:textId="1D3911C8" w:rsidR="00FC53FA" w:rsidRDefault="00FC53FA">
      <w:r>
        <w:t>Materials</w:t>
      </w:r>
    </w:p>
    <w:p w14:paraId="36C99235" w14:textId="59474C9F" w:rsidR="00FC53FA" w:rsidRDefault="00FC53FA">
      <w:r>
        <w:t>Procedure</w:t>
      </w:r>
    </w:p>
    <w:p w14:paraId="71F29BAC" w14:textId="3F745B6A" w:rsidR="00FC53FA" w:rsidRDefault="00FC53FA">
      <w:r>
        <w:t>Scoring &amp; Coding</w:t>
      </w:r>
    </w:p>
    <w:p w14:paraId="6DE3DAA1" w14:textId="77777777" w:rsidR="00FC53FA" w:rsidRDefault="00FC53FA"/>
    <w:p w14:paraId="26E36F7E" w14:textId="48D2FF86" w:rsidR="00FC53FA" w:rsidRDefault="00FC53FA">
      <w:pPr>
        <w:rPr>
          <w:b/>
        </w:rPr>
      </w:pPr>
      <w:r>
        <w:rPr>
          <w:b/>
        </w:rPr>
        <w:t>Results</w:t>
      </w:r>
    </w:p>
    <w:p w14:paraId="61A19078" w14:textId="62989E35" w:rsidR="00FC53FA" w:rsidRDefault="00FC53FA">
      <w:r>
        <w:t>Study 1</w:t>
      </w:r>
    </w:p>
    <w:p w14:paraId="13FA384A" w14:textId="2D70A430" w:rsidR="00FC53FA" w:rsidRDefault="00FC53FA">
      <w:r>
        <w:t>Study 2</w:t>
      </w:r>
    </w:p>
    <w:p w14:paraId="55578E31" w14:textId="1AF6D5F4" w:rsidR="00FC53FA" w:rsidRDefault="00FC53FA"/>
    <w:p w14:paraId="0A7AB78D" w14:textId="265A5D54" w:rsidR="00FC53FA" w:rsidRDefault="00FC53FA">
      <w:pPr>
        <w:rPr>
          <w:b/>
        </w:rPr>
      </w:pPr>
      <w:r>
        <w:rPr>
          <w:b/>
        </w:rPr>
        <w:t>Proposed Changes, Discussion &amp; Conclusion</w:t>
      </w:r>
    </w:p>
    <w:p w14:paraId="73BB23C6" w14:textId="6D584EF9" w:rsidR="00FC53FA" w:rsidRDefault="00FC53FA"/>
    <w:p w14:paraId="38BF2873" w14:textId="349168B0" w:rsidR="00FC53FA" w:rsidRPr="00FC53FA" w:rsidRDefault="00FC53FA">
      <w:pPr>
        <w:rPr>
          <w:b/>
        </w:rPr>
      </w:pPr>
      <w:r w:rsidRPr="00FC53FA">
        <w:rPr>
          <w:b/>
        </w:rPr>
        <w:t>References</w:t>
      </w:r>
    </w:p>
    <w:p w14:paraId="5F64D649" w14:textId="77777777" w:rsidR="00C307F1" w:rsidRDefault="00C307F1">
      <w:pPr>
        <w:rPr>
          <w:b/>
        </w:rPr>
      </w:pPr>
      <w:r>
        <w:rPr>
          <w:b/>
        </w:rPr>
        <w:br w:type="page"/>
      </w:r>
    </w:p>
    <w:p w14:paraId="07911DF0" w14:textId="49911F26" w:rsidR="00243727" w:rsidRDefault="00243727">
      <w:pPr>
        <w:rPr>
          <w:b/>
        </w:rPr>
      </w:pPr>
      <w:r>
        <w:rPr>
          <w:b/>
        </w:rPr>
        <w:lastRenderedPageBreak/>
        <w:t>Review of Literature</w:t>
      </w:r>
    </w:p>
    <w:p w14:paraId="231BA9E6" w14:textId="77777777" w:rsidR="00FC53FA" w:rsidRDefault="00FC53FA">
      <w:pPr>
        <w:rPr>
          <w:b/>
        </w:rPr>
      </w:pPr>
    </w:p>
    <w:p w14:paraId="3734F69F" w14:textId="675AD7F4" w:rsidR="00243727" w:rsidRDefault="00243727">
      <w:pPr>
        <w:rPr>
          <w:b/>
        </w:rPr>
      </w:pPr>
      <w:bookmarkStart w:id="0" w:name="Study1ReviewofLit"/>
      <w:r>
        <w:rPr>
          <w:b/>
        </w:rPr>
        <w:t>Study 1</w:t>
      </w:r>
    </w:p>
    <w:bookmarkEnd w:id="0"/>
    <w:p w14:paraId="2AD18948" w14:textId="7418E90B" w:rsidR="00243727" w:rsidRDefault="00243727">
      <w:pPr>
        <w:rPr>
          <w:b/>
        </w:rPr>
      </w:pPr>
      <w:r>
        <w:rPr>
          <w:b/>
        </w:rPr>
        <w:t>Cognitive control and linguistic ambiguity resolution</w:t>
      </w:r>
    </w:p>
    <w:p w14:paraId="1D36235D" w14:textId="77777777" w:rsidR="00C307F1" w:rsidRPr="00C307F1" w:rsidRDefault="00C307F1">
      <w:pPr>
        <w:rPr>
          <w:b/>
        </w:rPr>
      </w:pPr>
    </w:p>
    <w:p w14:paraId="6EB5B255" w14:textId="77777777" w:rsidR="00C307F1" w:rsidRPr="00C307F1" w:rsidRDefault="00C307F1">
      <w:pPr>
        <w:rPr>
          <w:b/>
        </w:rPr>
      </w:pPr>
    </w:p>
    <w:p w14:paraId="248A6261" w14:textId="77777777" w:rsidR="00C307F1" w:rsidRPr="00C307F1" w:rsidRDefault="00C307F1">
      <w:pPr>
        <w:rPr>
          <w:b/>
        </w:rPr>
      </w:pPr>
    </w:p>
    <w:p w14:paraId="78F010E6" w14:textId="77777777" w:rsidR="00C307F1" w:rsidRPr="00C307F1" w:rsidRDefault="00C307F1">
      <w:pPr>
        <w:rPr>
          <w:b/>
        </w:rPr>
      </w:pPr>
    </w:p>
    <w:p w14:paraId="255386C3" w14:textId="77777777" w:rsidR="00C307F1" w:rsidRPr="00C307F1" w:rsidRDefault="00C307F1">
      <w:pPr>
        <w:rPr>
          <w:b/>
        </w:rPr>
      </w:pPr>
    </w:p>
    <w:p w14:paraId="29029761" w14:textId="77777777" w:rsidR="00C307F1" w:rsidRPr="00C307F1" w:rsidRDefault="00C307F1">
      <w:pPr>
        <w:rPr>
          <w:b/>
        </w:rPr>
      </w:pPr>
    </w:p>
    <w:p w14:paraId="012079A4" w14:textId="1065B5F8" w:rsidR="00243727" w:rsidRDefault="00243727">
      <w:pPr>
        <w:rPr>
          <w:b/>
        </w:rPr>
      </w:pPr>
      <w:r>
        <w:rPr>
          <w:b/>
        </w:rPr>
        <w:t>The bilingual advantage: Bilinguals &amp; cognitive control</w:t>
      </w:r>
    </w:p>
    <w:p w14:paraId="703991AA" w14:textId="5944D0FE" w:rsidR="00243727" w:rsidRPr="00C307F1" w:rsidRDefault="00243727">
      <w:pPr>
        <w:rPr>
          <w:b/>
        </w:rPr>
      </w:pPr>
    </w:p>
    <w:p w14:paraId="40128667" w14:textId="21BAE700" w:rsidR="00C307F1" w:rsidRPr="00C307F1" w:rsidRDefault="00C307F1">
      <w:pPr>
        <w:rPr>
          <w:b/>
        </w:rPr>
      </w:pPr>
    </w:p>
    <w:p w14:paraId="1A3CACB7" w14:textId="24BAA76C" w:rsidR="00C307F1" w:rsidRPr="00C307F1" w:rsidRDefault="00C307F1">
      <w:pPr>
        <w:rPr>
          <w:b/>
        </w:rPr>
      </w:pPr>
    </w:p>
    <w:p w14:paraId="27B5A3E4" w14:textId="7E5D2A81" w:rsidR="00C307F1" w:rsidRPr="00C307F1" w:rsidRDefault="00C307F1">
      <w:pPr>
        <w:rPr>
          <w:b/>
        </w:rPr>
      </w:pPr>
    </w:p>
    <w:p w14:paraId="57349E68" w14:textId="18ADEC40" w:rsidR="00C307F1" w:rsidRPr="00C307F1" w:rsidRDefault="00C307F1">
      <w:pPr>
        <w:rPr>
          <w:b/>
        </w:rPr>
      </w:pPr>
    </w:p>
    <w:p w14:paraId="634D1F60" w14:textId="20B994B2" w:rsidR="00C307F1" w:rsidRPr="00C307F1" w:rsidRDefault="00C307F1">
      <w:pPr>
        <w:rPr>
          <w:b/>
        </w:rPr>
      </w:pPr>
    </w:p>
    <w:p w14:paraId="0A8A3CF2" w14:textId="7450BFF1" w:rsidR="00C307F1" w:rsidRPr="00C307F1" w:rsidRDefault="00C307F1">
      <w:pPr>
        <w:rPr>
          <w:b/>
        </w:rPr>
      </w:pPr>
    </w:p>
    <w:p w14:paraId="58E06AF3" w14:textId="77777777" w:rsidR="00C307F1" w:rsidRPr="00C307F1" w:rsidRDefault="00C307F1">
      <w:pPr>
        <w:rPr>
          <w:b/>
        </w:rPr>
      </w:pPr>
    </w:p>
    <w:p w14:paraId="0F6E3050" w14:textId="77777777" w:rsidR="00FC53FA" w:rsidRDefault="00FC53FA">
      <w:pPr>
        <w:rPr>
          <w:b/>
        </w:rPr>
      </w:pPr>
      <w:r>
        <w:rPr>
          <w:b/>
        </w:rPr>
        <w:br w:type="page"/>
      </w:r>
    </w:p>
    <w:p w14:paraId="786B2374" w14:textId="77519280" w:rsidR="00243727" w:rsidRDefault="00243727">
      <w:bookmarkStart w:id="1" w:name="Study2ReviewofLit"/>
      <w:r>
        <w:rPr>
          <w:b/>
        </w:rPr>
        <w:lastRenderedPageBreak/>
        <w:t>Study 2</w:t>
      </w:r>
    </w:p>
    <w:bookmarkEnd w:id="1"/>
    <w:p w14:paraId="3A1548AD" w14:textId="4978CA80" w:rsidR="00243727" w:rsidRDefault="00243727">
      <w:pPr>
        <w:rPr>
          <w:b/>
        </w:rPr>
      </w:pPr>
      <w:r>
        <w:rPr>
          <w:b/>
        </w:rPr>
        <w:t>The language learner: Proficiency and cognitive control</w:t>
      </w:r>
    </w:p>
    <w:p w14:paraId="39FD7701" w14:textId="581CC33A" w:rsidR="00243727" w:rsidRPr="00C307F1" w:rsidRDefault="00243727">
      <w:pPr>
        <w:rPr>
          <w:b/>
        </w:rPr>
      </w:pPr>
    </w:p>
    <w:p w14:paraId="627A5C5D" w14:textId="0B3642E4" w:rsidR="00C307F1" w:rsidRPr="00C307F1" w:rsidRDefault="00C307F1">
      <w:pPr>
        <w:rPr>
          <w:b/>
        </w:rPr>
      </w:pPr>
    </w:p>
    <w:p w14:paraId="3BB0D5E8" w14:textId="0A0AFE26" w:rsidR="00C307F1" w:rsidRPr="00C307F1" w:rsidRDefault="00C307F1">
      <w:pPr>
        <w:rPr>
          <w:b/>
        </w:rPr>
      </w:pPr>
    </w:p>
    <w:p w14:paraId="62C4BB9D" w14:textId="305E5EA3" w:rsidR="00C307F1" w:rsidRPr="00C307F1" w:rsidRDefault="00C307F1">
      <w:pPr>
        <w:rPr>
          <w:b/>
        </w:rPr>
      </w:pPr>
    </w:p>
    <w:p w14:paraId="2F615C92" w14:textId="45292036" w:rsidR="00C307F1" w:rsidRPr="00C307F1" w:rsidRDefault="00C307F1">
      <w:pPr>
        <w:rPr>
          <w:b/>
        </w:rPr>
      </w:pPr>
    </w:p>
    <w:p w14:paraId="55C582EB" w14:textId="153C6045" w:rsidR="00C307F1" w:rsidRPr="00C307F1" w:rsidRDefault="00C307F1">
      <w:pPr>
        <w:rPr>
          <w:b/>
        </w:rPr>
      </w:pPr>
    </w:p>
    <w:p w14:paraId="4845E3F3" w14:textId="3C46B38D" w:rsidR="00C307F1" w:rsidRPr="00C307F1" w:rsidRDefault="00C307F1">
      <w:pPr>
        <w:rPr>
          <w:b/>
        </w:rPr>
      </w:pPr>
    </w:p>
    <w:p w14:paraId="7F62ECA1" w14:textId="77777777" w:rsidR="00C307F1" w:rsidRPr="00C307F1" w:rsidRDefault="00C307F1">
      <w:pPr>
        <w:rPr>
          <w:b/>
        </w:rPr>
      </w:pPr>
    </w:p>
    <w:p w14:paraId="4BB42DB4" w14:textId="50F839B4" w:rsidR="00243727" w:rsidRDefault="00243727">
      <w:pPr>
        <w:rPr>
          <w:b/>
        </w:rPr>
      </w:pPr>
      <w:r>
        <w:rPr>
          <w:b/>
        </w:rPr>
        <w:t>Non-natives and ambiguity processing</w:t>
      </w:r>
    </w:p>
    <w:p w14:paraId="5DCA8515" w14:textId="111CD67A" w:rsidR="00243727" w:rsidRPr="00C307F1" w:rsidRDefault="00243727">
      <w:pPr>
        <w:rPr>
          <w:b/>
        </w:rPr>
      </w:pPr>
    </w:p>
    <w:p w14:paraId="1A5CAEB6" w14:textId="70A72BEB" w:rsidR="00C307F1" w:rsidRPr="00C307F1" w:rsidRDefault="00C307F1">
      <w:pPr>
        <w:rPr>
          <w:b/>
        </w:rPr>
      </w:pPr>
    </w:p>
    <w:p w14:paraId="584CD23A" w14:textId="1629DEA7" w:rsidR="00C307F1" w:rsidRPr="00C307F1" w:rsidRDefault="00C307F1">
      <w:pPr>
        <w:rPr>
          <w:b/>
        </w:rPr>
      </w:pPr>
    </w:p>
    <w:p w14:paraId="5F4F6F81" w14:textId="0575829B" w:rsidR="00C307F1" w:rsidRPr="00C307F1" w:rsidRDefault="00C307F1">
      <w:pPr>
        <w:rPr>
          <w:b/>
        </w:rPr>
      </w:pPr>
    </w:p>
    <w:p w14:paraId="08202684" w14:textId="54723DE4" w:rsidR="00C307F1" w:rsidRPr="00C307F1" w:rsidRDefault="00C307F1">
      <w:pPr>
        <w:rPr>
          <w:b/>
        </w:rPr>
      </w:pPr>
    </w:p>
    <w:p w14:paraId="3DBD268D" w14:textId="1C7CB715" w:rsidR="00C307F1" w:rsidRPr="00C307F1" w:rsidRDefault="00C307F1">
      <w:pPr>
        <w:rPr>
          <w:b/>
        </w:rPr>
      </w:pPr>
    </w:p>
    <w:p w14:paraId="77885B85" w14:textId="452BF4AD" w:rsidR="00C307F1" w:rsidRPr="00C307F1" w:rsidRDefault="00C307F1">
      <w:pPr>
        <w:rPr>
          <w:b/>
        </w:rPr>
      </w:pPr>
    </w:p>
    <w:p w14:paraId="42567853" w14:textId="77777777" w:rsidR="00C307F1" w:rsidRPr="00C307F1" w:rsidRDefault="00C307F1">
      <w:pPr>
        <w:rPr>
          <w:b/>
        </w:rPr>
      </w:pPr>
    </w:p>
    <w:p w14:paraId="334CA320" w14:textId="77777777" w:rsidR="00243727" w:rsidRPr="00243727" w:rsidRDefault="00243727"/>
    <w:p w14:paraId="7A4A7E25" w14:textId="77777777" w:rsidR="00243727" w:rsidRDefault="00243727">
      <w:pPr>
        <w:rPr>
          <w:b/>
        </w:rPr>
      </w:pPr>
    </w:p>
    <w:p w14:paraId="69F8E2FB" w14:textId="77777777" w:rsidR="00243727" w:rsidRDefault="00243727">
      <w:pPr>
        <w:rPr>
          <w:b/>
        </w:rPr>
      </w:pPr>
    </w:p>
    <w:p w14:paraId="0F8EF3F8" w14:textId="77777777" w:rsidR="00243727" w:rsidRDefault="00243727">
      <w:pPr>
        <w:rPr>
          <w:b/>
        </w:rPr>
      </w:pPr>
    </w:p>
    <w:p w14:paraId="72E52D5C" w14:textId="77777777" w:rsidR="00243727" w:rsidRDefault="00243727">
      <w:pPr>
        <w:rPr>
          <w:b/>
        </w:rPr>
      </w:pPr>
    </w:p>
    <w:p w14:paraId="68832A02" w14:textId="77777777" w:rsidR="00243727" w:rsidRDefault="00243727">
      <w:pPr>
        <w:rPr>
          <w:b/>
        </w:rPr>
      </w:pPr>
    </w:p>
    <w:p w14:paraId="66BC8251" w14:textId="77777777" w:rsidR="00FC53FA" w:rsidRDefault="00FC53FA">
      <w:pPr>
        <w:rPr>
          <w:b/>
        </w:rPr>
      </w:pPr>
      <w:r>
        <w:rPr>
          <w:b/>
        </w:rPr>
        <w:br w:type="page"/>
      </w:r>
    </w:p>
    <w:p w14:paraId="05E1F76C" w14:textId="114031A0" w:rsidR="00AD054A" w:rsidRDefault="00AD054A">
      <w:pPr>
        <w:rPr>
          <w:b/>
        </w:rPr>
      </w:pPr>
      <w:bookmarkStart w:id="2" w:name="ResearchQuestions"/>
      <w:r>
        <w:rPr>
          <w:b/>
        </w:rPr>
        <w:lastRenderedPageBreak/>
        <w:t>Research Questions</w:t>
      </w:r>
    </w:p>
    <w:bookmarkEnd w:id="2"/>
    <w:p w14:paraId="7637E079" w14:textId="78CFE62A" w:rsidR="00AD054A" w:rsidRPr="00AD054A" w:rsidRDefault="00AD054A">
      <w:r w:rsidRPr="00AD054A">
        <w:t>Study 1</w:t>
      </w:r>
    </w:p>
    <w:p w14:paraId="09A182ED" w14:textId="40A4CBEF" w:rsidR="008C6E39" w:rsidRDefault="008C6E39" w:rsidP="008C6E39">
      <w:pPr>
        <w:pStyle w:val="ListParagraph"/>
        <w:numPr>
          <w:ilvl w:val="0"/>
          <w:numId w:val="5"/>
        </w:numPr>
      </w:pPr>
      <w:r>
        <w:t xml:space="preserve">Does cognitive control engagement affect latency in processing temporarily ambiguous structures in early bilinguals? </w:t>
      </w:r>
    </w:p>
    <w:p w14:paraId="5ABDD424" w14:textId="77777777" w:rsidR="00AD054A" w:rsidRDefault="00AD054A" w:rsidP="00AD054A"/>
    <w:p w14:paraId="734883D6" w14:textId="5EBADDA6" w:rsidR="003C281E" w:rsidRDefault="00AD054A" w:rsidP="00032C55">
      <w:r>
        <w:t>Study 2</w:t>
      </w:r>
    </w:p>
    <w:p w14:paraId="51341BBB" w14:textId="5CC8FC2D" w:rsidR="00AD054A" w:rsidRPr="008C6E39" w:rsidRDefault="003C281E" w:rsidP="00032C55">
      <w:pPr>
        <w:pStyle w:val="ListParagraph"/>
        <w:numPr>
          <w:ilvl w:val="0"/>
          <w:numId w:val="5"/>
        </w:numPr>
      </w:pPr>
      <w:r w:rsidRPr="008C6E39">
        <w:t xml:space="preserve">Does proficiency </w:t>
      </w:r>
      <w:r w:rsidR="008C6E39" w:rsidRPr="008C6E39">
        <w:t>affect latency</w:t>
      </w:r>
      <w:r w:rsidRPr="008C6E39">
        <w:t xml:space="preserve"> in processing temporar</w:t>
      </w:r>
      <w:r w:rsidR="008C6E39" w:rsidRPr="008C6E39">
        <w:t xml:space="preserve">ily ambiguous sentences in second language </w:t>
      </w:r>
      <w:r w:rsidR="008C6E39">
        <w:t>learners</w:t>
      </w:r>
      <w:r w:rsidR="008C6E39" w:rsidRPr="008C6E39">
        <w:t>?</w:t>
      </w:r>
    </w:p>
    <w:p w14:paraId="48DD8B5A" w14:textId="71498450" w:rsidR="00AD054A" w:rsidRDefault="008C6E39" w:rsidP="00032C55">
      <w:pPr>
        <w:pStyle w:val="ListParagraph"/>
        <w:numPr>
          <w:ilvl w:val="0"/>
          <w:numId w:val="5"/>
        </w:numPr>
      </w:pPr>
      <w:r w:rsidRPr="008C6E39">
        <w:t xml:space="preserve">Does cognitive control engagement affect latency in processing </w:t>
      </w:r>
      <w:r>
        <w:t xml:space="preserve">the non-dominant language in second language learners? </w:t>
      </w:r>
    </w:p>
    <w:p w14:paraId="257F3C17" w14:textId="604FFE67" w:rsidR="008C6E39" w:rsidRPr="008C6E39" w:rsidRDefault="008C6E39" w:rsidP="008C6E39">
      <w:pPr>
        <w:pStyle w:val="ListParagraph"/>
        <w:numPr>
          <w:ilvl w:val="1"/>
          <w:numId w:val="6"/>
        </w:numPr>
      </w:pPr>
      <w:r>
        <w:t>If so, does cognitive control engagement affect resolution of the ambiguity in temporarily ambiguous sentences?</w:t>
      </w:r>
    </w:p>
    <w:p w14:paraId="173274DF" w14:textId="77777777" w:rsidR="008C6E39" w:rsidRPr="008C6E39" w:rsidRDefault="008C6E39" w:rsidP="008C6E39"/>
    <w:p w14:paraId="7F8F1C86" w14:textId="77777777" w:rsidR="00FC53FA" w:rsidRDefault="00FC53FA">
      <w:pPr>
        <w:rPr>
          <w:b/>
        </w:rPr>
      </w:pPr>
      <w:r>
        <w:rPr>
          <w:b/>
        </w:rPr>
        <w:br w:type="page"/>
      </w:r>
    </w:p>
    <w:p w14:paraId="0CC50308" w14:textId="68E04A4B" w:rsidR="00DF270B" w:rsidRPr="00E32505" w:rsidRDefault="00E32505">
      <w:pPr>
        <w:rPr>
          <w:b/>
        </w:rPr>
      </w:pPr>
      <w:bookmarkStart w:id="3" w:name="Method"/>
      <w:r w:rsidRPr="00E32505">
        <w:rPr>
          <w:b/>
        </w:rPr>
        <w:lastRenderedPageBreak/>
        <w:t>Method</w:t>
      </w:r>
      <w:r w:rsidR="00CD080C">
        <w:rPr>
          <w:b/>
        </w:rPr>
        <w:t xml:space="preserve"> </w:t>
      </w:r>
    </w:p>
    <w:bookmarkEnd w:id="3"/>
    <w:p w14:paraId="7D120C11" w14:textId="77777777" w:rsidR="00E32505" w:rsidRDefault="00E32505"/>
    <w:p w14:paraId="3865D0ED" w14:textId="77777777" w:rsidR="00E32505" w:rsidRDefault="00E32505">
      <w:r w:rsidRPr="00E32505">
        <w:t>Participants</w:t>
      </w:r>
    </w:p>
    <w:p w14:paraId="350CEB8A" w14:textId="77777777" w:rsidR="00E32505" w:rsidRDefault="00E32505"/>
    <w:p w14:paraId="4BB4E5FF" w14:textId="77777777" w:rsidR="00E32505" w:rsidRDefault="00E32505">
      <w:r>
        <w:t>Pilot Study 1</w:t>
      </w:r>
    </w:p>
    <w:p w14:paraId="75E851CF" w14:textId="77777777" w:rsidR="00E32505" w:rsidRDefault="00E32505"/>
    <w:p w14:paraId="6C975ACC" w14:textId="77777777" w:rsidR="00E32505" w:rsidRDefault="00E32505" w:rsidP="00F57D8D">
      <w:pPr>
        <w:ind w:firstLine="720"/>
      </w:pPr>
      <w:r>
        <w:t xml:space="preserve">Participants in Pilot Study 1 were 5 early bilinguals of Spanish and Catalan (3 female, 2 male). Four of the participants </w:t>
      </w:r>
      <w:r w:rsidR="00F57D8D">
        <w:t xml:space="preserve">(Participants 2-5) </w:t>
      </w:r>
      <w:r>
        <w:t>were simultaneous Spanish-Catalan bilinguals</w:t>
      </w:r>
      <w:r w:rsidR="00F57D8D">
        <w:t>, who began learning Spanish and Catalan before age 2. T</w:t>
      </w:r>
      <w:r>
        <w:t>he fifth participant (Participant 1) was a sequential bilingual, who began speaking Catalan at the age of 7 when her family moved from Colombia, and therefore</w:t>
      </w:r>
      <w:r w:rsidR="00F57D8D">
        <w:t xml:space="preserve"> was</w:t>
      </w:r>
      <w:r>
        <w:t xml:space="preserve"> factored into analyses as a separate profile. The participants were recruited from the </w:t>
      </w:r>
      <w:proofErr w:type="spellStart"/>
      <w:r>
        <w:t>Universitat</w:t>
      </w:r>
      <w:proofErr w:type="spellEnd"/>
      <w:r>
        <w:t xml:space="preserve"> </w:t>
      </w:r>
      <w:proofErr w:type="spellStart"/>
      <w:r>
        <w:t>Pompeu</w:t>
      </w:r>
      <w:proofErr w:type="spellEnd"/>
      <w:r>
        <w:t xml:space="preserve"> </w:t>
      </w:r>
      <w:proofErr w:type="spellStart"/>
      <w:r>
        <w:t>Fabra</w:t>
      </w:r>
      <w:proofErr w:type="spellEnd"/>
      <w:r>
        <w:t xml:space="preserve"> in Barcelona, Spain.</w:t>
      </w:r>
      <w:r w:rsidR="00F57D8D">
        <w:t xml:space="preserve"> Participants had completed between 1 and 4 years of university study. </w:t>
      </w:r>
      <w:r>
        <w:t xml:space="preserve">The average age was 20.6 (SD: </w:t>
      </w:r>
      <w:r w:rsidR="00F57D8D">
        <w:t>1.34).</w:t>
      </w:r>
    </w:p>
    <w:p w14:paraId="058333D5" w14:textId="77777777" w:rsidR="0007329A" w:rsidRDefault="00F57D8D" w:rsidP="0007329A">
      <w:pPr>
        <w:ind w:firstLine="720"/>
      </w:pPr>
      <w:r>
        <w:t>The participants were asked to self-report their abilities in Spanish</w:t>
      </w:r>
      <w:r w:rsidR="0007329A">
        <w:t xml:space="preserve"> and </w:t>
      </w:r>
      <w:r>
        <w:t xml:space="preserve">Catalan on a scale of 0-5, where 0 was defined as “poor” and 5 as “near-native or native”. They ranked their abilities in the following five categories: reading, writing, speaking, listening and vocabulary knowledge. The four simultaneous bilinguals self-reported </w:t>
      </w:r>
      <w:r w:rsidR="0007329A">
        <w:t>each of these</w:t>
      </w:r>
      <w:r>
        <w:t xml:space="preserve"> abilities in Spanish and Catalan at near-native or native levels (M = 5, SD = 0); the sequential bilingual </w:t>
      </w:r>
      <w:r w:rsidR="0007329A">
        <w:t xml:space="preserve">reported her Catalan at “near-native or native” for reading, and at “excellent” for the other four abilities. However, she also rated her Spanish listening and speaking abilities as “excellent”, and only ranked her reading, writing and vocabulary knowledge at the “near-native or native” level. </w:t>
      </w:r>
    </w:p>
    <w:p w14:paraId="15681F44" w14:textId="77777777" w:rsidR="00F57D8D" w:rsidRDefault="0007329A" w:rsidP="00864D55">
      <w:pPr>
        <w:ind w:firstLine="720"/>
      </w:pPr>
      <w:r>
        <w:t xml:space="preserve">Participants were also experienced foreign language learners. The four simultaneous bilinguals </w:t>
      </w:r>
      <w:r w:rsidR="00A14899">
        <w:t>reported the age at which they began</w:t>
      </w:r>
      <w:r>
        <w:t xml:space="preserve"> learning English before </w:t>
      </w:r>
      <w:r w:rsidR="00A14899">
        <w:t xml:space="preserve">age 13 (M = 7.5, SD = 3.27). The sequential bilingual reported learning English between 13 and 17. Their reported English abilities </w:t>
      </w:r>
      <w:r w:rsidR="00864D55">
        <w:t xml:space="preserve">are listed in </w:t>
      </w:r>
      <w:r w:rsidR="00864D55" w:rsidRPr="00864D55">
        <w:rPr>
          <w:highlight w:val="yellow"/>
        </w:rPr>
        <w:t>TABLE XXXXXX.</w:t>
      </w:r>
      <w:r w:rsidR="00864D55">
        <w:rPr>
          <w:highlight w:val="yellow"/>
        </w:rPr>
        <w:t xml:space="preserve"> </w:t>
      </w:r>
      <w:r w:rsidR="00864D55">
        <w:t>Three</w:t>
      </w:r>
      <w:r w:rsidR="00864D55" w:rsidRPr="00864D55">
        <w:t xml:space="preserve"> participants</w:t>
      </w:r>
      <w:r w:rsidR="00864D55">
        <w:t xml:space="preserve"> (2, 3, 4) also began learning a fourth language after age 5 before age 13 (Japanese, German, French, respectively).</w:t>
      </w:r>
    </w:p>
    <w:p w14:paraId="56841F9C" w14:textId="77777777" w:rsidR="0007329A" w:rsidRDefault="0007329A"/>
    <w:tbl>
      <w:tblPr>
        <w:tblW w:w="0" w:type="dxa"/>
        <w:tblCellMar>
          <w:left w:w="0" w:type="dxa"/>
          <w:right w:w="0" w:type="dxa"/>
        </w:tblCellMar>
        <w:tblLook w:val="04A0" w:firstRow="1" w:lastRow="0" w:firstColumn="1" w:lastColumn="0" w:noHBand="0" w:noVBand="1"/>
      </w:tblPr>
      <w:tblGrid>
        <w:gridCol w:w="202"/>
        <w:gridCol w:w="202"/>
        <w:gridCol w:w="1258"/>
        <w:gridCol w:w="1258"/>
        <w:gridCol w:w="1258"/>
      </w:tblGrid>
      <w:tr w:rsidR="0007329A" w:rsidRPr="0007329A" w14:paraId="608FB5E6" w14:textId="77777777" w:rsidTr="0007329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D8E72" w14:textId="77777777" w:rsidR="0007329A" w:rsidRPr="0007329A" w:rsidRDefault="0007329A" w:rsidP="0007329A">
            <w:pPr>
              <w:jc w:val="right"/>
              <w:rPr>
                <w:rFonts w:ascii="Arial" w:hAnsi="Arial" w:cs="Arial"/>
                <w:sz w:val="20"/>
                <w:szCs w:val="20"/>
              </w:rPr>
            </w:pPr>
            <w:r w:rsidRPr="0007329A">
              <w:rPr>
                <w:rFonts w:ascii="Arial"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E7F08" w14:textId="77777777" w:rsidR="0007329A" w:rsidRPr="0007329A" w:rsidRDefault="0007329A" w:rsidP="0007329A">
            <w:pPr>
              <w:jc w:val="right"/>
              <w:rPr>
                <w:rFonts w:ascii="Arial" w:hAnsi="Arial" w:cs="Arial"/>
                <w:sz w:val="20"/>
                <w:szCs w:val="20"/>
              </w:rPr>
            </w:pPr>
            <w:r w:rsidRPr="0007329A">
              <w:rPr>
                <w:rFonts w:ascii="Arial"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C4B04" w14:textId="77777777" w:rsidR="0007329A" w:rsidRPr="0007329A" w:rsidRDefault="0007329A" w:rsidP="0007329A">
            <w:pPr>
              <w:jc w:val="right"/>
              <w:rPr>
                <w:rFonts w:ascii="Arial" w:hAnsi="Arial" w:cs="Arial"/>
                <w:sz w:val="20"/>
                <w:szCs w:val="20"/>
              </w:rPr>
            </w:pPr>
            <w:r w:rsidRPr="0007329A">
              <w:rPr>
                <w:rFonts w:ascii="Arial" w:hAnsi="Arial" w:cs="Arial"/>
                <w:sz w:val="20"/>
                <w:szCs w:val="20"/>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6D510" w14:textId="77777777" w:rsidR="0007329A" w:rsidRPr="0007329A" w:rsidRDefault="0007329A" w:rsidP="0007329A">
            <w:pPr>
              <w:jc w:val="right"/>
              <w:rPr>
                <w:rFonts w:ascii="Arial" w:hAnsi="Arial" w:cs="Arial"/>
                <w:sz w:val="20"/>
                <w:szCs w:val="20"/>
              </w:rPr>
            </w:pPr>
            <w:r w:rsidRPr="0007329A">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87CFC" w14:textId="77777777" w:rsidR="0007329A" w:rsidRPr="0007329A" w:rsidRDefault="0007329A" w:rsidP="0007329A">
            <w:pPr>
              <w:jc w:val="right"/>
              <w:rPr>
                <w:rFonts w:ascii="Arial" w:hAnsi="Arial" w:cs="Arial"/>
                <w:sz w:val="20"/>
                <w:szCs w:val="20"/>
              </w:rPr>
            </w:pPr>
            <w:r w:rsidRPr="0007329A">
              <w:rPr>
                <w:rFonts w:ascii="Arial" w:hAnsi="Arial" w:cs="Arial"/>
                <w:sz w:val="20"/>
                <w:szCs w:val="20"/>
              </w:rPr>
              <w:t>2.4</w:t>
            </w:r>
          </w:p>
        </w:tc>
      </w:tr>
      <w:tr w:rsidR="0007329A" w:rsidRPr="0007329A" w14:paraId="70B9C699" w14:textId="77777777" w:rsidTr="0007329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2170B" w14:textId="77777777" w:rsidR="0007329A" w:rsidRPr="0007329A" w:rsidRDefault="0007329A" w:rsidP="0007329A">
            <w:pPr>
              <w:jc w:val="right"/>
              <w:rPr>
                <w:rFonts w:ascii="Arial" w:hAnsi="Arial" w:cs="Arial"/>
                <w:sz w:val="20"/>
                <w:szCs w:val="20"/>
              </w:rPr>
            </w:pPr>
            <w:r w:rsidRPr="0007329A">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AB658" w14:textId="77777777" w:rsidR="0007329A" w:rsidRPr="0007329A" w:rsidRDefault="0007329A" w:rsidP="0007329A">
            <w:pPr>
              <w:jc w:val="right"/>
              <w:rPr>
                <w:rFonts w:ascii="Arial" w:hAnsi="Arial" w:cs="Arial"/>
                <w:sz w:val="20"/>
                <w:szCs w:val="20"/>
              </w:rPr>
            </w:pPr>
            <w:r w:rsidRPr="0007329A">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23465" w14:textId="77777777" w:rsidR="0007329A" w:rsidRPr="0007329A" w:rsidRDefault="0007329A" w:rsidP="0007329A">
            <w:pPr>
              <w:jc w:val="right"/>
              <w:rPr>
                <w:rFonts w:ascii="Arial" w:hAnsi="Arial" w:cs="Arial"/>
                <w:sz w:val="20"/>
                <w:szCs w:val="20"/>
              </w:rPr>
            </w:pPr>
            <w:r w:rsidRPr="0007329A">
              <w:rPr>
                <w:rFonts w:ascii="Arial" w:hAnsi="Arial" w:cs="Arial"/>
                <w:sz w:val="20"/>
                <w:szCs w:val="20"/>
              </w:rPr>
              <w:t>1.483239697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0EC38" w14:textId="77777777" w:rsidR="0007329A" w:rsidRPr="0007329A" w:rsidRDefault="0007329A" w:rsidP="0007329A">
            <w:pPr>
              <w:jc w:val="right"/>
              <w:rPr>
                <w:rFonts w:ascii="Arial" w:hAnsi="Arial" w:cs="Arial"/>
                <w:sz w:val="20"/>
                <w:szCs w:val="20"/>
              </w:rPr>
            </w:pPr>
            <w:r w:rsidRPr="0007329A">
              <w:rPr>
                <w:rFonts w:ascii="Arial" w:hAnsi="Arial" w:cs="Arial"/>
                <w:sz w:val="20"/>
                <w:szCs w:val="20"/>
              </w:rPr>
              <w:t>1.095445115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FEE7" w14:textId="77777777" w:rsidR="0007329A" w:rsidRPr="0007329A" w:rsidRDefault="0007329A" w:rsidP="0007329A">
            <w:pPr>
              <w:jc w:val="right"/>
              <w:rPr>
                <w:rFonts w:ascii="Arial" w:hAnsi="Arial" w:cs="Arial"/>
                <w:sz w:val="20"/>
                <w:szCs w:val="20"/>
              </w:rPr>
            </w:pPr>
            <w:r w:rsidRPr="0007329A">
              <w:rPr>
                <w:rFonts w:ascii="Arial" w:hAnsi="Arial" w:cs="Arial"/>
                <w:sz w:val="20"/>
                <w:szCs w:val="20"/>
              </w:rPr>
              <w:t>1.140175425</w:t>
            </w:r>
          </w:p>
        </w:tc>
      </w:tr>
    </w:tbl>
    <w:p w14:paraId="2204BDE4" w14:textId="77777777" w:rsidR="0007329A" w:rsidRDefault="0007329A"/>
    <w:p w14:paraId="2AF5934B" w14:textId="77777777" w:rsidR="00864D55" w:rsidRDefault="00864D55">
      <w:r>
        <w:t>Pilot Study 2</w:t>
      </w:r>
    </w:p>
    <w:p w14:paraId="2A207851" w14:textId="77777777" w:rsidR="00864D55" w:rsidRDefault="00864D55"/>
    <w:p w14:paraId="3AB48D9F" w14:textId="77777777" w:rsidR="007D636B" w:rsidRDefault="00864D55">
      <w:r>
        <w:tab/>
        <w:t>Participants in Pilot Study 2 were 1</w:t>
      </w:r>
      <w:r w:rsidR="00E81666">
        <w:t>8 classroom learners of Spanish</w:t>
      </w:r>
      <w:r w:rsidR="004B1C87">
        <w:t xml:space="preserve"> (7 female, 11 male). </w:t>
      </w:r>
      <w:r w:rsidR="008E2DDD">
        <w:t>They were recruited from one of three Spanish language courses at Georgetown University (Intermediate I</w:t>
      </w:r>
      <w:r w:rsidR="000866E6">
        <w:t xml:space="preserve"> [3 participants]</w:t>
      </w:r>
      <w:r w:rsidR="008E2DDD">
        <w:t>, Advanced I</w:t>
      </w:r>
      <w:r w:rsidR="000866E6">
        <w:t xml:space="preserve"> [12]</w:t>
      </w:r>
      <w:r w:rsidR="008E2DDD">
        <w:t>, or Oral Review</w:t>
      </w:r>
      <w:r w:rsidR="000866E6">
        <w:t xml:space="preserve"> [3]</w:t>
      </w:r>
      <w:r w:rsidR="008E2DDD">
        <w:t xml:space="preserve">, a course that follows Advanced II for these students). </w:t>
      </w:r>
      <w:r w:rsidR="000914B0">
        <w:t xml:space="preserve">Three early bilinguals (2 Korean-English and 1 English-Spanish bilinguals) were removed from the sample. </w:t>
      </w:r>
      <w:r w:rsidR="008E2DDD">
        <w:t>The remaining 15 participants all identified themselves as native speakers of English only</w:t>
      </w:r>
      <w:r w:rsidR="000866E6">
        <w:t>, all born in the United States, and with a mean age of 18.6 years (SD = 0.74)</w:t>
      </w:r>
      <w:r w:rsidR="008E2DDD">
        <w:t>. One</w:t>
      </w:r>
      <w:r w:rsidR="00DB4EFD">
        <w:t xml:space="preserve"> participant</w:t>
      </w:r>
      <w:r w:rsidR="008E2DDD">
        <w:t xml:space="preserve"> </w:t>
      </w:r>
      <w:r w:rsidR="00DB4EFD">
        <w:t xml:space="preserve">began learning Spanish </w:t>
      </w:r>
      <w:r w:rsidR="00E81666">
        <w:t>before age 10, attending a bilingual English-Spanish pre-school and kindergarten.</w:t>
      </w:r>
      <w:r w:rsidR="00DB4EFD">
        <w:t xml:space="preserve"> </w:t>
      </w:r>
      <w:r w:rsidR="008E2DDD">
        <w:t>Seven</w:t>
      </w:r>
      <w:r w:rsidR="00E81666">
        <w:t xml:space="preserve"> </w:t>
      </w:r>
      <w:r w:rsidR="008E2DDD">
        <w:t>participants</w:t>
      </w:r>
      <w:r w:rsidR="00E81666">
        <w:t xml:space="preserve"> began learning Spanish between the ages of 10 and 13, </w:t>
      </w:r>
      <w:r w:rsidR="004B1C87">
        <w:t>and seven</w:t>
      </w:r>
      <w:r w:rsidR="00E81666">
        <w:t xml:space="preserve"> between 13 and 1</w:t>
      </w:r>
      <w:r w:rsidR="004B1C87">
        <w:t>8</w:t>
      </w:r>
      <w:r w:rsidR="008E2DDD">
        <w:t xml:space="preserve">. </w:t>
      </w:r>
      <w:r w:rsidR="000866E6">
        <w:t xml:space="preserve">Spanish was the first classroom-learned language for 13 of these participants; one participant studied Hebrew and one studied French after age 13. </w:t>
      </w:r>
    </w:p>
    <w:p w14:paraId="3BA9F091" w14:textId="77777777" w:rsidR="007F13AA" w:rsidRDefault="007F13AA">
      <w:r>
        <w:tab/>
        <w:t xml:space="preserve">In addition to low accrual numbers in the Intermediate I and Oral Review groups, two intermediate </w:t>
      </w:r>
      <w:r w:rsidR="003379B2">
        <w:t>students</w:t>
      </w:r>
      <w:r>
        <w:t xml:space="preserve"> did not attain the minimum comprehension threshold (discussed below) </w:t>
      </w:r>
      <w:r>
        <w:lastRenderedPageBreak/>
        <w:t xml:space="preserve">and one </w:t>
      </w:r>
      <w:r w:rsidR="003379B2">
        <w:t>O</w:t>
      </w:r>
      <w:r>
        <w:t xml:space="preserve">ral </w:t>
      </w:r>
      <w:r w:rsidR="003379B2">
        <w:t>R</w:t>
      </w:r>
      <w:r>
        <w:t xml:space="preserve">eview student was removed from the sample as an early bilingual, so analyses discussed beyond this point will only include the ten remaining advanced students. </w:t>
      </w:r>
    </w:p>
    <w:p w14:paraId="017EC26C" w14:textId="77777777" w:rsidR="007F13AA" w:rsidRDefault="007F13AA"/>
    <w:p w14:paraId="107F0382" w14:textId="77777777" w:rsidR="00FC53FA" w:rsidRDefault="00FC53FA">
      <w:pPr>
        <w:rPr>
          <w:b/>
        </w:rPr>
      </w:pPr>
      <w:r>
        <w:rPr>
          <w:b/>
        </w:rPr>
        <w:br w:type="page"/>
      </w:r>
    </w:p>
    <w:p w14:paraId="76F5513E" w14:textId="3046357F" w:rsidR="007F13AA" w:rsidRPr="007F13AA" w:rsidRDefault="007F13AA">
      <w:pPr>
        <w:rPr>
          <w:b/>
        </w:rPr>
      </w:pPr>
      <w:bookmarkStart w:id="4" w:name="Materials"/>
      <w:r w:rsidRPr="007F13AA">
        <w:rPr>
          <w:b/>
        </w:rPr>
        <w:lastRenderedPageBreak/>
        <w:t>Materials</w:t>
      </w:r>
    </w:p>
    <w:bookmarkEnd w:id="4"/>
    <w:p w14:paraId="3C3AB794" w14:textId="77777777" w:rsidR="007F13AA" w:rsidRDefault="007F13AA"/>
    <w:p w14:paraId="33A1781E" w14:textId="77777777" w:rsidR="002F4ADC" w:rsidRPr="00114085" w:rsidRDefault="00114085" w:rsidP="002F4ADC">
      <w:pPr>
        <w:rPr>
          <w:u w:val="single"/>
        </w:rPr>
      </w:pPr>
      <w:r>
        <w:rPr>
          <w:u w:val="single"/>
        </w:rPr>
        <w:t>Experimental</w:t>
      </w:r>
      <w:r w:rsidR="002F4ADC" w:rsidRPr="00114085">
        <w:rPr>
          <w:u w:val="single"/>
        </w:rPr>
        <w:t xml:space="preserve"> Task</w:t>
      </w:r>
    </w:p>
    <w:p w14:paraId="5489D816" w14:textId="77777777" w:rsidR="00880F28" w:rsidRDefault="00880F28" w:rsidP="00880F28">
      <w:pPr>
        <w:ind w:firstLine="720"/>
      </w:pPr>
      <w:r>
        <w:t xml:space="preserve">The design of the experimental task included two sets of stimuli with a [+/-conflict] dichotomy: the non-linguistic flanker task and the linguistic self-paced reading stimuli. The critical stimuli were interleaved such that each critical linguistic stimulus was preceded by a congruent or incongruent flanker trial. </w:t>
      </w:r>
    </w:p>
    <w:p w14:paraId="47339EE1" w14:textId="77777777" w:rsidR="00880F28" w:rsidRDefault="00880F28"/>
    <w:p w14:paraId="2263043E" w14:textId="77777777" w:rsidR="00880F28" w:rsidRPr="00880F28" w:rsidRDefault="00880F28">
      <w:pPr>
        <w:rPr>
          <w:i/>
        </w:rPr>
      </w:pPr>
      <w:r w:rsidRPr="00880F28">
        <w:rPr>
          <w:i/>
        </w:rPr>
        <w:t xml:space="preserve">Non-linguistic Stimuli </w:t>
      </w:r>
    </w:p>
    <w:p w14:paraId="4BA68495" w14:textId="77777777" w:rsidR="0091298C" w:rsidRDefault="00282188">
      <w:r>
        <w:tab/>
        <w:t xml:space="preserve">The flanker task asks participants to respond by pressing one of two buttons, according to the direction indicated by the center arrow on the screen in each trial. </w:t>
      </w:r>
      <w:r w:rsidR="0091298C">
        <w:t xml:space="preserve">Each stimulus presents either one or five arrows in the center of the screen. Stimuli fall into one of three conditions: single center arrow, congruent center arrow, and incongruent center arrow. The congruent condition includes five arrows all pointing in the same </w:t>
      </w:r>
      <w:r w:rsidR="00BE57DB">
        <w:t xml:space="preserve">direction, while </w:t>
      </w:r>
      <w:r w:rsidR="0091298C">
        <w:t xml:space="preserve">the incongruent condition includes one center arrow pointing in one direction, flanked by two arrows on </w:t>
      </w:r>
      <w:r w:rsidR="00A82D9F">
        <w:t>each</w:t>
      </w:r>
      <w:r w:rsidR="0091298C">
        <w:t xml:space="preserve"> side that point in the opposite direction</w:t>
      </w:r>
      <w:r w:rsidR="00A82D9F">
        <w:t xml:space="preserve"> of the center arrow</w:t>
      </w:r>
      <w:r w:rsidR="0091298C">
        <w:t xml:space="preserve">. The critical comparison is between the congruent and incongruent stimuli. </w:t>
      </w:r>
      <w:r w:rsidR="00A82D9F">
        <w:t xml:space="preserve">The direction of the center arrow is balanced across trials.  </w:t>
      </w:r>
      <w:r w:rsidR="0091298C">
        <w:t xml:space="preserve">Each stimulus is preceded by a fixation </w:t>
      </w:r>
      <w:r w:rsidR="00F41F6C">
        <w:t>cross</w:t>
      </w:r>
      <w:r w:rsidR="0091298C">
        <w:t xml:space="preserve"> on screen for 1000 </w:t>
      </w:r>
      <w:r w:rsidR="00CD080C">
        <w:t>milliseconds (</w:t>
      </w:r>
      <w:proofErr w:type="spellStart"/>
      <w:r w:rsidR="0091298C">
        <w:t>ms</w:t>
      </w:r>
      <w:proofErr w:type="spellEnd"/>
      <w:r w:rsidR="00CD080C">
        <w:t>)</w:t>
      </w:r>
      <w:r w:rsidR="0091298C">
        <w:t xml:space="preserve">. </w:t>
      </w:r>
      <w:r>
        <w:t xml:space="preserve">Participants have up to 2000 </w:t>
      </w:r>
      <w:proofErr w:type="spellStart"/>
      <w:r>
        <w:t>ms</w:t>
      </w:r>
      <w:proofErr w:type="spellEnd"/>
      <w:r>
        <w:t xml:space="preserve"> to respond.</w:t>
      </w:r>
      <w:r w:rsidR="0091298C">
        <w:t xml:space="preserve"> Failure to respond within that time lim</w:t>
      </w:r>
      <w:r w:rsidR="00CD080C">
        <w:t>it is scored as in an incorrect</w:t>
      </w:r>
      <w:r w:rsidR="0091298C">
        <w:t xml:space="preserve"> response. </w:t>
      </w:r>
    </w:p>
    <w:p w14:paraId="4E391B99" w14:textId="77777777" w:rsidR="0091298C" w:rsidRDefault="0091298C">
      <w:pPr>
        <w:rPr>
          <w:i/>
        </w:rPr>
      </w:pPr>
    </w:p>
    <w:p w14:paraId="7FE4A3C1" w14:textId="77777777" w:rsidR="00880F28" w:rsidRPr="00880F28" w:rsidRDefault="00880F28">
      <w:pPr>
        <w:rPr>
          <w:i/>
        </w:rPr>
      </w:pPr>
      <w:r w:rsidRPr="00880F28">
        <w:rPr>
          <w:i/>
        </w:rPr>
        <w:t>Linguistic Stimuli</w:t>
      </w:r>
    </w:p>
    <w:p w14:paraId="016B27E4" w14:textId="77777777" w:rsidR="0091298C" w:rsidRDefault="0091298C" w:rsidP="00880F28">
      <w:pPr>
        <w:ind w:firstLine="720"/>
      </w:pPr>
      <w:r>
        <w:t xml:space="preserve">The linguistic stimuli were sentences presented via the self-paced reading moving window paradigm. </w:t>
      </w:r>
      <w:r w:rsidR="00F41F6C">
        <w:t xml:space="preserve">Before each sentence was presented, a fixation cross lasting 1000 </w:t>
      </w:r>
      <w:proofErr w:type="spellStart"/>
      <w:r w:rsidR="00F41F6C">
        <w:t>ms</w:t>
      </w:r>
      <w:proofErr w:type="spellEnd"/>
      <w:r w:rsidR="00F41F6C">
        <w:t xml:space="preserve"> reset the participant’s gaze on the center of the screen to prepare the participant for the trial. </w:t>
      </w:r>
      <w:r>
        <w:t>Each stimulus consisted of a single sentence</w:t>
      </w:r>
      <w:r w:rsidR="00A82D9F">
        <w:t xml:space="preserve"> with each word masked by hyphens</w:t>
      </w:r>
      <w:r>
        <w:t>, presented on screen in its entirety. Participants uncovered one word at a time by clicking the space bar</w:t>
      </w:r>
      <w:r w:rsidR="00F41F6C">
        <w:t>. As one word was uncovered, the previous word was re-covered by hyphens.</w:t>
      </w:r>
      <w:r>
        <w:t xml:space="preserve"> </w:t>
      </w:r>
      <w:r w:rsidR="00F41F6C">
        <w:t>T</w:t>
      </w:r>
      <w:r>
        <w:t xml:space="preserve">he latency of reading times </w:t>
      </w:r>
      <w:r w:rsidR="00F41F6C">
        <w:t xml:space="preserve">of each word </w:t>
      </w:r>
      <w:r>
        <w:t xml:space="preserve">was recorded by </w:t>
      </w:r>
      <w:proofErr w:type="spellStart"/>
      <w:r>
        <w:t>PsychoPy</w:t>
      </w:r>
      <w:proofErr w:type="spellEnd"/>
      <w:r>
        <w:t>. Following each sentence, participants answered a true/false comprehension question</w:t>
      </w:r>
      <w:r w:rsidR="004027DB">
        <w:t xml:space="preserve"> (CQ)</w:t>
      </w:r>
      <w:r>
        <w:t xml:space="preserve">. </w:t>
      </w:r>
    </w:p>
    <w:p w14:paraId="06E60436" w14:textId="77777777" w:rsidR="0007651D" w:rsidRDefault="00AA1C7F" w:rsidP="00880F28">
      <w:pPr>
        <w:ind w:firstLine="720"/>
      </w:pPr>
      <w:r>
        <w:t>The</w:t>
      </w:r>
      <w:r w:rsidR="0091298C">
        <w:t xml:space="preserve"> critical</w:t>
      </w:r>
      <w:r>
        <w:t xml:space="preserve"> linguistic stimuli presented in the self-paced reading trials </w:t>
      </w:r>
      <w:r w:rsidR="008B432D">
        <w:t xml:space="preserve">presented </w:t>
      </w:r>
      <w:r w:rsidR="0007651D">
        <w:t>subject-object ambiguit</w:t>
      </w:r>
      <w:r>
        <w:t>ies, all of which are listed in the Appendix</w:t>
      </w:r>
      <w:r w:rsidR="00AD7397">
        <w:t>.</w:t>
      </w:r>
      <w:r w:rsidR="0007651D">
        <w:t xml:space="preserve"> These stimuli modulated transitivity of the verb in a </w:t>
      </w:r>
      <w:proofErr w:type="spellStart"/>
      <w:r w:rsidR="0007651D">
        <w:t>preposed</w:t>
      </w:r>
      <w:proofErr w:type="spellEnd"/>
      <w:r w:rsidR="0007651D">
        <w:t xml:space="preserve"> adverbial clause, as can be seen in (XXXXX) below</w:t>
      </w:r>
      <w:r w:rsidR="00DC13EC">
        <w:t xml:space="preserve"> (</w:t>
      </w:r>
      <w:r w:rsidR="008B432D">
        <w:t>with each region of interest indicated by a backslash</w:t>
      </w:r>
      <w:r w:rsidR="00DC13EC">
        <w:t xml:space="preserve">). </w:t>
      </w:r>
    </w:p>
    <w:p w14:paraId="413C4FCE" w14:textId="77777777" w:rsidR="00AA1C7F" w:rsidRDefault="00AA1C7F"/>
    <w:p w14:paraId="41CE5C0D" w14:textId="77777777" w:rsidR="0007651D" w:rsidRDefault="0007651D" w:rsidP="0007651D">
      <w:pPr>
        <w:tabs>
          <w:tab w:val="left" w:pos="990"/>
          <w:tab w:val="left" w:pos="2520"/>
          <w:tab w:val="left" w:pos="3600"/>
          <w:tab w:val="left" w:pos="4410"/>
          <w:tab w:val="left" w:pos="5310"/>
          <w:tab w:val="left" w:pos="6120"/>
          <w:tab w:val="left" w:pos="6480"/>
          <w:tab w:val="left" w:pos="7020"/>
        </w:tabs>
        <w:rPr>
          <w:lang w:val="es-US"/>
        </w:rPr>
      </w:pPr>
      <w:r w:rsidRPr="0007651D">
        <w:rPr>
          <w:lang w:val="es-US"/>
        </w:rPr>
        <w:t xml:space="preserve">(XXXX) </w:t>
      </w:r>
      <w:r>
        <w:rPr>
          <w:lang w:val="es-US"/>
        </w:rPr>
        <w:tab/>
      </w:r>
      <w:r w:rsidRPr="0007651D">
        <w:rPr>
          <w:lang w:val="es-US"/>
        </w:rPr>
        <w:t xml:space="preserve">a. </w:t>
      </w:r>
      <w:r w:rsidRPr="0007651D">
        <w:rPr>
          <w:i/>
          <w:lang w:val="es-US"/>
        </w:rPr>
        <w:t>Transitive</w:t>
      </w:r>
      <w:r>
        <w:rPr>
          <w:lang w:val="es-US"/>
        </w:rPr>
        <w:t xml:space="preserve">: </w:t>
      </w:r>
      <w:r>
        <w:rPr>
          <w:lang w:val="es-US"/>
        </w:rPr>
        <w:tab/>
      </w:r>
      <w:r w:rsidRPr="0007651D">
        <w:rPr>
          <w:lang w:val="es-US"/>
        </w:rPr>
        <w:t xml:space="preserve">Cuando el escultor \ acabó </w:t>
      </w:r>
      <w:r>
        <w:rPr>
          <w:lang w:val="es-US"/>
        </w:rPr>
        <w:t xml:space="preserve"> </w:t>
      </w:r>
      <w:r w:rsidRPr="0007651D">
        <w:rPr>
          <w:lang w:val="es-US"/>
        </w:rPr>
        <w:t xml:space="preserve">\ la obra </w:t>
      </w:r>
      <w:r>
        <w:rPr>
          <w:lang w:val="es-US"/>
        </w:rPr>
        <w:tab/>
      </w:r>
      <w:r w:rsidRPr="0007651D">
        <w:rPr>
          <w:lang w:val="es-US"/>
        </w:rPr>
        <w:t xml:space="preserve">\ tenía tres metros \ de altura. </w:t>
      </w:r>
    </w:p>
    <w:p w14:paraId="24AE4886" w14:textId="77777777" w:rsidR="0007651D" w:rsidRDefault="0007651D" w:rsidP="0007651D">
      <w:pPr>
        <w:tabs>
          <w:tab w:val="left" w:pos="990"/>
          <w:tab w:val="left" w:pos="2520"/>
          <w:tab w:val="left" w:pos="3600"/>
          <w:tab w:val="left" w:pos="4410"/>
          <w:tab w:val="left" w:pos="5310"/>
          <w:tab w:val="left" w:pos="6120"/>
          <w:tab w:val="left" w:pos="7020"/>
        </w:tabs>
        <w:ind w:right="-180"/>
        <w:rPr>
          <w:i/>
          <w:lang w:val="es-US"/>
        </w:rPr>
      </w:pPr>
      <w:r>
        <w:rPr>
          <w:lang w:val="es-US"/>
        </w:rPr>
        <w:tab/>
      </w:r>
      <w:r w:rsidRPr="0007651D">
        <w:rPr>
          <w:lang w:val="es-US"/>
        </w:rPr>
        <w:t xml:space="preserve">b. </w:t>
      </w:r>
      <w:r w:rsidRPr="0007651D">
        <w:rPr>
          <w:i/>
          <w:lang w:val="es-US"/>
        </w:rPr>
        <w:t>Intransitive</w:t>
      </w:r>
      <w:r>
        <w:rPr>
          <w:lang w:val="es-US"/>
        </w:rPr>
        <w:t xml:space="preserve">: </w:t>
      </w:r>
      <w:r>
        <w:rPr>
          <w:lang w:val="es-US"/>
        </w:rPr>
        <w:tab/>
      </w:r>
      <w:r w:rsidRPr="0007651D">
        <w:rPr>
          <w:lang w:val="es-US"/>
        </w:rPr>
        <w:t>Cuando</w:t>
      </w:r>
      <w:r>
        <w:rPr>
          <w:lang w:val="es-US"/>
        </w:rPr>
        <w:t xml:space="preserve"> </w:t>
      </w:r>
      <w:r w:rsidRPr="0007651D">
        <w:rPr>
          <w:lang w:val="es-US"/>
        </w:rPr>
        <w:t>el</w:t>
      </w:r>
      <w:r>
        <w:rPr>
          <w:lang w:val="es-US"/>
        </w:rPr>
        <w:t xml:space="preserve"> </w:t>
      </w:r>
      <w:r w:rsidRPr="0007651D">
        <w:rPr>
          <w:lang w:val="es-US"/>
        </w:rPr>
        <w:t>escultor</w:t>
      </w:r>
      <w:r>
        <w:rPr>
          <w:lang w:val="es-US"/>
        </w:rPr>
        <w:t xml:space="preserve"> </w:t>
      </w:r>
      <w:r>
        <w:rPr>
          <w:lang w:val="es-US"/>
        </w:rPr>
        <w:tab/>
      </w:r>
      <w:r w:rsidRPr="0007651D">
        <w:rPr>
          <w:lang w:val="es-US"/>
        </w:rPr>
        <w:t>\</w:t>
      </w:r>
      <w:r>
        <w:rPr>
          <w:lang w:val="es-US"/>
        </w:rPr>
        <w:t xml:space="preserve"> </w:t>
      </w:r>
      <w:r w:rsidRPr="0007651D">
        <w:rPr>
          <w:lang w:val="es-US"/>
        </w:rPr>
        <w:t>volvió</w:t>
      </w:r>
      <w:r>
        <w:rPr>
          <w:lang w:val="es-US"/>
        </w:rPr>
        <w:t xml:space="preserve"> </w:t>
      </w:r>
      <w:r w:rsidRPr="0007651D">
        <w:rPr>
          <w:lang w:val="es-US"/>
        </w:rPr>
        <w:t>\</w:t>
      </w:r>
      <w:r>
        <w:rPr>
          <w:lang w:val="es-US"/>
        </w:rPr>
        <w:t xml:space="preserve"> </w:t>
      </w:r>
      <w:r w:rsidRPr="0007651D">
        <w:rPr>
          <w:lang w:val="es-US"/>
        </w:rPr>
        <w:t>la</w:t>
      </w:r>
      <w:r>
        <w:rPr>
          <w:lang w:val="es-US"/>
        </w:rPr>
        <w:t xml:space="preserve"> </w:t>
      </w:r>
      <w:r w:rsidRPr="0007651D">
        <w:rPr>
          <w:lang w:val="es-US"/>
        </w:rPr>
        <w:t>obra</w:t>
      </w:r>
      <w:r>
        <w:rPr>
          <w:lang w:val="es-US"/>
        </w:rPr>
        <w:t xml:space="preserve"> </w:t>
      </w:r>
      <w:r>
        <w:rPr>
          <w:lang w:val="es-US"/>
        </w:rPr>
        <w:tab/>
      </w:r>
      <w:r w:rsidRPr="0007651D">
        <w:rPr>
          <w:lang w:val="es-US"/>
        </w:rPr>
        <w:t>\</w:t>
      </w:r>
      <w:r>
        <w:rPr>
          <w:lang w:val="es-US"/>
        </w:rPr>
        <w:t xml:space="preserve"> </w:t>
      </w:r>
      <w:r w:rsidRPr="0007651D">
        <w:rPr>
          <w:lang w:val="es-US"/>
        </w:rPr>
        <w:t>tenía</w:t>
      </w:r>
      <w:r>
        <w:rPr>
          <w:lang w:val="es-US"/>
        </w:rPr>
        <w:t xml:space="preserve"> </w:t>
      </w:r>
      <w:r w:rsidRPr="0007651D">
        <w:rPr>
          <w:lang w:val="es-US"/>
        </w:rPr>
        <w:t>tres</w:t>
      </w:r>
      <w:r>
        <w:rPr>
          <w:lang w:val="es-US"/>
        </w:rPr>
        <w:t xml:space="preserve"> </w:t>
      </w:r>
      <w:r w:rsidRPr="0007651D">
        <w:rPr>
          <w:lang w:val="es-US"/>
        </w:rPr>
        <w:t>metros</w:t>
      </w:r>
      <w:r>
        <w:rPr>
          <w:lang w:val="es-US"/>
        </w:rPr>
        <w:t xml:space="preserve"> </w:t>
      </w:r>
      <w:r w:rsidRPr="0007651D">
        <w:rPr>
          <w:lang w:val="es-US"/>
        </w:rPr>
        <w:t>\</w:t>
      </w:r>
      <w:r>
        <w:rPr>
          <w:lang w:val="es-US"/>
        </w:rPr>
        <w:t xml:space="preserve"> </w:t>
      </w:r>
      <w:r w:rsidRPr="0007651D">
        <w:rPr>
          <w:lang w:val="es-US"/>
        </w:rPr>
        <w:t>de</w:t>
      </w:r>
      <w:r>
        <w:rPr>
          <w:lang w:val="es-US"/>
        </w:rPr>
        <w:t xml:space="preserve"> </w:t>
      </w:r>
      <w:r w:rsidRPr="0007651D">
        <w:rPr>
          <w:lang w:val="es-US"/>
        </w:rPr>
        <w:t>altura.</w:t>
      </w:r>
    </w:p>
    <w:p w14:paraId="4D210270" w14:textId="77777777" w:rsidR="0007651D" w:rsidRPr="0007651D" w:rsidRDefault="0007651D" w:rsidP="0007651D">
      <w:pPr>
        <w:tabs>
          <w:tab w:val="left" w:pos="1260"/>
          <w:tab w:val="left" w:pos="3600"/>
          <w:tab w:val="left" w:pos="4410"/>
          <w:tab w:val="left" w:pos="5220"/>
          <w:tab w:val="left" w:pos="5310"/>
          <w:tab w:val="left" w:pos="6120"/>
          <w:tab w:val="left" w:pos="7020"/>
        </w:tabs>
      </w:pPr>
      <w:r w:rsidRPr="00E66F5F">
        <w:rPr>
          <w:lang w:val="es-US"/>
        </w:rPr>
        <w:tab/>
      </w:r>
      <w:r>
        <w:t xml:space="preserve">Region:            </w:t>
      </w:r>
      <w:r w:rsidRPr="0007651D">
        <w:t xml:space="preserve">      1 </w:t>
      </w:r>
      <w:r>
        <w:tab/>
      </w:r>
      <w:r>
        <w:tab/>
        <w:t xml:space="preserve">\    </w:t>
      </w:r>
      <w:r w:rsidRPr="0007651D">
        <w:t>2</w:t>
      </w:r>
      <w:r>
        <w:tab/>
      </w:r>
      <w:r w:rsidRPr="0007651D">
        <w:t>\</w:t>
      </w:r>
      <w:r>
        <w:t xml:space="preserve">     </w:t>
      </w:r>
      <w:r w:rsidRPr="0007651D">
        <w:t>3</w:t>
      </w:r>
      <w:r>
        <w:tab/>
      </w:r>
      <w:r w:rsidRPr="0007651D">
        <w:t>\</w:t>
      </w:r>
      <w:r>
        <w:t xml:space="preserve">            </w:t>
      </w:r>
      <w:r w:rsidRPr="0007651D">
        <w:t xml:space="preserve">4 </w:t>
      </w:r>
      <w:r>
        <w:tab/>
      </w:r>
      <w:r>
        <w:tab/>
      </w:r>
      <w:r w:rsidRPr="0007651D">
        <w:t>\</w:t>
      </w:r>
      <w:r>
        <w:t xml:space="preserve">       </w:t>
      </w:r>
      <w:r w:rsidRPr="0007651D">
        <w:t>5</w:t>
      </w:r>
      <w:r>
        <w:tab/>
        <w:t xml:space="preserve">      </w:t>
      </w:r>
    </w:p>
    <w:p w14:paraId="066760A7" w14:textId="77777777" w:rsidR="0007651D" w:rsidRDefault="0007651D" w:rsidP="0007651D">
      <w:pPr>
        <w:tabs>
          <w:tab w:val="left" w:pos="1440"/>
          <w:tab w:val="left" w:pos="3600"/>
          <w:tab w:val="left" w:pos="4410"/>
          <w:tab w:val="left" w:pos="5310"/>
          <w:tab w:val="left" w:pos="7020"/>
        </w:tabs>
      </w:pPr>
      <w:r w:rsidRPr="00E66F5F">
        <w:tab/>
      </w:r>
      <w:r w:rsidRPr="00E66F5F">
        <w:tab/>
      </w:r>
      <w:r w:rsidRPr="0007651D">
        <w:t xml:space="preserve">  </w:t>
      </w:r>
    </w:p>
    <w:p w14:paraId="46F3919A" w14:textId="77777777" w:rsidR="0007651D" w:rsidRDefault="0007651D" w:rsidP="0007651D">
      <w:pPr>
        <w:tabs>
          <w:tab w:val="left" w:pos="1440"/>
          <w:tab w:val="left" w:pos="3600"/>
          <w:tab w:val="left" w:pos="4410"/>
          <w:tab w:val="left" w:pos="5310"/>
          <w:tab w:val="left" w:pos="7020"/>
        </w:tabs>
      </w:pPr>
      <w:r>
        <w:tab/>
      </w:r>
      <w:r w:rsidRPr="0007651D">
        <w:t xml:space="preserve">“When the sculptor\ </w:t>
      </w:r>
      <w:r>
        <w:t>{finished/came back}</w:t>
      </w:r>
      <w:r w:rsidRPr="0007651D">
        <w:t xml:space="preserve"> \ the piece \ was ten feet \ in height.” </w:t>
      </w:r>
    </w:p>
    <w:p w14:paraId="09259DDC" w14:textId="77777777" w:rsidR="00DC13EC" w:rsidRDefault="00DC13EC" w:rsidP="00DC13EC"/>
    <w:p w14:paraId="0325BD65" w14:textId="77777777" w:rsidR="00DC13EC" w:rsidRPr="00DC13EC" w:rsidRDefault="00DC13EC" w:rsidP="00DC13EC">
      <w:pPr>
        <w:rPr>
          <w:i/>
        </w:rPr>
      </w:pPr>
      <w:r w:rsidRPr="00DC13EC">
        <w:rPr>
          <w:i/>
        </w:rPr>
        <w:t>Experimental Design</w:t>
      </w:r>
    </w:p>
    <w:p w14:paraId="59DF6F35" w14:textId="77777777" w:rsidR="00AA1C7F" w:rsidRDefault="00DC13EC" w:rsidP="00DC13EC">
      <w:pPr>
        <w:ind w:firstLine="720"/>
      </w:pPr>
      <w:r>
        <w:t xml:space="preserve">Other than minor changes to accommodate a lower proficiency level (addressed below), the transitive (ambiguous) sentences were taken directly from </w:t>
      </w:r>
      <w:proofErr w:type="spellStart"/>
      <w:r>
        <w:t>Jegerski</w:t>
      </w:r>
      <w:proofErr w:type="spellEnd"/>
      <w:r>
        <w:t xml:space="preserve"> (2012). </w:t>
      </w:r>
      <w:r w:rsidR="001003DD">
        <w:t xml:space="preserve">However, because the preceding flanker trial introduced an additional variable, the design departed from </w:t>
      </w:r>
      <w:proofErr w:type="spellStart"/>
      <w:r w:rsidR="001003DD">
        <w:t>Jegerski’s</w:t>
      </w:r>
      <w:proofErr w:type="spellEnd"/>
      <w:r w:rsidR="001003DD">
        <w:t xml:space="preserve"> (2012) original design. Two lists of flanker-sentence stimulus pairs were created in a Latin </w:t>
      </w:r>
      <w:r w:rsidR="001003DD">
        <w:lastRenderedPageBreak/>
        <w:t>Square design</w:t>
      </w:r>
      <w:r w:rsidR="00D22A55">
        <w:t xml:space="preserve">. Each list was then divided into two blocks to counterbalance presentational order across participants. The </w:t>
      </w:r>
      <w:r w:rsidR="00745C91">
        <w:t>20</w:t>
      </w:r>
      <w:r w:rsidR="00D22A55">
        <w:t xml:space="preserve"> intransitive (unambiguous) sentences were distributed across these four blocks (</w:t>
      </w:r>
      <w:r w:rsidR="00745C91">
        <w:t>five</w:t>
      </w:r>
      <w:r w:rsidR="00D22A55">
        <w:t xml:space="preserve"> unambiguous sentences per block), always preceded by an incongruent flanker trial. Thus, each participant would complete one list</w:t>
      </w:r>
      <w:r>
        <w:t>, consisting of</w:t>
      </w:r>
      <w:r w:rsidR="00D22A55">
        <w:t xml:space="preserve"> two blocks with a total of 10 </w:t>
      </w:r>
      <w:r>
        <w:t>flanker-sentence pairs</w:t>
      </w:r>
      <w:r w:rsidR="00D22A55">
        <w:t xml:space="preserve"> of the [+conflict, +ambiguity] condition, 10 </w:t>
      </w:r>
      <w:r>
        <w:t>pairs</w:t>
      </w:r>
      <w:r w:rsidR="00D22A55">
        <w:t xml:space="preserve"> of the [-conflict, +ambiguity] condition and </w:t>
      </w:r>
      <w:r w:rsidR="00745C91">
        <w:t>1</w:t>
      </w:r>
      <w:r w:rsidR="00D22A55">
        <w:t xml:space="preserve">0 </w:t>
      </w:r>
      <w:r>
        <w:t>pairs</w:t>
      </w:r>
      <w:r w:rsidR="00D22A55">
        <w:t xml:space="preserve"> of the [+conflict, -ambiguity] condition.</w:t>
      </w:r>
      <w:r w:rsidR="00D22A55">
        <w:rPr>
          <w:rStyle w:val="FootnoteReference"/>
        </w:rPr>
        <w:footnoteReference w:id="1"/>
      </w:r>
      <w:r w:rsidR="0057150A">
        <w:t xml:space="preserve"> </w:t>
      </w:r>
      <w:r w:rsidR="00745C91">
        <w:t xml:space="preserve">Because the change to </w:t>
      </w:r>
      <w:proofErr w:type="spellStart"/>
      <w:r w:rsidR="00745C91">
        <w:t>Jegerski’s</w:t>
      </w:r>
      <w:proofErr w:type="spellEnd"/>
      <w:r w:rsidR="00745C91">
        <w:t xml:space="preserve"> (2012) original design meant participants would see both the transitive and the intransitive sentence, </w:t>
      </w:r>
      <w:r w:rsidR="008B1ACB">
        <w:t xml:space="preserve">minimal </w:t>
      </w:r>
      <w:r w:rsidR="001433CD">
        <w:t xml:space="preserve">lexical </w:t>
      </w:r>
      <w:r w:rsidR="00745C91">
        <w:t>changes were made to the intransitive sentences in regions 4 and 5</w:t>
      </w:r>
      <w:r>
        <w:t xml:space="preserve"> so that participants were not reading the same sentences twice, but replacement words were chosen according to number of syllables and frequency. </w:t>
      </w:r>
    </w:p>
    <w:p w14:paraId="6BBA21D7" w14:textId="77777777" w:rsidR="001433CD" w:rsidRDefault="001433CD" w:rsidP="001003DD">
      <w:pPr>
        <w:ind w:firstLine="720"/>
      </w:pPr>
      <w:r>
        <w:t xml:space="preserve">In addition to the 30 critical </w:t>
      </w:r>
      <w:r w:rsidR="008B1ACB">
        <w:t>flanker-</w:t>
      </w:r>
      <w:r>
        <w:t>sentence</w:t>
      </w:r>
      <w:r w:rsidR="008B1ACB">
        <w:t xml:space="preserve"> pairs</w:t>
      </w:r>
      <w:r>
        <w:t xml:space="preserve"> addressed above, participants also </w:t>
      </w:r>
      <w:r w:rsidR="008B1ACB">
        <w:t xml:space="preserve">completed </w:t>
      </w:r>
      <w:r w:rsidR="0057150A">
        <w:t>90</w:t>
      </w:r>
      <w:r w:rsidR="008B1ACB">
        <w:t xml:space="preserve"> distractor flanker-sentence pairs and 30 </w:t>
      </w:r>
      <w:r w:rsidR="002F7FE3">
        <w:t xml:space="preserve">unpaired </w:t>
      </w:r>
      <w:r w:rsidR="008B1ACB">
        <w:t>distractor flanker</w:t>
      </w:r>
      <w:r w:rsidR="002F7FE3">
        <w:t>s to disrupt the participants expected patterns</w:t>
      </w:r>
      <w:r w:rsidR="008B1ACB">
        <w:t>. The</w:t>
      </w:r>
      <w:r w:rsidR="00DC13EC">
        <w:t xml:space="preserve"> sentential </w:t>
      </w:r>
      <w:r w:rsidR="008B1ACB">
        <w:t>distractor</w:t>
      </w:r>
      <w:r w:rsidR="00DC13EC">
        <w:t xml:space="preserve"> items </w:t>
      </w:r>
      <w:r w:rsidR="008B1ACB">
        <w:t xml:space="preserve">included </w:t>
      </w:r>
      <w:proofErr w:type="spellStart"/>
      <w:r w:rsidR="008B1ACB">
        <w:t>preposed</w:t>
      </w:r>
      <w:proofErr w:type="spellEnd"/>
      <w:r w:rsidR="008B1ACB">
        <w:t xml:space="preserve"> adverbial phrases that included a transitive verb with a</w:t>
      </w:r>
      <w:r w:rsidR="0057150A">
        <w:t>n</w:t>
      </w:r>
      <w:r w:rsidR="008B1ACB">
        <w:t xml:space="preserve"> explicit complement, </w:t>
      </w:r>
      <w:r w:rsidR="0057150A">
        <w:t>permanently ambiguous sentences and sequential prepositional phrases with high-low attachment ambiguity.</w:t>
      </w:r>
      <w:r w:rsidR="00DC13EC">
        <w:t xml:space="preserve"> </w:t>
      </w:r>
      <w:r w:rsidR="00282188">
        <w:t>The flanker distractor items were chosen such that each of the six conditions (right vs. left; congruent vs. incongruent vs single) was balanced across all trials.</w:t>
      </w:r>
    </w:p>
    <w:p w14:paraId="5EB120ED" w14:textId="77777777" w:rsidR="0007651D" w:rsidRDefault="0057150A" w:rsidP="00D54C75">
      <w:pPr>
        <w:ind w:firstLine="720"/>
      </w:pPr>
      <w:r>
        <w:t xml:space="preserve">Frequency of the words in the linguistic stimuli and distractors was assessed using the </w:t>
      </w:r>
      <w:r>
        <w:rPr>
          <w:i/>
        </w:rPr>
        <w:t xml:space="preserve">Corpus del </w:t>
      </w:r>
      <w:proofErr w:type="spellStart"/>
      <w:r>
        <w:rPr>
          <w:i/>
        </w:rPr>
        <w:t>Español</w:t>
      </w:r>
      <w:r>
        <w:t>’s</w:t>
      </w:r>
      <w:proofErr w:type="spellEnd"/>
      <w:r>
        <w:t xml:space="preserve"> </w:t>
      </w:r>
      <w:proofErr w:type="spellStart"/>
      <w:r>
        <w:t>WordAndPhrase</w:t>
      </w:r>
      <w:proofErr w:type="spellEnd"/>
      <w:r>
        <w:t xml:space="preserve"> tool, which </w:t>
      </w:r>
      <w:r w:rsidR="008D45D8">
        <w:t>compiles 20 million words from texts from the 1900s and 2 billion words from texts published online since 2014.</w:t>
      </w:r>
      <w:r w:rsidR="00C23916">
        <w:t xml:space="preserve"> Words in the stimuli that</w:t>
      </w:r>
      <w:r w:rsidR="008D45D8">
        <w:t xml:space="preserve"> w</w:t>
      </w:r>
      <w:r w:rsidR="00C23916">
        <w:t>ere not among</w:t>
      </w:r>
      <w:r w:rsidR="008D45D8">
        <w:t xml:space="preserve"> the 3000 most frequent words on the corpus’ list</w:t>
      </w:r>
      <w:r w:rsidR="00C23916">
        <w:t xml:space="preserve"> were included in a decontextualized vocabulary test given to Beginner 1 students</w:t>
      </w:r>
      <w:r w:rsidR="002B0CD4">
        <w:t xml:space="preserve"> to assess how well more advanced students would recognize these words</w:t>
      </w:r>
      <w:r w:rsidR="00C23916">
        <w:t>. The</w:t>
      </w:r>
      <w:r w:rsidR="002B0CD4">
        <w:t xml:space="preserve"> </w:t>
      </w:r>
      <w:r w:rsidR="00C23916">
        <w:t xml:space="preserve">students </w:t>
      </w:r>
      <w:r w:rsidR="002B0CD4">
        <w:t xml:space="preserve">in Beginner 1 </w:t>
      </w:r>
      <w:r w:rsidR="00C23916">
        <w:t>were asked to translate each word and rate how well they recognized the word on a scale of 1-4.</w:t>
      </w:r>
      <w:r w:rsidR="008D45D8">
        <w:t xml:space="preserve"> </w:t>
      </w:r>
      <w:r w:rsidR="00D54C75">
        <w:t>I</w:t>
      </w:r>
      <w:r w:rsidR="00C23916">
        <w:t xml:space="preserve">f </w:t>
      </w:r>
      <w:r w:rsidR="00D54C75">
        <w:t>words in this test</w:t>
      </w:r>
      <w:r w:rsidR="00C23916">
        <w:t xml:space="preserve"> met three of the following four criteria</w:t>
      </w:r>
      <w:r w:rsidR="00D54C75">
        <w:t>, they were included in the critical stimuli</w:t>
      </w:r>
      <w:r w:rsidR="00C23916">
        <w:t>: (</w:t>
      </w:r>
      <w:proofErr w:type="spellStart"/>
      <w:r w:rsidR="00C23916">
        <w:t>i</w:t>
      </w:r>
      <w:proofErr w:type="spellEnd"/>
      <w:r w:rsidR="00C23916">
        <w:t xml:space="preserve">) </w:t>
      </w:r>
      <w:r w:rsidR="00D54C75">
        <w:t>the word is</w:t>
      </w:r>
      <w:r w:rsidR="00D541D5">
        <w:t xml:space="preserve"> </w:t>
      </w:r>
      <w:r w:rsidR="00C23916">
        <w:t xml:space="preserve">covered in the vocabulary </w:t>
      </w:r>
      <w:r w:rsidR="00D541D5">
        <w:t>lists of</w:t>
      </w:r>
      <w:r w:rsidR="00C23916">
        <w:t xml:space="preserve"> Beginner 1 or 2</w:t>
      </w:r>
      <w:r w:rsidR="00D541D5">
        <w:t xml:space="preserve"> (i.e. Intermediate I students are expected to know this word)</w:t>
      </w:r>
      <w:r w:rsidR="00C23916">
        <w:t xml:space="preserve">; (ii) </w:t>
      </w:r>
      <w:r w:rsidR="00D54C75">
        <w:t xml:space="preserve">the word </w:t>
      </w:r>
      <w:r w:rsidR="00D541D5">
        <w:t xml:space="preserve">elicited an </w:t>
      </w:r>
      <w:r w:rsidR="00C23916">
        <w:t>exact translation accuracy of 8</w:t>
      </w:r>
      <w:r w:rsidR="00C709F7">
        <w:t>5</w:t>
      </w:r>
      <w:r w:rsidR="00C23916">
        <w:t xml:space="preserve">% or higher; (iii) </w:t>
      </w:r>
      <w:r w:rsidR="00D54C75">
        <w:t xml:space="preserve">the word </w:t>
      </w:r>
      <w:r w:rsidR="00D541D5">
        <w:t xml:space="preserve">received a </w:t>
      </w:r>
      <w:r w:rsidR="00C23916">
        <w:t xml:space="preserve">correct recognition rate among all raters of at least </w:t>
      </w:r>
      <w:r w:rsidR="00D541D5">
        <w:t xml:space="preserve">3; and (iv) </w:t>
      </w:r>
      <w:r w:rsidR="00D54C75">
        <w:t xml:space="preserve">the word </w:t>
      </w:r>
      <w:r w:rsidR="00D541D5">
        <w:t xml:space="preserve">is a cognate with no more than </w:t>
      </w:r>
      <w:r w:rsidR="000F78C7">
        <w:t xml:space="preserve">two graphemic changes due to Spanish phonotactics and spelling norms (e.g. </w:t>
      </w:r>
      <w:proofErr w:type="spellStart"/>
      <w:r w:rsidR="000F78C7">
        <w:t>violín</w:t>
      </w:r>
      <w:proofErr w:type="spellEnd"/>
      <w:r w:rsidR="000F78C7">
        <w:t xml:space="preserve">, </w:t>
      </w:r>
      <w:proofErr w:type="spellStart"/>
      <w:r w:rsidR="000F78C7">
        <w:t>escultor</w:t>
      </w:r>
      <w:proofErr w:type="spellEnd"/>
      <w:r w:rsidR="000F78C7">
        <w:t>).</w:t>
      </w:r>
      <w:r w:rsidR="00D54C75">
        <w:t xml:space="preserve"> The seventeen w</w:t>
      </w:r>
      <w:r w:rsidR="000F78C7">
        <w:t>ords that did not meet these criteria were included in a vocabulary training</w:t>
      </w:r>
      <w:r w:rsidR="00D54C75">
        <w:t>, which contained a total of 42 words. This training is addressed below.</w:t>
      </w:r>
    </w:p>
    <w:p w14:paraId="4C490C9F" w14:textId="77777777" w:rsidR="008353BA" w:rsidRDefault="008353BA" w:rsidP="00D54C75">
      <w:pPr>
        <w:ind w:firstLine="720"/>
      </w:pPr>
    </w:p>
    <w:p w14:paraId="29761883" w14:textId="77777777" w:rsidR="00DF270B" w:rsidRDefault="00DF270B" w:rsidP="00D54C75">
      <w:pPr>
        <w:ind w:firstLine="720"/>
      </w:pPr>
    </w:p>
    <w:p w14:paraId="329730E2" w14:textId="77777777" w:rsidR="00DF270B" w:rsidRDefault="00DF270B" w:rsidP="00D54C75">
      <w:pPr>
        <w:ind w:firstLine="720"/>
      </w:pPr>
      <w:r>
        <w:t>COMPREHENSION QUESTIONS</w:t>
      </w:r>
    </w:p>
    <w:p w14:paraId="6D3B1907" w14:textId="77777777" w:rsidR="002F4ADC" w:rsidRDefault="002F4ADC"/>
    <w:p w14:paraId="0F3C13F6" w14:textId="77777777" w:rsidR="007F13AA" w:rsidRPr="00114085" w:rsidRDefault="007F13AA">
      <w:pPr>
        <w:rPr>
          <w:u w:val="single"/>
        </w:rPr>
      </w:pPr>
      <w:r w:rsidRPr="00114085">
        <w:rPr>
          <w:u w:val="single"/>
        </w:rPr>
        <w:t>Vocabulary Training</w:t>
      </w:r>
    </w:p>
    <w:p w14:paraId="0ED685EF" w14:textId="77777777" w:rsidR="007F13AA" w:rsidRDefault="007F13AA" w:rsidP="00AD7397">
      <w:pPr>
        <w:ind w:firstLine="720"/>
      </w:pPr>
      <w:r w:rsidRPr="00F234F8">
        <w:t>Study 2 participants were all required to complete a vocabulary training</w:t>
      </w:r>
      <w:r w:rsidR="00AD7397">
        <w:t xml:space="preserve"> on </w:t>
      </w:r>
      <w:proofErr w:type="spellStart"/>
      <w:r w:rsidR="00AD7397">
        <w:t>PsychoPy</w:t>
      </w:r>
      <w:proofErr w:type="spellEnd"/>
      <w:r w:rsidR="00AD7397">
        <w:t xml:space="preserve"> before completing the study to establish a baseline vocabulary. This training presented 42 vocabulary items used in the stimuli, 17 of which appeared in the critical stimuli. The 42 words were divided into two blocks</w:t>
      </w:r>
      <w:r w:rsidR="00E84905">
        <w:t xml:space="preserve">. The words in each set were presented one at a time with a photo </w:t>
      </w:r>
      <w:r w:rsidR="00E84905">
        <w:lastRenderedPageBreak/>
        <w:t>that represented the word and a translation in English</w:t>
      </w:r>
      <w:r w:rsidR="000C3B96">
        <w:t xml:space="preserve">. After 1000 </w:t>
      </w:r>
      <w:proofErr w:type="spellStart"/>
      <w:r w:rsidR="000C3B96">
        <w:t>ms</w:t>
      </w:r>
      <w:proofErr w:type="spellEnd"/>
      <w:r w:rsidR="000C3B96">
        <w:t>, participants were invited to move to the next word if and when they were ready</w:t>
      </w:r>
      <w:r w:rsidR="00E84905">
        <w:t xml:space="preserve">. After each set </w:t>
      </w:r>
      <w:r w:rsidR="000C3B96">
        <w:t xml:space="preserve">of 21 words </w:t>
      </w:r>
      <w:r w:rsidR="00E84905">
        <w:t xml:space="preserve">was presented, participants had an opportunity to review the words again or take a quiz to continue. </w:t>
      </w:r>
      <w:r w:rsidR="000C3B96">
        <w:t>The quiz presented four of the photos from the set and asked participants to identify which photo represented the word shown on the screen. A minimum score of 85% was required on each quiz in order to continue to the next phase of the study.</w:t>
      </w:r>
    </w:p>
    <w:p w14:paraId="56DCD2D4" w14:textId="77777777" w:rsidR="000C3B96" w:rsidRDefault="000C3B96" w:rsidP="00AD7397">
      <w:pPr>
        <w:ind w:firstLine="720"/>
      </w:pPr>
    </w:p>
    <w:p w14:paraId="7090E0E9" w14:textId="77777777" w:rsidR="000C3B96" w:rsidRPr="00114085" w:rsidRDefault="000C3B96" w:rsidP="000C3B96">
      <w:pPr>
        <w:rPr>
          <w:u w:val="single"/>
        </w:rPr>
      </w:pPr>
      <w:r w:rsidRPr="00114085">
        <w:rPr>
          <w:u w:val="single"/>
        </w:rPr>
        <w:t>Language Background Questionnaire</w:t>
      </w:r>
    </w:p>
    <w:p w14:paraId="011138F1" w14:textId="77777777" w:rsidR="000C3B96" w:rsidRPr="00F234F8" w:rsidRDefault="000C3B96" w:rsidP="000C3B96">
      <w:pPr>
        <w:ind w:firstLine="720"/>
      </w:pPr>
      <w:r w:rsidRPr="00F234F8">
        <w:t>All participants completed a language background questionnaire</w:t>
      </w:r>
      <w:r>
        <w:t xml:space="preserve"> (LBQ)</w:t>
      </w:r>
      <w:r w:rsidRPr="00F234F8">
        <w:t xml:space="preserve">, edited from the LEAP-Q (Marian, Blumenfeld &amp; </w:t>
      </w:r>
      <w:proofErr w:type="spellStart"/>
      <w:r w:rsidRPr="00F234F8">
        <w:t>Kaushanskaya</w:t>
      </w:r>
      <w:proofErr w:type="spellEnd"/>
      <w:r w:rsidRPr="00F234F8">
        <w:t xml:space="preserve">, 2007). </w:t>
      </w:r>
      <w:r>
        <w:t xml:space="preserve">Information regarding languages spoken was collected for all participants, but the participants in Study 1 completed detailed questions for Spanish, Catalan and English; participants in Study 2 completed detailed questions for English and Spanish. The questions were presented via computer. </w:t>
      </w:r>
    </w:p>
    <w:p w14:paraId="0CC2376B" w14:textId="77777777" w:rsidR="000C3B96" w:rsidRPr="00F234F8" w:rsidRDefault="000C3B96" w:rsidP="000C3B96"/>
    <w:p w14:paraId="11D4AA63" w14:textId="77777777" w:rsidR="000C3B96" w:rsidRPr="00114085" w:rsidRDefault="000C3B96" w:rsidP="000C3B96">
      <w:pPr>
        <w:rPr>
          <w:u w:val="single"/>
        </w:rPr>
      </w:pPr>
      <w:r w:rsidRPr="00114085">
        <w:rPr>
          <w:u w:val="single"/>
        </w:rPr>
        <w:t>Elicited Imitation Task</w:t>
      </w:r>
    </w:p>
    <w:p w14:paraId="269964E1" w14:textId="77777777" w:rsidR="000C3B96" w:rsidRDefault="000C3B96" w:rsidP="000C3B96">
      <w:r>
        <w:tab/>
        <w:t>To complement institutional placement in Study 2, the Elicited Imitation Task (EIT) was used as a secondary proficiency measure</w:t>
      </w:r>
      <w:r w:rsidR="00611138">
        <w:t xml:space="preserve"> (SEE APPENDIX XXXXX</w:t>
      </w:r>
      <w:r>
        <w:t xml:space="preserve">). The EIT has been validated as a </w:t>
      </w:r>
      <w:r w:rsidR="00611138">
        <w:t xml:space="preserve">reliable </w:t>
      </w:r>
      <w:r>
        <w:t>measure of global proficiency</w:t>
      </w:r>
      <w:r w:rsidR="00611138">
        <w:t xml:space="preserve"> as compared to the Simulated Oral Proficiency Interview (SOPI), a global proficiency measure based on the American Council of the Teaching of Foreign Languages proficiency guidelines (Ortega, 2000; Ortega et al., 2002)</w:t>
      </w:r>
      <w:r>
        <w:t xml:space="preserve">. In this task, participants </w:t>
      </w:r>
      <w:r w:rsidR="00611138">
        <w:t>are recorded listening to and repeating</w:t>
      </w:r>
      <w:r>
        <w:t xml:space="preserve"> a set of 30 pre-recorded sentences. These sentences become progressively more complex structurally. The recordings are then scored on a scale of 0-4 according to the accuracy of each repetition, and the total score for each participant falls between 0 and 120</w:t>
      </w:r>
      <w:r w:rsidR="005A6A75">
        <w:t xml:space="preserve"> (see APPENDIX XXXXXX)</w:t>
      </w:r>
      <w:r>
        <w:t xml:space="preserve">. </w:t>
      </w:r>
    </w:p>
    <w:p w14:paraId="65BFE3D1" w14:textId="77777777" w:rsidR="000C3B96" w:rsidRDefault="000C3B96" w:rsidP="00AD7397">
      <w:pPr>
        <w:ind w:firstLine="720"/>
      </w:pPr>
    </w:p>
    <w:p w14:paraId="0D93A37B" w14:textId="77777777" w:rsidR="00114085" w:rsidRDefault="00114085" w:rsidP="00AD7397">
      <w:pPr>
        <w:ind w:firstLine="720"/>
      </w:pPr>
    </w:p>
    <w:p w14:paraId="73F359AE" w14:textId="77777777" w:rsidR="00114085" w:rsidRPr="00114085" w:rsidRDefault="00114085" w:rsidP="00114085"/>
    <w:p w14:paraId="59C46AA9" w14:textId="77777777" w:rsidR="00114085" w:rsidRPr="00114085" w:rsidRDefault="00114085" w:rsidP="00114085"/>
    <w:p w14:paraId="5F3CB860" w14:textId="77777777" w:rsidR="00114085" w:rsidRPr="00114085" w:rsidRDefault="00114085" w:rsidP="00114085"/>
    <w:p w14:paraId="377A12B1" w14:textId="77777777" w:rsidR="00114085" w:rsidRPr="00114085" w:rsidRDefault="00114085" w:rsidP="00114085"/>
    <w:p w14:paraId="612BE5A4" w14:textId="77777777" w:rsidR="00114085" w:rsidRPr="00114085" w:rsidRDefault="00114085" w:rsidP="00114085"/>
    <w:p w14:paraId="6C15C082" w14:textId="77777777" w:rsidR="00114085" w:rsidRDefault="00114085" w:rsidP="00AD7397">
      <w:pPr>
        <w:ind w:firstLine="720"/>
      </w:pPr>
    </w:p>
    <w:p w14:paraId="198725B4" w14:textId="77777777" w:rsidR="00114085" w:rsidRDefault="00114085" w:rsidP="00AD7397">
      <w:pPr>
        <w:ind w:firstLine="720"/>
      </w:pPr>
    </w:p>
    <w:p w14:paraId="70BE2236" w14:textId="77777777" w:rsidR="0057150A" w:rsidRDefault="0057150A"/>
    <w:p w14:paraId="493357D2" w14:textId="77777777" w:rsidR="0057150A" w:rsidRDefault="0057150A" w:rsidP="0057150A">
      <w:r>
        <w:t xml:space="preserve">Items changed from </w:t>
      </w:r>
      <w:proofErr w:type="spellStart"/>
      <w:r>
        <w:t>Jegerski</w:t>
      </w:r>
      <w:proofErr w:type="spellEnd"/>
      <w:r>
        <w:t>:</w:t>
      </w:r>
    </w:p>
    <w:p w14:paraId="51BCE3D6" w14:textId="77777777" w:rsidR="0057150A" w:rsidRDefault="0057150A" w:rsidP="0057150A">
      <w:pPr>
        <w:pStyle w:val="ListParagraph"/>
        <w:numPr>
          <w:ilvl w:val="0"/>
          <w:numId w:val="2"/>
        </w:numPr>
        <w:rPr>
          <w:lang w:val="es-US"/>
        </w:rPr>
      </w:pPr>
      <w:r w:rsidRPr="0048739D">
        <w:rPr>
          <w:lang w:val="es-US"/>
        </w:rPr>
        <w:t xml:space="preserve">Después de que empezó el maratón/después de que corrió el maratón </w:t>
      </w:r>
      <w:r>
        <w:sym w:font="Wingdings" w:char="F0E0"/>
      </w:r>
      <w:r w:rsidRPr="0048739D">
        <w:rPr>
          <w:lang w:val="es-US"/>
        </w:rPr>
        <w:t xml:space="preserve"> </w:t>
      </w:r>
      <w:r>
        <w:rPr>
          <w:lang w:val="es-US"/>
        </w:rPr>
        <w:t>“</w:t>
      </w:r>
      <w:r w:rsidRPr="0048739D">
        <w:rPr>
          <w:lang w:val="es-US"/>
        </w:rPr>
        <w:t>empezar</w:t>
      </w:r>
      <w:r>
        <w:rPr>
          <w:lang w:val="es-US"/>
        </w:rPr>
        <w:t>”</w:t>
      </w:r>
      <w:r w:rsidRPr="0048739D">
        <w:rPr>
          <w:lang w:val="es-US"/>
        </w:rPr>
        <w:t xml:space="preserve"> now “llegar”</w:t>
      </w:r>
    </w:p>
    <w:p w14:paraId="567D6CB2" w14:textId="77777777" w:rsidR="0057150A" w:rsidRDefault="0057150A" w:rsidP="0057150A">
      <w:pPr>
        <w:pStyle w:val="ListParagraph"/>
        <w:numPr>
          <w:ilvl w:val="0"/>
          <w:numId w:val="2"/>
        </w:numPr>
        <w:rPr>
          <w:lang w:val="es-US"/>
        </w:rPr>
      </w:pPr>
      <w:r>
        <w:rPr>
          <w:lang w:val="es-US"/>
        </w:rPr>
        <w:t xml:space="preserve">acabar la obra </w:t>
      </w:r>
      <w:r w:rsidRPr="00FC6914">
        <w:rPr>
          <w:lang w:val="es-US"/>
        </w:rPr>
        <w:sym w:font="Wingdings" w:char="F0E0"/>
      </w:r>
      <w:r>
        <w:rPr>
          <w:lang w:val="es-US"/>
        </w:rPr>
        <w:t xml:space="preserve"> terminar la obra</w:t>
      </w:r>
    </w:p>
    <w:p w14:paraId="24BFCE58" w14:textId="77777777" w:rsidR="0057150A" w:rsidRDefault="0057150A" w:rsidP="0057150A">
      <w:pPr>
        <w:pStyle w:val="ListParagraph"/>
        <w:numPr>
          <w:ilvl w:val="0"/>
          <w:numId w:val="2"/>
        </w:numPr>
        <w:rPr>
          <w:lang w:val="es-US"/>
        </w:rPr>
      </w:pPr>
      <w:r>
        <w:rPr>
          <w:lang w:val="es-US"/>
        </w:rPr>
        <w:t xml:space="preserve">3 metros de altura </w:t>
      </w:r>
      <w:r w:rsidRPr="00FC6914">
        <w:rPr>
          <w:lang w:val="es-US"/>
        </w:rPr>
        <w:sym w:font="Wingdings" w:char="F0E0"/>
      </w:r>
      <w:r>
        <w:rPr>
          <w:lang w:val="es-US"/>
        </w:rPr>
        <w:t xml:space="preserve"> diez pies de altura</w:t>
      </w:r>
    </w:p>
    <w:p w14:paraId="6D5BCC19" w14:textId="77777777" w:rsidR="00AD7397" w:rsidRDefault="00AD7397" w:rsidP="0057150A">
      <w:pPr>
        <w:pStyle w:val="ListParagraph"/>
        <w:numPr>
          <w:ilvl w:val="0"/>
          <w:numId w:val="2"/>
        </w:numPr>
        <w:rPr>
          <w:lang w:val="es-US"/>
        </w:rPr>
      </w:pPr>
      <w:r>
        <w:rPr>
          <w:lang w:val="es-US"/>
        </w:rPr>
        <w:t xml:space="preserve">Cinco días después </w:t>
      </w:r>
      <w:r w:rsidRPr="00AD7397">
        <w:rPr>
          <w:lang w:val="es-US"/>
        </w:rPr>
        <w:sym w:font="Wingdings" w:char="F0E0"/>
      </w:r>
      <w:r>
        <w:rPr>
          <w:lang w:val="es-US"/>
        </w:rPr>
        <w:t xml:space="preserve"> antes de que</w:t>
      </w:r>
    </w:p>
    <w:p w14:paraId="75B1DBE1" w14:textId="77777777" w:rsidR="00AD7397" w:rsidRDefault="00AD7397" w:rsidP="0057150A">
      <w:pPr>
        <w:pStyle w:val="ListParagraph"/>
        <w:numPr>
          <w:ilvl w:val="0"/>
          <w:numId w:val="2"/>
        </w:numPr>
        <w:rPr>
          <w:lang w:val="es-US"/>
        </w:rPr>
      </w:pPr>
      <w:r>
        <w:rPr>
          <w:lang w:val="es-US"/>
        </w:rPr>
        <w:t xml:space="preserve">Concursante </w:t>
      </w:r>
      <w:r w:rsidRPr="00AD7397">
        <w:rPr>
          <w:lang w:val="es-US"/>
        </w:rPr>
        <w:sym w:font="Wingdings" w:char="F0E0"/>
      </w:r>
      <w:r>
        <w:rPr>
          <w:lang w:val="es-US"/>
        </w:rPr>
        <w:t xml:space="preserve"> participante</w:t>
      </w:r>
    </w:p>
    <w:p w14:paraId="434D503B" w14:textId="77777777" w:rsidR="00AD7397" w:rsidRDefault="00AD7397" w:rsidP="0057150A">
      <w:pPr>
        <w:pStyle w:val="ListParagraph"/>
        <w:numPr>
          <w:ilvl w:val="0"/>
          <w:numId w:val="2"/>
        </w:numPr>
        <w:rPr>
          <w:lang w:val="es-US"/>
        </w:rPr>
      </w:pPr>
      <w:r>
        <w:rPr>
          <w:lang w:val="es-US"/>
        </w:rPr>
        <w:t xml:space="preserve">Cuando la novia descendió la escalera le pareció muy larga </w:t>
      </w:r>
      <w:r w:rsidRPr="00AD7397">
        <w:rPr>
          <w:lang w:val="es-US"/>
        </w:rPr>
        <w:sym w:font="Wingdings" w:char="F0E0"/>
      </w:r>
      <w:r>
        <w:rPr>
          <w:lang w:val="es-US"/>
        </w:rPr>
        <w:t xml:space="preserve"> </w:t>
      </w:r>
      <w:r w:rsidRPr="00AD7397">
        <w:rPr>
          <w:lang w:val="es-US"/>
        </w:rPr>
        <w:t>Cuando la chica lava los platos se quedan bien sucios</w:t>
      </w:r>
    </w:p>
    <w:p w14:paraId="080BCD44" w14:textId="77777777" w:rsidR="00AD7397" w:rsidRDefault="00AD7397" w:rsidP="00AD7397">
      <w:pPr>
        <w:pStyle w:val="ListParagraph"/>
        <w:numPr>
          <w:ilvl w:val="0"/>
          <w:numId w:val="2"/>
        </w:numPr>
        <w:rPr>
          <w:lang w:val="es-US"/>
        </w:rPr>
      </w:pPr>
      <w:r>
        <w:rPr>
          <w:lang w:val="es-US"/>
        </w:rPr>
        <w:t xml:space="preserve">Limpiecita </w:t>
      </w:r>
      <w:r w:rsidRPr="00AD7397">
        <w:rPr>
          <w:lang w:val="es-US"/>
        </w:rPr>
        <w:sym w:font="Wingdings" w:char="F0E0"/>
      </w:r>
      <w:r>
        <w:rPr>
          <w:lang w:val="es-US"/>
        </w:rPr>
        <w:t xml:space="preserve"> muy limpia</w:t>
      </w:r>
    </w:p>
    <w:p w14:paraId="47CE5769" w14:textId="77777777" w:rsidR="00AD7397" w:rsidRPr="00AD7397" w:rsidRDefault="00AD7397" w:rsidP="00AD7397">
      <w:pPr>
        <w:pStyle w:val="ListParagraph"/>
        <w:numPr>
          <w:ilvl w:val="0"/>
          <w:numId w:val="2"/>
        </w:numPr>
        <w:rPr>
          <w:lang w:val="es-US"/>
        </w:rPr>
      </w:pPr>
      <w:r>
        <w:rPr>
          <w:lang w:val="es-US"/>
        </w:rPr>
        <w:t xml:space="preserve">De una vez </w:t>
      </w:r>
      <w:r w:rsidRPr="00AD7397">
        <w:rPr>
          <w:lang w:val="es-US"/>
        </w:rPr>
        <w:sym w:font="Wingdings" w:char="F0E0"/>
      </w:r>
      <w:r>
        <w:rPr>
          <w:lang w:val="es-US"/>
        </w:rPr>
        <w:t xml:space="preserve"> inmediatamente </w:t>
      </w:r>
    </w:p>
    <w:p w14:paraId="51FC2957" w14:textId="77777777" w:rsidR="0057150A" w:rsidRPr="0057150A" w:rsidRDefault="0057150A">
      <w:pPr>
        <w:rPr>
          <w:lang w:val="es-US"/>
        </w:rPr>
      </w:pPr>
    </w:p>
    <w:p w14:paraId="51CAD269" w14:textId="77777777" w:rsidR="0057150A" w:rsidRPr="0057150A" w:rsidRDefault="0057150A">
      <w:pPr>
        <w:rPr>
          <w:lang w:val="es-US"/>
        </w:rPr>
      </w:pPr>
    </w:p>
    <w:p w14:paraId="6CF6DDE2" w14:textId="77777777" w:rsidR="007F13AA" w:rsidRPr="0057150A" w:rsidRDefault="007F13AA">
      <w:pPr>
        <w:rPr>
          <w:lang w:val="es-US"/>
        </w:rPr>
      </w:pPr>
    </w:p>
    <w:p w14:paraId="55AB1BD7" w14:textId="77777777" w:rsidR="00C61AD7" w:rsidRDefault="00C61AD7"/>
    <w:p w14:paraId="2057E0F2" w14:textId="77777777" w:rsidR="00C61AD7" w:rsidRPr="00F234F8" w:rsidRDefault="00C61AD7"/>
    <w:p w14:paraId="665D7595" w14:textId="77777777" w:rsidR="000866E6" w:rsidRDefault="000866E6"/>
    <w:p w14:paraId="2A74D4E2" w14:textId="77777777" w:rsidR="007D636B" w:rsidRDefault="007D636B">
      <w:r>
        <w:t>1Counted, “separately”</w:t>
      </w:r>
    </w:p>
    <w:p w14:paraId="5F17B053" w14:textId="77777777" w:rsidR="007D636B" w:rsidRDefault="007D636B">
      <w:r>
        <w:t>2Counted</w:t>
      </w:r>
    </w:p>
    <w:p w14:paraId="2AD45245" w14:textId="77777777" w:rsidR="007D636B" w:rsidRDefault="007D636B">
      <w:r>
        <w:t>3Counted</w:t>
      </w:r>
    </w:p>
    <w:p w14:paraId="2E64ED0C" w14:textId="77777777" w:rsidR="007D636B" w:rsidRDefault="007D636B">
      <w:r>
        <w:t>4Counted</w:t>
      </w:r>
    </w:p>
    <w:p w14:paraId="70E69FE0" w14:textId="77777777" w:rsidR="007D636B" w:rsidRDefault="007D636B">
      <w:r>
        <w:t>5Counted, flankers very slow</w:t>
      </w:r>
    </w:p>
    <w:p w14:paraId="5A904F42" w14:textId="77777777" w:rsidR="007D636B" w:rsidRDefault="007D636B">
      <w:r>
        <w:t>6 counted</w:t>
      </w:r>
    </w:p>
    <w:p w14:paraId="6D3D6C9E" w14:textId="77777777" w:rsidR="007D636B" w:rsidRPr="00381893" w:rsidRDefault="007D636B">
      <w:pPr>
        <w:rPr>
          <w:highlight w:val="yellow"/>
        </w:rPr>
      </w:pPr>
      <w:r w:rsidRPr="00381893">
        <w:rPr>
          <w:highlight w:val="yellow"/>
        </w:rPr>
        <w:t>7 out – Daniel Arenas, native speaker</w:t>
      </w:r>
    </w:p>
    <w:p w14:paraId="687CDAD6" w14:textId="77777777" w:rsidR="007D636B" w:rsidRPr="00381893" w:rsidRDefault="007D636B">
      <w:pPr>
        <w:rPr>
          <w:highlight w:val="yellow"/>
        </w:rPr>
      </w:pPr>
      <w:r w:rsidRPr="00381893">
        <w:rPr>
          <w:highlight w:val="yellow"/>
        </w:rPr>
        <w:t>8 out – Stephen Cho, Korean, flankers residuals = negative</w:t>
      </w:r>
    </w:p>
    <w:p w14:paraId="18E4443F" w14:textId="77777777" w:rsidR="007D636B" w:rsidRDefault="007D636B">
      <w:r>
        <w:t>9 counted</w:t>
      </w:r>
    </w:p>
    <w:p w14:paraId="081AEC13" w14:textId="77777777" w:rsidR="007D636B" w:rsidRDefault="007D636B">
      <w:r>
        <w:t>10 counted</w:t>
      </w:r>
    </w:p>
    <w:p w14:paraId="0BDF3773" w14:textId="77777777" w:rsidR="007D636B" w:rsidRDefault="007D636B">
      <w:r>
        <w:t>11 – oral review</w:t>
      </w:r>
      <w:r w:rsidR="00E160AA">
        <w:t xml:space="preserve"> </w:t>
      </w:r>
    </w:p>
    <w:p w14:paraId="0D5EE024" w14:textId="77777777" w:rsidR="007D636B" w:rsidRDefault="007D636B">
      <w:r>
        <w:t>12 - counted</w:t>
      </w:r>
    </w:p>
    <w:p w14:paraId="0BC982BF" w14:textId="77777777" w:rsidR="007D636B" w:rsidRDefault="007D636B">
      <w:r>
        <w:t>13 - counted</w:t>
      </w:r>
    </w:p>
    <w:p w14:paraId="4CA99FAB" w14:textId="77777777" w:rsidR="007D636B" w:rsidRPr="00E13508" w:rsidRDefault="007D636B">
      <w:pPr>
        <w:rPr>
          <w:highlight w:val="green"/>
        </w:rPr>
      </w:pPr>
      <w:r w:rsidRPr="00E13508">
        <w:rPr>
          <w:highlight w:val="green"/>
        </w:rPr>
        <w:t xml:space="preserve">14 </w:t>
      </w:r>
      <w:r w:rsidR="00E13508">
        <w:rPr>
          <w:highlight w:val="green"/>
        </w:rPr>
        <w:t>–</w:t>
      </w:r>
      <w:r w:rsidRPr="00E13508">
        <w:rPr>
          <w:highlight w:val="green"/>
        </w:rPr>
        <w:t xml:space="preserve"> </w:t>
      </w:r>
      <w:r w:rsidR="00530573">
        <w:rPr>
          <w:highlight w:val="green"/>
        </w:rPr>
        <w:t>advanced,</w:t>
      </w:r>
      <w:r w:rsidR="00E13508">
        <w:rPr>
          <w:highlight w:val="green"/>
        </w:rPr>
        <w:t xml:space="preserve"> not counted after second </w:t>
      </w:r>
      <w:proofErr w:type="spellStart"/>
      <w:r w:rsidR="00E13508">
        <w:rPr>
          <w:highlight w:val="green"/>
        </w:rPr>
        <w:t>calculo</w:t>
      </w:r>
      <w:proofErr w:type="spellEnd"/>
    </w:p>
    <w:p w14:paraId="225F4B80" w14:textId="77777777" w:rsidR="007D636B" w:rsidRDefault="007D636B">
      <w:r>
        <w:t>15 - counted</w:t>
      </w:r>
    </w:p>
    <w:p w14:paraId="3CE021F3" w14:textId="77777777" w:rsidR="007D636B" w:rsidRDefault="007D636B">
      <w:r>
        <w:t xml:space="preserve">16 – </w:t>
      </w:r>
      <w:r w:rsidR="00381893">
        <w:t xml:space="preserve">advanced, </w:t>
      </w:r>
      <w:r w:rsidR="00931D44">
        <w:t>.633</w:t>
      </w:r>
    </w:p>
    <w:p w14:paraId="7D8346CF" w14:textId="77777777" w:rsidR="007D636B" w:rsidRDefault="007D636B">
      <w:r>
        <w:t>17 - counted</w:t>
      </w:r>
    </w:p>
    <w:p w14:paraId="304063BE" w14:textId="77777777" w:rsidR="007D636B" w:rsidRDefault="007D636B">
      <w:r>
        <w:t>18 – oral review</w:t>
      </w:r>
      <w:r w:rsidR="00931D44">
        <w:t xml:space="preserve"> (.633)</w:t>
      </w:r>
    </w:p>
    <w:p w14:paraId="313F4345" w14:textId="77777777" w:rsidR="007D636B" w:rsidRDefault="007D636B">
      <w:r>
        <w:t>19 – intermediate</w:t>
      </w:r>
      <w:r w:rsidR="00E160AA">
        <w:t xml:space="preserve"> (</w:t>
      </w:r>
      <w:r w:rsidR="00931D44">
        <w:t>70%, but weird data)</w:t>
      </w:r>
    </w:p>
    <w:p w14:paraId="63048056" w14:textId="77777777" w:rsidR="007D636B" w:rsidRDefault="007D636B">
      <w:r>
        <w:t xml:space="preserve">20 </w:t>
      </w:r>
      <w:r w:rsidR="00E160AA">
        <w:t>–</w:t>
      </w:r>
      <w:r>
        <w:t xml:space="preserve"> intermediate</w:t>
      </w:r>
      <w:r w:rsidR="00E160AA">
        <w:t xml:space="preserve"> (only remaining intermediate)</w:t>
      </w:r>
    </w:p>
    <w:p w14:paraId="3EBC4E04" w14:textId="77777777" w:rsidR="007D636B" w:rsidRPr="00530573" w:rsidRDefault="007D636B">
      <w:r w:rsidRPr="00530573">
        <w:t xml:space="preserve">21 </w:t>
      </w:r>
      <w:r w:rsidR="00E160AA" w:rsidRPr="00530573">
        <w:t>–</w:t>
      </w:r>
      <w:r w:rsidRPr="00530573">
        <w:t xml:space="preserve"> intermediate</w:t>
      </w:r>
      <w:r w:rsidR="00E160AA" w:rsidRPr="00530573">
        <w:t xml:space="preserve"> (</w:t>
      </w:r>
      <w:r w:rsidR="00931D44">
        <w:t>.6</w:t>
      </w:r>
      <w:r w:rsidR="00E160AA" w:rsidRPr="00530573">
        <w:t>0)</w:t>
      </w:r>
      <w:r w:rsidR="00E13508" w:rsidRPr="00530573">
        <w:t xml:space="preserve">, </w:t>
      </w:r>
    </w:p>
    <w:p w14:paraId="5909C312" w14:textId="77777777" w:rsidR="007D636B" w:rsidRPr="00381893" w:rsidRDefault="007D636B">
      <w:pPr>
        <w:rPr>
          <w:highlight w:val="yellow"/>
        </w:rPr>
      </w:pPr>
      <w:r w:rsidRPr="00381893">
        <w:rPr>
          <w:highlight w:val="yellow"/>
        </w:rPr>
        <w:t>22 – data lost, oral review, Korean speaker</w:t>
      </w:r>
    </w:p>
    <w:p w14:paraId="668D7EA6" w14:textId="77777777" w:rsidR="007D636B" w:rsidRDefault="007D636B">
      <w:r>
        <w:t>23 - counted</w:t>
      </w:r>
    </w:p>
    <w:p w14:paraId="5D40A2D6" w14:textId="77777777" w:rsidR="00530573" w:rsidRDefault="00530573"/>
    <w:p w14:paraId="13B3C13D" w14:textId="77777777" w:rsidR="00530573" w:rsidRDefault="00530573"/>
    <w:p w14:paraId="7208FE4D" w14:textId="77777777" w:rsidR="00530573" w:rsidRDefault="00530573"/>
    <w:p w14:paraId="5E10B234" w14:textId="77777777" w:rsidR="00530573" w:rsidRDefault="00AA046A">
      <w:r w:rsidRPr="00AA046A">
        <w:t>https://journals.sagepub.com/doi/abs/10.1177/1367006917709097</w:t>
      </w:r>
    </w:p>
    <w:p w14:paraId="419153D3" w14:textId="77777777" w:rsidR="00530573" w:rsidRDefault="00530573"/>
    <w:tbl>
      <w:tblPr>
        <w:tblW w:w="0" w:type="dxa"/>
        <w:tblCellMar>
          <w:left w:w="0" w:type="dxa"/>
          <w:right w:w="0" w:type="dxa"/>
        </w:tblCellMar>
        <w:tblLook w:val="04A0" w:firstRow="1" w:lastRow="0" w:firstColumn="1" w:lastColumn="0" w:noHBand="0" w:noVBand="1"/>
      </w:tblPr>
      <w:tblGrid>
        <w:gridCol w:w="1258"/>
      </w:tblGrid>
      <w:tr w:rsidR="00DB4EFD" w:rsidRPr="00DB4EFD" w14:paraId="47448D43" w14:textId="77777777" w:rsidTr="00DB4E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9A4CF" w14:textId="77777777" w:rsidR="00DB4EFD" w:rsidRPr="00DB4EFD" w:rsidRDefault="00DB4EFD" w:rsidP="00DB4EFD">
            <w:pPr>
              <w:jc w:val="right"/>
              <w:rPr>
                <w:rFonts w:ascii="Arial" w:hAnsi="Arial" w:cs="Arial"/>
                <w:sz w:val="20"/>
                <w:szCs w:val="20"/>
              </w:rPr>
            </w:pPr>
            <w:r w:rsidRPr="00DB4EFD">
              <w:rPr>
                <w:rFonts w:ascii="Arial" w:hAnsi="Arial" w:cs="Arial"/>
                <w:sz w:val="20"/>
                <w:szCs w:val="20"/>
              </w:rPr>
              <w:t>12.88888889</w:t>
            </w:r>
          </w:p>
        </w:tc>
      </w:tr>
      <w:tr w:rsidR="00DB4EFD" w:rsidRPr="00DB4EFD" w14:paraId="1E3EE755" w14:textId="77777777" w:rsidTr="00DB4E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C2B1E" w14:textId="77777777" w:rsidR="00DB4EFD" w:rsidRPr="00DB4EFD" w:rsidRDefault="00DB4EFD" w:rsidP="00DB4EFD">
            <w:pPr>
              <w:jc w:val="right"/>
              <w:rPr>
                <w:rFonts w:ascii="Arial" w:hAnsi="Arial" w:cs="Arial"/>
                <w:sz w:val="20"/>
                <w:szCs w:val="20"/>
              </w:rPr>
            </w:pPr>
            <w:r w:rsidRPr="00DB4EFD">
              <w:rPr>
                <w:rFonts w:ascii="Arial" w:hAnsi="Arial" w:cs="Arial"/>
                <w:sz w:val="20"/>
                <w:szCs w:val="20"/>
              </w:rPr>
              <w:t>2.643279801</w:t>
            </w:r>
          </w:p>
        </w:tc>
      </w:tr>
    </w:tbl>
    <w:p w14:paraId="6E3D5BA7" w14:textId="77777777" w:rsidR="00DB4EFD" w:rsidRDefault="00DB4EFD"/>
    <w:p w14:paraId="42F20337" w14:textId="77777777" w:rsidR="00E32505" w:rsidRPr="00E32505" w:rsidRDefault="00E32505"/>
    <w:p w14:paraId="3579DB16" w14:textId="77777777" w:rsidR="00FC53FA" w:rsidRDefault="00FC53FA">
      <w:pPr>
        <w:rPr>
          <w:b/>
        </w:rPr>
      </w:pPr>
      <w:r>
        <w:rPr>
          <w:b/>
        </w:rPr>
        <w:br w:type="page"/>
      </w:r>
    </w:p>
    <w:p w14:paraId="59721E09" w14:textId="73B658CE" w:rsidR="00E32505" w:rsidRPr="00FC53FA" w:rsidRDefault="00E32505">
      <w:pPr>
        <w:rPr>
          <w:b/>
        </w:rPr>
      </w:pPr>
      <w:bookmarkStart w:id="5" w:name="Procedure"/>
      <w:r w:rsidRPr="00FC53FA">
        <w:rPr>
          <w:b/>
        </w:rPr>
        <w:lastRenderedPageBreak/>
        <w:t>Procedure</w:t>
      </w:r>
    </w:p>
    <w:bookmarkEnd w:id="5"/>
    <w:p w14:paraId="09F71CEF" w14:textId="77777777" w:rsidR="00E32505" w:rsidRDefault="00E32505"/>
    <w:p w14:paraId="681DB23F" w14:textId="77777777" w:rsidR="005F4F1E" w:rsidRDefault="005F4F1E">
      <w:r>
        <w:t>Study 1</w:t>
      </w:r>
    </w:p>
    <w:p w14:paraId="564C0848" w14:textId="77777777" w:rsidR="003F0BA4" w:rsidRDefault="005F4F1E">
      <w:r>
        <w:tab/>
        <w:t xml:space="preserve">Early bilinguals in Study 1 were recruited from a group of students at the </w:t>
      </w:r>
      <w:proofErr w:type="spellStart"/>
      <w:r>
        <w:rPr>
          <w:i/>
        </w:rPr>
        <w:t>Universitat</w:t>
      </w:r>
      <w:proofErr w:type="spellEnd"/>
      <w:r>
        <w:rPr>
          <w:i/>
        </w:rPr>
        <w:t xml:space="preserve"> </w:t>
      </w:r>
      <w:proofErr w:type="spellStart"/>
      <w:r>
        <w:rPr>
          <w:i/>
        </w:rPr>
        <w:t>Pompeu</w:t>
      </w:r>
      <w:proofErr w:type="spellEnd"/>
      <w:r>
        <w:rPr>
          <w:i/>
        </w:rPr>
        <w:t xml:space="preserve"> </w:t>
      </w:r>
      <w:proofErr w:type="spellStart"/>
      <w:r>
        <w:rPr>
          <w:i/>
        </w:rPr>
        <w:t>Fabra</w:t>
      </w:r>
      <w:proofErr w:type="spellEnd"/>
      <w:r>
        <w:rPr>
          <w:i/>
        </w:rPr>
        <w:t xml:space="preserve"> </w:t>
      </w:r>
      <w:r>
        <w:t xml:space="preserve">who participated </w:t>
      </w:r>
      <w:r w:rsidR="00253CD0">
        <w:t xml:space="preserve">in a Spanish conversation program </w:t>
      </w:r>
      <w:r>
        <w:t>with Georgetown’s summer abroad program in Barcelon</w:t>
      </w:r>
      <w:r w:rsidR="00253CD0">
        <w:t>a</w:t>
      </w:r>
      <w:r>
        <w:t>.</w:t>
      </w:r>
      <w:r w:rsidR="00253CD0">
        <w:t xml:space="preserve"> They were paid 10</w:t>
      </w:r>
      <w:r w:rsidR="00253CD0" w:rsidRPr="00253CD0">
        <w:t>€</w:t>
      </w:r>
      <w:r w:rsidR="00253CD0">
        <w:t xml:space="preserve"> for completing the study. </w:t>
      </w:r>
      <w:r w:rsidR="003F0BA4">
        <w:t>The entirety of the study was conducted in Spanish. Before beginning the study, t</w:t>
      </w:r>
      <w:r w:rsidR="00253CD0">
        <w:t>he researcher explained the study broadly</w:t>
      </w:r>
      <w:r w:rsidR="003F0BA4">
        <w:t xml:space="preserve"> in a quiet room</w:t>
      </w:r>
      <w:r w:rsidR="00DF270B">
        <w:t xml:space="preserve">, </w:t>
      </w:r>
      <w:r w:rsidR="00253CD0">
        <w:t>obtained informed consen</w:t>
      </w:r>
      <w:r w:rsidR="003F0BA4">
        <w:t>t</w:t>
      </w:r>
      <w:r w:rsidR="00DF270B">
        <w:t xml:space="preserve"> and assigned participants to one of four groups. These groups determined the list and presentational order of blocks for each participant</w:t>
      </w:r>
      <w:r w:rsidR="00253CD0">
        <w:t xml:space="preserve">. </w:t>
      </w:r>
      <w:r w:rsidR="003F0BA4">
        <w:t>Following this</w:t>
      </w:r>
      <w:r w:rsidR="00253CD0">
        <w:t xml:space="preserve">, </w:t>
      </w:r>
      <w:r w:rsidR="00DF270B">
        <w:t xml:space="preserve">participants </w:t>
      </w:r>
      <w:r w:rsidR="003F0BA4">
        <w:t>completed three training phases to prepare for the experimental phase: isolated flankers, isolated sentence readings, and interleaved flanker-sentence reading pairs.</w:t>
      </w:r>
      <w:r w:rsidR="00253CD0">
        <w:t xml:space="preserve"> </w:t>
      </w:r>
      <w:r w:rsidR="00602E40">
        <w:t xml:space="preserve">Participants needed to achieve minimally 80% accuracy in order to move on to the experimental phase. </w:t>
      </w:r>
      <w:r w:rsidR="003F0BA4">
        <w:t>Once they completed the training phases, they had an opportunity to rest and ask any questions before beginning the</w:t>
      </w:r>
      <w:r w:rsidR="00DF270B">
        <w:t>ir two</w:t>
      </w:r>
      <w:r w:rsidR="003F0BA4">
        <w:t xml:space="preserve"> experimental block</w:t>
      </w:r>
      <w:r w:rsidR="00DF270B">
        <w:t xml:space="preserve">s, each of which contained </w:t>
      </w:r>
      <w:r w:rsidR="002F7FE3">
        <w:t>60</w:t>
      </w:r>
      <w:r w:rsidR="00DF270B">
        <w:t xml:space="preserve"> flanker-sentence pairs</w:t>
      </w:r>
      <w:r w:rsidR="00A82D9F">
        <w:t xml:space="preserve">, </w:t>
      </w:r>
      <w:r w:rsidR="00DF270B">
        <w:t xml:space="preserve">15 </w:t>
      </w:r>
      <w:r w:rsidR="00E10466">
        <w:t>unpaired flankers</w:t>
      </w:r>
      <w:r w:rsidR="00A82D9F">
        <w:t>, and a brief break</w:t>
      </w:r>
      <w:r w:rsidR="003F0BA4">
        <w:t>. Following the first block, participants had an</w:t>
      </w:r>
      <w:r w:rsidR="00A82D9F">
        <w:t xml:space="preserve">other </w:t>
      </w:r>
      <w:r w:rsidR="003F0BA4">
        <w:t xml:space="preserve">opportunity to rest before completing the second block. </w:t>
      </w:r>
      <w:r w:rsidR="00A82D9F">
        <w:t xml:space="preserve">In addition, if the participant answered three consecutive flankers or three consecutive </w:t>
      </w:r>
      <w:r w:rsidR="004027DB">
        <w:t>CQ</w:t>
      </w:r>
      <w:r w:rsidR="00A82D9F">
        <w:t xml:space="preserve">s incorrectly, they were forced to take a 10-second break, during which they were reminded that both speed and accuracy were important to finish the study in a timely fashion. </w:t>
      </w:r>
      <w:r w:rsidR="00DF270B">
        <w:t>Upon completion of the experimental component of the study, participants completed the LBQ.</w:t>
      </w:r>
    </w:p>
    <w:p w14:paraId="3DE6937D" w14:textId="77777777" w:rsidR="00DF270B" w:rsidRDefault="00DF270B"/>
    <w:p w14:paraId="51B4FA60" w14:textId="77777777" w:rsidR="005F4F1E" w:rsidRDefault="005F4F1E">
      <w:r>
        <w:t>Study</w:t>
      </w:r>
      <w:r w:rsidR="00DF270B">
        <w:t xml:space="preserve"> 2</w:t>
      </w:r>
    </w:p>
    <w:p w14:paraId="26F61828" w14:textId="77777777" w:rsidR="003379B2" w:rsidRDefault="00DF270B" w:rsidP="00DF270B">
      <w:r>
        <w:tab/>
        <w:t>Emergent bilingual language learners in Study 2 were recruited from Spanish language classes at Georgetown University. They were rewarded 2 points on a mid-semester test for participating in the study.</w:t>
      </w:r>
      <w:r w:rsidR="003379B2">
        <w:t xml:space="preserve"> Participants completed the study in a large computer lab with up to three other participants. These participants all wore headphones and were sat in opposite corners of the lab facing away from each other to minimize interference. </w:t>
      </w:r>
      <w:r>
        <w:t xml:space="preserve">Before beginning the study, the researcher explained the study broadly, obtained informed consent and assigned participants to one of the four groups to determine list and block order. Participants completed three training phases to prepare for the experimental phase: isolated flankers, isolated sentence readings, and interleaved flanker-sentence reading pairs. The explanation of the study, informed consent, and first two training phases were conducted in English. The instructions to the interleaved training phase were presented in English, but </w:t>
      </w:r>
      <w:r w:rsidR="003379B2">
        <w:t>then participants</w:t>
      </w:r>
      <w:r>
        <w:t xml:space="preserve"> were </w:t>
      </w:r>
      <w:r w:rsidR="003379B2">
        <w:t>instructed</w:t>
      </w:r>
      <w:r>
        <w:t xml:space="preserve"> that the actual </w:t>
      </w:r>
      <w:r w:rsidR="003379B2">
        <w:t>stimuli</w:t>
      </w:r>
      <w:r>
        <w:t xml:space="preserve"> and </w:t>
      </w:r>
      <w:r w:rsidR="004027DB">
        <w:t>CQ</w:t>
      </w:r>
      <w:r>
        <w:t>s would be presented in Spanish. This was done to facilitate the transition to Spanish and initiate the so-called “</w:t>
      </w:r>
      <w:r w:rsidR="003379B2">
        <w:t>monolingual</w:t>
      </w:r>
      <w:r>
        <w:t xml:space="preserve"> mode”</w:t>
      </w:r>
      <w:r w:rsidR="003379B2">
        <w:t xml:space="preserve"> in Spanish</w:t>
      </w:r>
      <w:r>
        <w:t xml:space="preserve">. </w:t>
      </w:r>
      <w:r w:rsidR="003379B2">
        <w:t xml:space="preserve">All computerized instructions and stimuli following this point were presented in Spanish. </w:t>
      </w:r>
      <w:r w:rsidR="00602E40">
        <w:t>In order to move onto the experimental phase, participants needed to achieve 80% accuracy or higher on each practice phase.</w:t>
      </w:r>
    </w:p>
    <w:p w14:paraId="4A0983DB" w14:textId="77777777" w:rsidR="00DF270B" w:rsidRDefault="00602E40" w:rsidP="003379B2">
      <w:pPr>
        <w:ind w:firstLine="720"/>
      </w:pPr>
      <w:r>
        <w:t xml:space="preserve">Once they completed the training phases, they had an opportunity to rest and ask any questions before beginning their two experimental blocks (identical to the blocks in Study 1). Like in Study 1, participants who answered incorrectly on three consecutive flankers or </w:t>
      </w:r>
      <w:r w:rsidR="004027DB">
        <w:t>CQs</w:t>
      </w:r>
      <w:r>
        <w:t xml:space="preserve"> were forced to take a short break. </w:t>
      </w:r>
      <w:r w:rsidR="00DF270B">
        <w:t>Upon completion</w:t>
      </w:r>
      <w:r w:rsidR="003379B2">
        <w:t xml:space="preserve">, </w:t>
      </w:r>
      <w:r w:rsidR="00DF270B">
        <w:t>participants completed the LBQ</w:t>
      </w:r>
      <w:r>
        <w:t>, after which</w:t>
      </w:r>
      <w:r w:rsidR="003379B2">
        <w:t xml:space="preserve"> </w:t>
      </w:r>
      <w:r>
        <w:t>they</w:t>
      </w:r>
      <w:r w:rsidR="003379B2">
        <w:t xml:space="preserve"> were escorted from the laboratory to complete the EIT</w:t>
      </w:r>
      <w:r w:rsidR="00D7609A">
        <w:t>, the final component of Study 2,</w:t>
      </w:r>
      <w:r w:rsidR="003379B2">
        <w:t xml:space="preserve"> in another space to control the noise level in the laboratory</w:t>
      </w:r>
      <w:r w:rsidR="00D7609A">
        <w:t xml:space="preserve">. </w:t>
      </w:r>
    </w:p>
    <w:p w14:paraId="6A1453C7" w14:textId="77777777" w:rsidR="005F4F1E" w:rsidRDefault="005F4F1E"/>
    <w:p w14:paraId="2B93FBB2" w14:textId="77777777" w:rsidR="00FC53FA" w:rsidRDefault="00FC53FA">
      <w:r>
        <w:br w:type="page"/>
      </w:r>
    </w:p>
    <w:p w14:paraId="28DEF6BA" w14:textId="1ED6A566" w:rsidR="005F4F1E" w:rsidRDefault="005F4F1E">
      <w:bookmarkStart w:id="6" w:name="ScoringCoding"/>
      <w:r>
        <w:lastRenderedPageBreak/>
        <w:t>Scoring</w:t>
      </w:r>
      <w:r w:rsidR="00993F11">
        <w:t xml:space="preserve"> &amp; Coding</w:t>
      </w:r>
    </w:p>
    <w:bookmarkEnd w:id="6"/>
    <w:p w14:paraId="0CABF399" w14:textId="77777777" w:rsidR="00993F11" w:rsidRDefault="00993F11"/>
    <w:p w14:paraId="3BACE6A2" w14:textId="77777777" w:rsidR="00993F11" w:rsidRPr="004E0F4F" w:rsidRDefault="00993F11">
      <w:pPr>
        <w:rPr>
          <w:i/>
          <w:u w:val="single"/>
        </w:rPr>
      </w:pPr>
      <w:r w:rsidRPr="004E0F4F">
        <w:rPr>
          <w:i/>
          <w:u w:val="single"/>
        </w:rPr>
        <w:t>Self-paced Reading</w:t>
      </w:r>
    </w:p>
    <w:p w14:paraId="7318BB93" w14:textId="77777777" w:rsidR="004E0F4F" w:rsidRDefault="00394E94" w:rsidP="00394E94">
      <w:pPr>
        <w:shd w:val="clear" w:color="auto" w:fill="FFFFFF"/>
        <w:jc w:val="both"/>
      </w:pPr>
      <w:r>
        <w:rPr>
          <w:rFonts w:ascii="Times" w:hAnsi="Times"/>
          <w:color w:val="000000"/>
        </w:rPr>
        <w:tab/>
      </w:r>
      <w:proofErr w:type="spellStart"/>
      <w:r>
        <w:t>PsychoPy</w:t>
      </w:r>
      <w:proofErr w:type="spellEnd"/>
      <w:r>
        <w:t xml:space="preserve"> latency data collection occurs at the word level, so regional-level latency was calculated for</w:t>
      </w:r>
      <w:r w:rsidR="00530F75">
        <w:t xml:space="preserve"> the</w:t>
      </w:r>
      <w:r>
        <w:t xml:space="preserve"> 40 critical stimuli</w:t>
      </w:r>
      <w:r w:rsidR="00530F75">
        <w:t xml:space="preserve"> (30 per participant)</w:t>
      </w:r>
      <w:r>
        <w:t xml:space="preserve">. </w:t>
      </w:r>
    </w:p>
    <w:p w14:paraId="16E0F7BB" w14:textId="77777777" w:rsidR="004E0F4F" w:rsidRPr="004E0F4F" w:rsidRDefault="004E0F4F" w:rsidP="00394E94">
      <w:pPr>
        <w:shd w:val="clear" w:color="auto" w:fill="FFFFFF"/>
        <w:jc w:val="both"/>
        <w:rPr>
          <w:i/>
        </w:rPr>
      </w:pPr>
      <w:r>
        <w:rPr>
          <w:i/>
        </w:rPr>
        <w:t>Outliers</w:t>
      </w:r>
    </w:p>
    <w:p w14:paraId="4F8C8831" w14:textId="77777777" w:rsidR="00230F09" w:rsidRDefault="00D3733E" w:rsidP="004E0F4F">
      <w:pPr>
        <w:shd w:val="clear" w:color="auto" w:fill="FFFFFF"/>
        <w:ind w:firstLine="720"/>
        <w:jc w:val="both"/>
      </w:pPr>
      <w:r>
        <w:t>In order to account for data that was likely affected by external factors, d</w:t>
      </w:r>
      <w:r w:rsidR="009E4138">
        <w:t>ata was trimmed at the group and individual level</w:t>
      </w:r>
      <w:r w:rsidR="004E0F4F">
        <w:t xml:space="preserve">. </w:t>
      </w:r>
      <w:r w:rsidR="003547DF">
        <w:t xml:space="preserve">At the group level, </w:t>
      </w:r>
      <w:r w:rsidR="004E0F4F">
        <w:t xml:space="preserve">a maximum </w:t>
      </w:r>
      <w:r w:rsidR="00394E94">
        <w:t xml:space="preserve">of 6000 </w:t>
      </w:r>
      <w:proofErr w:type="spellStart"/>
      <w:r w:rsidR="00394E94">
        <w:t>ms</w:t>
      </w:r>
      <w:proofErr w:type="spellEnd"/>
      <w:r w:rsidR="009E4138">
        <w:t xml:space="preserve"> (Jackson, 2010 – this is from JEGERSKI’s book)</w:t>
      </w:r>
      <w:r w:rsidR="00394E94">
        <w:t xml:space="preserve"> and a minimum of </w:t>
      </w:r>
      <w:r w:rsidR="009E4138">
        <w:t>1</w:t>
      </w:r>
      <w:r w:rsidR="00394E94">
        <w:t xml:space="preserve">00 </w:t>
      </w:r>
      <w:proofErr w:type="spellStart"/>
      <w:r w:rsidR="00394E94">
        <w:t>ms</w:t>
      </w:r>
      <w:proofErr w:type="spellEnd"/>
      <w:r w:rsidR="00394E94">
        <w:t xml:space="preserve"> </w:t>
      </w:r>
      <w:r w:rsidR="009E4138">
        <w:t>(</w:t>
      </w:r>
      <w:proofErr w:type="spellStart"/>
      <w:r w:rsidR="009E4138">
        <w:t>Luce</w:t>
      </w:r>
      <w:proofErr w:type="spellEnd"/>
      <w:r w:rsidR="009E4138">
        <w:t>, 1986 ---</w:t>
      </w:r>
      <w:proofErr w:type="spellStart"/>
      <w:r w:rsidR="009E4138">
        <w:t>Jegerski’s</w:t>
      </w:r>
      <w:proofErr w:type="spellEnd"/>
      <w:r w:rsidR="009E4138">
        <w:t xml:space="preserve"> book) </w:t>
      </w:r>
      <w:r w:rsidR="00394E94">
        <w:t>was set.</w:t>
      </w:r>
      <w:r w:rsidR="00B4278B">
        <w:t xml:space="preserve"> Values outside of these bounds were replaced with the limit.</w:t>
      </w:r>
      <w:r w:rsidR="004E0F4F">
        <w:t xml:space="preserve"> </w:t>
      </w:r>
      <w:r w:rsidR="00B4278B">
        <w:t xml:space="preserve">A total of 6 values exceeded 6000 </w:t>
      </w:r>
      <w:proofErr w:type="spellStart"/>
      <w:r w:rsidR="00B4278B">
        <w:t>ms</w:t>
      </w:r>
      <w:proofErr w:type="spellEnd"/>
      <w:r w:rsidR="00B4278B">
        <w:t xml:space="preserve"> and 0 values fell below 100 </w:t>
      </w:r>
      <w:proofErr w:type="spellStart"/>
      <w:r w:rsidR="00B4278B">
        <w:t>ms</w:t>
      </w:r>
      <w:proofErr w:type="spellEnd"/>
      <w:r w:rsidR="00B4278B">
        <w:t xml:space="preserve">, accounting for 0.2% and 0% of the data. </w:t>
      </w:r>
      <w:r w:rsidR="004E0F4F">
        <w:t>A</w:t>
      </w:r>
      <w:r w:rsidR="00394E94">
        <w:t>t the individual level,</w:t>
      </w:r>
      <w:r w:rsidR="009E4138">
        <w:t xml:space="preserve"> </w:t>
      </w:r>
      <w:r w:rsidR="00230F09">
        <w:t xml:space="preserve">maximums and minimums were established for each participant at </w:t>
      </w:r>
      <w:r w:rsidR="003547DF">
        <w:t>+</w:t>
      </w:r>
      <w:r w:rsidR="00B4278B">
        <w:t xml:space="preserve">/- </w:t>
      </w:r>
      <w:r w:rsidR="003547DF">
        <w:t>2.5 standard deviations (SDs) from the mean RT</w:t>
      </w:r>
      <w:r w:rsidR="00B4278B">
        <w:t xml:space="preserve">, and these individual limits replaced any value that fell outside of the bounds </w:t>
      </w:r>
      <w:r>
        <w:t>(</w:t>
      </w:r>
      <w:proofErr w:type="spellStart"/>
      <w:r>
        <w:t>Marijuan</w:t>
      </w:r>
      <w:proofErr w:type="spellEnd"/>
      <w:r>
        <w:t>, dissertation)</w:t>
      </w:r>
      <w:r w:rsidR="00B4278B">
        <w:t xml:space="preserve">. A total of 66 values, including the 6 mentioned above, were replaced with the participants’ upper bound, accounting for 2.3% of the data. </w:t>
      </w:r>
      <w:r>
        <w:t xml:space="preserve">This falls within the standard recommended by </w:t>
      </w:r>
      <w:proofErr w:type="spellStart"/>
      <w:r>
        <w:t>Jegerski</w:t>
      </w:r>
      <w:proofErr w:type="spellEnd"/>
      <w:r>
        <w:t xml:space="preserve"> (2014). </w:t>
      </w:r>
    </w:p>
    <w:p w14:paraId="5D518FAC" w14:textId="77777777" w:rsidR="00092A5A" w:rsidRDefault="00092A5A" w:rsidP="004E0F4F">
      <w:pPr>
        <w:shd w:val="clear" w:color="auto" w:fill="FFFFFF"/>
        <w:ind w:firstLine="720"/>
        <w:jc w:val="both"/>
      </w:pPr>
    </w:p>
    <w:p w14:paraId="1D01AB74" w14:textId="77777777" w:rsidR="00092A5A" w:rsidRDefault="00092A5A" w:rsidP="00092A5A">
      <w:pPr>
        <w:shd w:val="clear" w:color="auto" w:fill="FFFFFF"/>
        <w:jc w:val="both"/>
      </w:pPr>
    </w:p>
    <w:p w14:paraId="641B3F2E" w14:textId="77777777" w:rsidR="00092A5A" w:rsidRDefault="00092A5A" w:rsidP="004E0F4F">
      <w:pPr>
        <w:shd w:val="clear" w:color="auto" w:fill="FFFFFF"/>
        <w:ind w:firstLine="720"/>
        <w:jc w:val="both"/>
      </w:pPr>
    </w:p>
    <w:p w14:paraId="0453B0D7" w14:textId="77777777" w:rsidR="00D3733E" w:rsidRPr="00D3733E" w:rsidRDefault="00D3733E" w:rsidP="00394E94">
      <w:pPr>
        <w:shd w:val="clear" w:color="auto" w:fill="FFFFFF"/>
        <w:jc w:val="both"/>
        <w:rPr>
          <w:i/>
        </w:rPr>
      </w:pPr>
      <w:r>
        <w:rPr>
          <w:i/>
        </w:rPr>
        <w:t>Comprehension Check</w:t>
      </w:r>
    </w:p>
    <w:p w14:paraId="19B3D584" w14:textId="77777777" w:rsidR="003862BD" w:rsidRDefault="00D3733E" w:rsidP="003862BD">
      <w:pPr>
        <w:shd w:val="clear" w:color="auto" w:fill="FFFFFF"/>
        <w:jc w:val="both"/>
      </w:pPr>
      <w:r>
        <w:tab/>
      </w:r>
      <w:r w:rsidR="003862BD">
        <w:t xml:space="preserve">After removing outliers, the data was then cleaned with regards to comprehension checks, with a threshold set at 60% accuracy on the </w:t>
      </w:r>
      <w:r w:rsidR="004027DB">
        <w:t>CQ</w:t>
      </w:r>
      <w:r w:rsidR="003862BD">
        <w:t>s (</w:t>
      </w:r>
      <w:proofErr w:type="spellStart"/>
      <w:r w:rsidR="003862BD">
        <w:t>Marijuan</w:t>
      </w:r>
      <w:proofErr w:type="spellEnd"/>
      <w:r w:rsidR="003862BD">
        <w:t xml:space="preserve">, dissertation). All participants met this threshold (5 early bilinguals in Study 1; 14 emergent bilinguals in Study 2). At the item level, sentence-flanker pairs with incorrect </w:t>
      </w:r>
      <w:r w:rsidR="004027DB">
        <w:t>CQ</w:t>
      </w:r>
      <w:r w:rsidR="003862BD">
        <w:t>s were removed from analyses. This accounted for the removal of 6.67% of early bilingual data (10 stimuli pairs distributed across the 5 participants) and 26.19% of emergent bilingual data (110 stimuli pairs across the 14 participants). This left a total of 140 flanker-sentence stimuli pairs for the early bilinguals and 310 pairs for the emergent bilinguals.</w:t>
      </w:r>
    </w:p>
    <w:p w14:paraId="2312DF47" w14:textId="77777777" w:rsidR="00CD4F1E" w:rsidRDefault="00CD4F1E" w:rsidP="003862BD">
      <w:pPr>
        <w:shd w:val="clear" w:color="auto" w:fill="FFFFFF"/>
        <w:jc w:val="both"/>
      </w:pPr>
    </w:p>
    <w:p w14:paraId="260C74B8" w14:textId="77777777" w:rsidR="00394E94" w:rsidRPr="0047398B" w:rsidRDefault="00092A5A" w:rsidP="0047398B">
      <w:pPr>
        <w:rPr>
          <w:i/>
        </w:rPr>
      </w:pPr>
      <w:r w:rsidRPr="00092A5A">
        <w:rPr>
          <w:i/>
        </w:rPr>
        <w:t>Residual Reaction Times</w:t>
      </w:r>
    </w:p>
    <w:p w14:paraId="46E68D16" w14:textId="77777777" w:rsidR="00B46069" w:rsidRDefault="00BF2FDB" w:rsidP="00B46069">
      <w:pPr>
        <w:ind w:firstLine="720"/>
      </w:pPr>
      <w:r>
        <w:t>At this point, r</w:t>
      </w:r>
      <w:r w:rsidR="00175149">
        <w:t xml:space="preserve">esidual RTs </w:t>
      </w:r>
      <w:r>
        <w:t xml:space="preserve">(RRTs) were calculated </w:t>
      </w:r>
      <w:r w:rsidR="00175149">
        <w:t xml:space="preserve">to normalize </w:t>
      </w:r>
      <w:r>
        <w:t xml:space="preserve">the </w:t>
      </w:r>
      <w:r w:rsidR="00175149">
        <w:t>data</w:t>
      </w:r>
      <w:r w:rsidR="0047398B">
        <w:t>, using the RTs of the sentences that the participants comprehended and that complied with the above established criteria</w:t>
      </w:r>
      <w:r w:rsidR="00175149">
        <w:t xml:space="preserve">. This process requires plotting coordinate pairs of </w:t>
      </w:r>
      <w:r>
        <w:t xml:space="preserve">raw </w:t>
      </w:r>
      <w:r w:rsidR="00175149">
        <w:t xml:space="preserve">RTs and the length of the corresponding </w:t>
      </w:r>
      <w:r>
        <w:t>regions</w:t>
      </w:r>
      <w:r w:rsidR="00175149">
        <w:t xml:space="preserve">. </w:t>
      </w:r>
      <w:r>
        <w:t>The</w:t>
      </w:r>
      <w:r w:rsidR="00175149">
        <w:t xml:space="preserve"> line of best fit is then calculated for each participant. </w:t>
      </w:r>
      <w:r>
        <w:t>Th</w:t>
      </w:r>
      <w:r w:rsidR="0047398B">
        <w:t xml:space="preserve">e </w:t>
      </w:r>
      <w:r w:rsidR="00B46069">
        <w:t xml:space="preserve">slope </w:t>
      </w:r>
      <w:r w:rsidR="007A3CD4">
        <w:t>of</w:t>
      </w:r>
      <w:r w:rsidR="00B46069">
        <w:t xml:space="preserve"> </w:t>
      </w:r>
      <w:r w:rsidR="0047398B">
        <w:t>this line reflects the average reading time at different word lengths, and the y-intercept represents the baseline</w:t>
      </w:r>
      <w:r w:rsidR="00B46069">
        <w:t xml:space="preserve"> reading time for each word, once differences of length are factored out.</w:t>
      </w:r>
      <w:r w:rsidR="0047398B">
        <w:t xml:space="preserve"> </w:t>
      </w:r>
      <w:r w:rsidR="00B46069">
        <w:t xml:space="preserve">This information is used to </w:t>
      </w:r>
      <w:r>
        <w:t xml:space="preserve">generate an expected RT for a region based on the number of letters in that region. </w:t>
      </w:r>
      <w:r w:rsidR="00175149">
        <w:t xml:space="preserve">The expected RT is subtracted from the actual reading time, resulting in </w:t>
      </w:r>
      <w:r>
        <w:t>the</w:t>
      </w:r>
      <w:r w:rsidR="00175149">
        <w:t xml:space="preserve"> </w:t>
      </w:r>
      <w:r>
        <w:t xml:space="preserve">RRT. Positive RRTs reflect a region read slower than expected; negative RRTs reflect regions read faster than expected. </w:t>
      </w:r>
      <w:r w:rsidR="00067887">
        <w:t>The aggregate RRT means for each analogous region were then calculated.</w:t>
      </w:r>
    </w:p>
    <w:p w14:paraId="15BF6175" w14:textId="77777777" w:rsidR="00993F11" w:rsidRDefault="00993F11"/>
    <w:p w14:paraId="6A0A7E86" w14:textId="77777777" w:rsidR="005F4F1E" w:rsidRDefault="00E66F5F">
      <w:r>
        <w:rPr>
          <w:i/>
        </w:rPr>
        <w:t>EIT Scoring</w:t>
      </w:r>
    </w:p>
    <w:p w14:paraId="2FA4BD49" w14:textId="77777777" w:rsidR="009B24D5" w:rsidRPr="00CE3F14" w:rsidRDefault="00E66F5F">
      <w:pPr>
        <w:rPr>
          <w:strike/>
        </w:rPr>
      </w:pPr>
      <w:r>
        <w:tab/>
      </w:r>
      <w:r w:rsidR="004034AA">
        <w:t>The elicited imitation test includes 30 sentences of increasing length and complexity</w:t>
      </w:r>
      <w:r w:rsidR="005812F5">
        <w:t xml:space="preserve">, each of which is scored from 0 to 4 </w:t>
      </w:r>
      <w:r w:rsidR="004034AA">
        <w:t>(Ortega, 2000)</w:t>
      </w:r>
      <w:r w:rsidR="005812F5">
        <w:t xml:space="preserve">. </w:t>
      </w:r>
      <w:r w:rsidR="00F93510">
        <w:t>A research assistant scored the recordings of the EITs. Before scoring the participants from this study, the researcher and research assistant independently scored two EITs collected for a previous study. After this first round,</w:t>
      </w:r>
      <w:r w:rsidR="004A6B14">
        <w:t xml:space="preserve"> </w:t>
      </w:r>
      <w:r w:rsidR="009B24D5">
        <w:t xml:space="preserve">Cohen’s </w:t>
      </w:r>
      <w:r w:rsidR="002C01F0">
        <w:lastRenderedPageBreak/>
        <w:t>k</w:t>
      </w:r>
      <w:r w:rsidR="009B24D5">
        <w:t>appa (</w:t>
      </w:r>
      <w:r w:rsidR="009B24D5" w:rsidRPr="009B24D5">
        <w:t>κ</w:t>
      </w:r>
      <w:r w:rsidR="009B24D5">
        <w:t xml:space="preserve">) </w:t>
      </w:r>
      <w:r w:rsidR="00F93510">
        <w:t xml:space="preserve">was </w:t>
      </w:r>
      <w:r w:rsidR="009B24D5">
        <w:t xml:space="preserve">run to determine the extent of agreement between the two coders. </w:t>
      </w:r>
      <w:r w:rsidR="002C01F0">
        <w:t>Following recommendations from Cohen (1960) and Lowry (2019),</w:t>
      </w:r>
      <w:r w:rsidR="000A5FFE">
        <w:t xml:space="preserve"> linear weighting was used to account for the fact that the scores awarded were ordinal (increasing scores represent increasingly more successful production of the target), and</w:t>
      </w:r>
      <w:r w:rsidR="002C01F0">
        <w:t xml:space="preserve"> </w:t>
      </w:r>
      <w:r w:rsidR="000A5FFE">
        <w:t>the</w:t>
      </w:r>
      <w:r w:rsidR="002C01F0">
        <w:t xml:space="preserve"> </w:t>
      </w:r>
      <w:r w:rsidR="000A5FFE">
        <w:t xml:space="preserve">reported kappa is observed as a proportion of the maximum </w:t>
      </w:r>
      <w:r w:rsidR="002C01F0">
        <w:t>possible kappa</w:t>
      </w:r>
      <w:r w:rsidR="000A5FFE">
        <w:t xml:space="preserve"> given the marginal frequencies (this is recommended in cases when raters are not limited to a certain number of ratings per category). </w:t>
      </w:r>
      <w:r w:rsidR="009B24D5">
        <w:t>Concordan</w:t>
      </w:r>
      <w:r w:rsidR="00B0739D">
        <w:t>ce</w:t>
      </w:r>
      <w:r w:rsidR="009B24D5">
        <w:t xml:space="preserve"> was moderate between the two raters, </w:t>
      </w:r>
      <w:r w:rsidR="009B24D5" w:rsidRPr="009B24D5">
        <w:t>κ</w:t>
      </w:r>
      <w:r w:rsidR="003862BD">
        <w:rPr>
          <w:vertAlign w:val="subscript"/>
        </w:rPr>
        <w:t xml:space="preserve"> </w:t>
      </w:r>
      <w:r w:rsidR="004A6B14">
        <w:rPr>
          <w:vertAlign w:val="subscript"/>
        </w:rPr>
        <w:t>w</w:t>
      </w:r>
      <w:r w:rsidR="009B24D5">
        <w:t xml:space="preserve"> = 0</w:t>
      </w:r>
      <w:r w:rsidR="00F93510">
        <w:t>.</w:t>
      </w:r>
      <w:r w:rsidR="000A5FFE">
        <w:t>7024</w:t>
      </w:r>
      <w:r w:rsidR="004A6B14">
        <w:t xml:space="preserve"> (</w:t>
      </w:r>
      <w:r w:rsidR="009B24D5">
        <w:t>95% CI, 0.196 to 0.521)</w:t>
      </w:r>
      <w:r w:rsidR="004A6B14">
        <w:t xml:space="preserve">, SE = 0.0622. Disagreements were discussed one by one until </w:t>
      </w:r>
      <w:r w:rsidR="00B0739D">
        <w:t>a consensus was reached</w:t>
      </w:r>
      <w:r w:rsidR="004A6B14">
        <w:t>. After this, the two raters individually scored recordings from the first two participants from Study 2. Cohen’s Kappa was calculated again and a much higher rate of agreement was found</w:t>
      </w:r>
      <w:r w:rsidR="00B0739D">
        <w:t xml:space="preserve">, </w:t>
      </w:r>
      <w:r w:rsidR="004A6B14" w:rsidRPr="009B24D5">
        <w:t>κ</w:t>
      </w:r>
      <w:r w:rsidR="003862BD">
        <w:rPr>
          <w:vertAlign w:val="subscript"/>
        </w:rPr>
        <w:t xml:space="preserve"> </w:t>
      </w:r>
      <w:r w:rsidR="00B0739D">
        <w:rPr>
          <w:vertAlign w:val="subscript"/>
        </w:rPr>
        <w:t>w</w:t>
      </w:r>
      <w:r w:rsidR="00B0739D">
        <w:t xml:space="preserve"> </w:t>
      </w:r>
      <w:r w:rsidR="004A6B14">
        <w:t xml:space="preserve">= </w:t>
      </w:r>
      <w:r w:rsidR="00B0739D">
        <w:t xml:space="preserve">0.9472 (95% CI, 0.8091 to 0.9463), SE = 0.035. This is considered excellent by Fleiss (1981) and almost perfect agreement by Landis and Koch (1977). Following the second round of independent scoring, the research assistant scored the remainder of Study 2 participants’ recordings. </w:t>
      </w:r>
      <w:r w:rsidR="00905A50" w:rsidRPr="00CE3F14">
        <w:rPr>
          <w:strike/>
          <w:highlight w:val="yellow"/>
        </w:rPr>
        <w:t>Because one of the three participants from the highest level of classroom Spanish was a native bilingual, only two remained in this group. Following the analyses of the EIT scores, one of these two Oral Review students had a EIT score lower than most students in the advanced level and one of the three students from the intermediate level. Because removing this participant would result in t was determined to exclude Oral Review from analyses.</w:t>
      </w:r>
      <w:r w:rsidR="00905A50" w:rsidRPr="00CE3F14">
        <w:rPr>
          <w:strike/>
        </w:rPr>
        <w:t xml:space="preserve"> </w:t>
      </w:r>
    </w:p>
    <w:p w14:paraId="5DFE74DB" w14:textId="77777777" w:rsidR="00B0739D" w:rsidRDefault="00B0739D"/>
    <w:p w14:paraId="05D5DF83" w14:textId="77777777" w:rsidR="00B0739D" w:rsidRDefault="00B0739D"/>
    <w:p w14:paraId="78EC51EB" w14:textId="77777777" w:rsidR="00B0739D" w:rsidRDefault="00B0739D"/>
    <w:p w14:paraId="1D0FA074" w14:textId="77777777" w:rsidR="00B0739D" w:rsidRDefault="00B0739D"/>
    <w:p w14:paraId="7B8B542F" w14:textId="77777777" w:rsidR="00B0739D" w:rsidRDefault="00B0739D"/>
    <w:p w14:paraId="2B298B4F" w14:textId="77777777" w:rsidR="00B0739D" w:rsidRDefault="00B0739D"/>
    <w:p w14:paraId="73D20F77" w14:textId="77777777" w:rsidR="005812F5" w:rsidRDefault="005812F5"/>
    <w:p w14:paraId="5CA84A28" w14:textId="77777777" w:rsidR="005812F5" w:rsidRDefault="005812F5"/>
    <w:p w14:paraId="3F31B92C" w14:textId="77777777" w:rsidR="00DA2BB0" w:rsidRDefault="00DA2BB0"/>
    <w:p w14:paraId="7199A240" w14:textId="77777777" w:rsidR="00DA2BB0" w:rsidRDefault="00DA2BB0"/>
    <w:p w14:paraId="2DF26637" w14:textId="77777777" w:rsidR="00DA2BB0" w:rsidRDefault="00DA2BB0"/>
    <w:p w14:paraId="47481449" w14:textId="77777777" w:rsidR="005F4F1E" w:rsidRDefault="005F4F1E"/>
    <w:p w14:paraId="333F1939" w14:textId="77777777" w:rsidR="005F4F1E" w:rsidRDefault="005F4F1E" w:rsidP="005F4F1E">
      <w:pPr>
        <w:ind w:left="720"/>
      </w:pPr>
      <w:r>
        <w:t>EIT FROM ARIEL</w:t>
      </w:r>
    </w:p>
    <w:p w14:paraId="16B77E58" w14:textId="77777777" w:rsidR="005F4F1E" w:rsidRPr="00611138" w:rsidRDefault="005F4F1E" w:rsidP="005F4F1E">
      <w:pPr>
        <w:ind w:left="720"/>
      </w:pPr>
      <w:r w:rsidRPr="00114085">
        <w:t xml:space="preserve">The test produces a score on a scale from 0 to 120 (see Appendix D for scoring protocol). Due to the subjective nature of the scoring protocol, the EIT was coded by three independent raters. To ensure interrater reliability, first, each rater scored the responses from the same three EITs using the scoring protocol from Ortega (2000) (see Appendix D). The raters then compared their scores and, where discrepancies arose, arguments for choosing the scores were discussed, scoring was clarified, and a consensus was made as to the most appropriate score. Based on the results from this process, three more EITs were chosen and each rater scored them. Once again, results were compared and interrater reliability was calculated by totaling the number of items where discrepancy arose divided by the total number of items, reaching an interrater reliability score of 86.67%. Table 3 presents the descriptive statistics for EIT scores for the four initial recruitment groups, second-semester, fourth-semester, sixth-semester, and advanced. Three participants, all from second-semester, were removed from the study due to lack of an EIT score after their answers failed to be recorded, one participant was removed from the advanced group for being a heritage learner, and one participant was removed from </w:t>
      </w:r>
      <w:r w:rsidRPr="00114085">
        <w:lastRenderedPageBreak/>
        <w:t xml:space="preserve">the sixth-semester group as she reported a language other than English as her L1 and did not begin to study English until high school. This yielded a total L2 learner group of 90 participants. A one-way ANOVA and subsequent post hoc </w:t>
      </w:r>
      <w:proofErr w:type="spellStart"/>
      <w:r w:rsidRPr="00114085">
        <w:t>Scheffé</w:t>
      </w:r>
      <w:proofErr w:type="spellEnd"/>
      <w:r w:rsidRPr="00114085">
        <w:t xml:space="preserve"> showed a significant difference between all four groups on the EIT, F(3,83) = 84.71, p = .000 (η2 = .76, observed power = 1.00), with a large effect size between groups15 . Due to the overlap between the large ranges of scores for L2 groups, participants from the original recruitment were redistributed into four new groups based on percentile scores for the EIT. Four evenly distributed groups of EIT scores were established based on the 25th (n=22, </w:t>
      </w:r>
      <w:r w:rsidRPr="00611138">
        <w:t xml:space="preserve">range 10-45), 50th (n=23, range 46-83), 75th (n=23, range 84-111), and 100th (n=22, range 112- 120) percentiles. A one-way ANOVA showed that there was a significant difference by percentile group, F(3,83)=393.24, p=.000, partial ŋ2 =0.93, with a large effect size, and the post hoc </w:t>
      </w:r>
      <w:proofErr w:type="spellStart"/>
      <w:r w:rsidRPr="00611138">
        <w:t>Scheffé</w:t>
      </w:r>
      <w:proofErr w:type="spellEnd"/>
      <w:r w:rsidRPr="00611138">
        <w:t xml:space="preserve"> test indicated that all four percentile groups performed significantly different. In order to create a clear distinction in proficiency between each group, group boundaries were established so that the highest score of one group was not within one point of the lowest score of the next group, using the percentile group boundaries as a starting point. This yielded the range of proficiency scores for the four L2 learner groups presented in Table 4. A one-way ANOVA found a significant effect by group for the EIT scores, F(4,119) = 637.57, p=.000, partial ŋ2 =0.95, with a large effect size. A post hoc </w:t>
      </w:r>
      <w:proofErr w:type="spellStart"/>
      <w:r w:rsidRPr="00611138">
        <w:t>Scheffé</w:t>
      </w:r>
      <w:proofErr w:type="spellEnd"/>
      <w:r w:rsidRPr="00611138">
        <w:t xml:space="preserve"> test indicated that all four participant groups are significantly different from one another, but the high advanced group was not significantly different from total possible score, as indicated with indices in Table 4, where non-matching indices indicate significant differences at p&lt;0.05.</w:t>
      </w:r>
    </w:p>
    <w:p w14:paraId="1876B942" w14:textId="77777777" w:rsidR="005F4F1E" w:rsidRPr="00E32505" w:rsidRDefault="005F4F1E"/>
    <w:p w14:paraId="1DADD0CD" w14:textId="77777777" w:rsidR="004939D2" w:rsidRPr="00E32505" w:rsidRDefault="004939D2"/>
    <w:p w14:paraId="0DCBA1FE" w14:textId="77777777" w:rsidR="00FC53FA" w:rsidRDefault="00FC53FA">
      <w:r>
        <w:br w:type="page"/>
      </w:r>
    </w:p>
    <w:p w14:paraId="30300850" w14:textId="672B93A2" w:rsidR="00E32505" w:rsidRPr="00E32505" w:rsidRDefault="00E32505">
      <w:bookmarkStart w:id="7" w:name="Results"/>
      <w:r w:rsidRPr="00E32505">
        <w:lastRenderedPageBreak/>
        <w:t>Results &amp; Analyses</w:t>
      </w:r>
    </w:p>
    <w:bookmarkEnd w:id="7"/>
    <w:p w14:paraId="3C8BD0E5" w14:textId="77777777" w:rsidR="00DC7040" w:rsidRPr="003862BD" w:rsidRDefault="00DC7040" w:rsidP="00DC7040">
      <w:pPr>
        <w:rPr>
          <w:i/>
        </w:rPr>
      </w:pPr>
      <w:r w:rsidRPr="003925CD">
        <w:rPr>
          <w:i/>
        </w:rPr>
        <w:t>Study 1</w:t>
      </w:r>
    </w:p>
    <w:p w14:paraId="3DBBB59C" w14:textId="77777777" w:rsidR="00E32505" w:rsidRPr="00E32505" w:rsidRDefault="00E32505"/>
    <w:p w14:paraId="716BB0CD" w14:textId="6BEF0A56" w:rsidR="001C35D4" w:rsidRDefault="001C35D4" w:rsidP="003862BD">
      <w:pPr>
        <w:rPr>
          <w:i/>
        </w:rPr>
      </w:pPr>
      <w:r>
        <w:rPr>
          <w:i/>
        </w:rPr>
        <w:t xml:space="preserve">Comprehension </w:t>
      </w:r>
    </w:p>
    <w:p w14:paraId="52E1C888" w14:textId="77777777" w:rsidR="003862BD" w:rsidRDefault="003862BD" w:rsidP="003862BD">
      <w:pPr>
        <w:shd w:val="clear" w:color="auto" w:fill="FFFFFF"/>
        <w:ind w:firstLine="720"/>
        <w:jc w:val="both"/>
      </w:pPr>
      <w:r>
        <w:t xml:space="preserve">For the </w:t>
      </w:r>
      <w:r w:rsidR="004027DB">
        <w:t>CQ</w:t>
      </w:r>
      <w:r>
        <w:t>s that followed each stimulus, early bilinguals responded correctly on 93.33% of the questions (Range: 90.0</w:t>
      </w:r>
      <w:r w:rsidR="00AB36C4">
        <w:t>0</w:t>
      </w:r>
      <w:r>
        <w:t>% to 96.67%</w:t>
      </w:r>
      <w:r w:rsidR="00AB36C4">
        <w:t>). In terms of transitivity, early bilinguals responded correctly to</w:t>
      </w:r>
      <w:r w:rsidR="004027DB">
        <w:t xml:space="preserve"> CQs</w:t>
      </w:r>
      <w:r w:rsidR="00AB36C4">
        <w:t xml:space="preserve"> </w:t>
      </w:r>
      <w:r w:rsidR="004027DB">
        <w:t xml:space="preserve">for </w:t>
      </w:r>
      <w:r w:rsidR="00AB36C4">
        <w:t>9</w:t>
      </w:r>
      <w:r w:rsidR="004027DB">
        <w:t>2.00</w:t>
      </w:r>
      <w:r w:rsidR="00AB36C4">
        <w:t>% of transitive sentences and</w:t>
      </w:r>
      <w:r w:rsidR="004027DB">
        <w:t xml:space="preserve"> for</w:t>
      </w:r>
      <w:r w:rsidR="00AB36C4">
        <w:t xml:space="preserve"> 9</w:t>
      </w:r>
      <w:r w:rsidR="004027DB">
        <w:t>6</w:t>
      </w:r>
      <w:r w:rsidR="00AB36C4">
        <w:t>.</w:t>
      </w:r>
      <w:r w:rsidR="004027DB">
        <w:t>00</w:t>
      </w:r>
      <w:r w:rsidR="00AB36C4">
        <w:t>% of intransitive sentences.</w:t>
      </w:r>
    </w:p>
    <w:p w14:paraId="3AD6EC76" w14:textId="04C5BCAE" w:rsidR="003862BD" w:rsidRDefault="003862BD" w:rsidP="00DC7040">
      <w:pPr>
        <w:shd w:val="clear" w:color="auto" w:fill="FFFFFF"/>
        <w:jc w:val="both"/>
      </w:pPr>
    </w:p>
    <w:p w14:paraId="7F24BE58" w14:textId="77777777" w:rsidR="00DC7040" w:rsidRPr="001C35D4" w:rsidRDefault="00DC7040" w:rsidP="00DC7040">
      <w:pPr>
        <w:shd w:val="clear" w:color="auto" w:fill="FFFFFF"/>
        <w:jc w:val="both"/>
        <w:rPr>
          <w:i/>
        </w:rPr>
      </w:pPr>
      <w:r>
        <w:rPr>
          <w:i/>
        </w:rPr>
        <w:t>Latency in reading times</w:t>
      </w:r>
    </w:p>
    <w:p w14:paraId="3FA72C48" w14:textId="77777777" w:rsidR="00DC7040" w:rsidRDefault="00DC7040" w:rsidP="00DC7040">
      <w:pPr>
        <w:ind w:firstLine="720"/>
      </w:pPr>
      <w:r>
        <w:t xml:space="preserve">Separate repeated-measures analyses of variance (ANOVAs) were conducted for the regions of interest of transitivity, following </w:t>
      </w:r>
      <w:proofErr w:type="spellStart"/>
      <w:r>
        <w:t>Jegerski</w:t>
      </w:r>
      <w:proofErr w:type="spellEnd"/>
      <w:r>
        <w:t xml:space="preserve"> (2012): Regions 3, 4 and 5. A repeated-measures ANOVA was also conducted for Region 1 to assess whether the preceding non-linguistic conflict played a role in the first region of the linguistic trial. Because the pilot study only included unambiguous sentences that were preceded by incongruent flanker trials, the analyses included one independent variable, trial condition, with three levels ([+ambiguous, +incongruent], [+ambiguous, +congruent], [+unambiguous, +incongruent]). For the analyses by subjects (F</w:t>
      </w:r>
      <w:r w:rsidRPr="00693DD5">
        <w:rPr>
          <w:vertAlign w:val="subscript"/>
        </w:rPr>
        <w:t>1</w:t>
      </w:r>
      <w:r>
        <w:t>), subject was the random factor and the within-subjects factor was condition of the flanker-sentence pairs, as listed above. For the analyses by item (F</w:t>
      </w:r>
      <w:r w:rsidRPr="00693DD5">
        <w:rPr>
          <w:vertAlign w:val="subscript"/>
        </w:rPr>
        <w:t>2</w:t>
      </w:r>
      <w:r>
        <w:t xml:space="preserve">), item was the random factor and flanker-sentence condition was the within-subjects factor. </w:t>
      </w:r>
    </w:p>
    <w:p w14:paraId="0B5A98CE" w14:textId="77777777" w:rsidR="00DC7040" w:rsidRPr="000607DE" w:rsidRDefault="00DC7040" w:rsidP="00DC7040">
      <w:pPr>
        <w:ind w:firstLine="720"/>
      </w:pPr>
      <w:r>
        <w:t>The repeated-measures ANOVAs, with a Greenhouse-</w:t>
      </w:r>
      <w:proofErr w:type="spellStart"/>
      <w:r>
        <w:t>Geisser</w:t>
      </w:r>
      <w:proofErr w:type="spellEnd"/>
      <w:r>
        <w:t xml:space="preserve"> correction when sphericity was not assumed, determined that participant mean RRTs did not differ significantly across the three conditions in any of the four regions analyzed. The repeated-measures ANOVAs also revealed that item means did not differ significantly across the three conditions in these four regions. These results are reported in Table XXXXX.</w:t>
      </w:r>
    </w:p>
    <w:p w14:paraId="2DA4D7BA" w14:textId="77777777" w:rsidR="00DC7040" w:rsidRDefault="00DC7040" w:rsidP="00DC7040">
      <w:pPr>
        <w:ind w:firstLine="720"/>
      </w:pPr>
    </w:p>
    <w:p w14:paraId="27F4B996" w14:textId="77777777" w:rsidR="00DC7040" w:rsidRDefault="00DC7040" w:rsidP="00DC7040">
      <w:pPr>
        <w:rPr>
          <w:i/>
        </w:rPr>
      </w:pPr>
    </w:p>
    <w:p w14:paraId="7280801D" w14:textId="77777777" w:rsidR="00DC7040" w:rsidRDefault="00DC7040" w:rsidP="00DC7040">
      <w:r>
        <w:t>Table XXXXX</w:t>
      </w:r>
    </w:p>
    <w:p w14:paraId="46BFC375" w14:textId="77777777" w:rsidR="00DC7040" w:rsidRDefault="00DC7040" w:rsidP="00DC7040"/>
    <w:tbl>
      <w:tblPr>
        <w:tblStyle w:val="TableGrid"/>
        <w:tblW w:w="0" w:type="auto"/>
        <w:tblLayout w:type="fixed"/>
        <w:tblLook w:val="04A0" w:firstRow="1" w:lastRow="0" w:firstColumn="1" w:lastColumn="0" w:noHBand="0" w:noVBand="1"/>
      </w:tblPr>
      <w:tblGrid>
        <w:gridCol w:w="2110"/>
        <w:gridCol w:w="1125"/>
        <w:gridCol w:w="831"/>
        <w:gridCol w:w="832"/>
        <w:gridCol w:w="832"/>
        <w:gridCol w:w="1105"/>
        <w:gridCol w:w="838"/>
        <w:gridCol w:w="838"/>
        <w:gridCol w:w="839"/>
      </w:tblGrid>
      <w:tr w:rsidR="00DC7040" w14:paraId="6A25AF68" w14:textId="77777777" w:rsidTr="00C307F1">
        <w:tc>
          <w:tcPr>
            <w:tcW w:w="2110" w:type="dxa"/>
          </w:tcPr>
          <w:p w14:paraId="45BA4123" w14:textId="77777777" w:rsidR="00DC7040" w:rsidRDefault="00DC7040" w:rsidP="00C307F1"/>
        </w:tc>
        <w:tc>
          <w:tcPr>
            <w:tcW w:w="3620" w:type="dxa"/>
            <w:gridSpan w:val="4"/>
          </w:tcPr>
          <w:p w14:paraId="1561A932" w14:textId="77777777" w:rsidR="00DC7040" w:rsidRDefault="00DC7040" w:rsidP="00C307F1">
            <w:pPr>
              <w:jc w:val="center"/>
            </w:pPr>
            <w:r>
              <w:t>By subjects</w:t>
            </w:r>
          </w:p>
        </w:tc>
        <w:tc>
          <w:tcPr>
            <w:tcW w:w="3620" w:type="dxa"/>
            <w:gridSpan w:val="4"/>
          </w:tcPr>
          <w:p w14:paraId="5EA48F98" w14:textId="77777777" w:rsidR="00DC7040" w:rsidRDefault="00DC7040" w:rsidP="00C307F1">
            <w:pPr>
              <w:jc w:val="center"/>
            </w:pPr>
            <w:r>
              <w:t>By items</w:t>
            </w:r>
          </w:p>
        </w:tc>
      </w:tr>
      <w:tr w:rsidR="00DC7040" w14:paraId="05FB9320" w14:textId="77777777" w:rsidTr="00C307F1">
        <w:tc>
          <w:tcPr>
            <w:tcW w:w="2110" w:type="dxa"/>
          </w:tcPr>
          <w:p w14:paraId="42C705EB" w14:textId="77777777" w:rsidR="00DC7040" w:rsidRDefault="00DC7040" w:rsidP="00C307F1"/>
        </w:tc>
        <w:tc>
          <w:tcPr>
            <w:tcW w:w="1125" w:type="dxa"/>
          </w:tcPr>
          <w:p w14:paraId="683AD9BE" w14:textId="77777777" w:rsidR="00DC7040" w:rsidRPr="0034240B" w:rsidRDefault="00DC7040" w:rsidP="00C307F1">
            <w:pPr>
              <w:jc w:val="center"/>
              <w:rPr>
                <w:i/>
              </w:rPr>
            </w:pPr>
            <w:proofErr w:type="spellStart"/>
            <w:r>
              <w:rPr>
                <w:i/>
              </w:rPr>
              <w:t>d</w:t>
            </w:r>
            <w:r w:rsidRPr="0034240B">
              <w:rPr>
                <w:i/>
              </w:rPr>
              <w:t>f</w:t>
            </w:r>
            <w:proofErr w:type="spellEnd"/>
            <w:r>
              <w:rPr>
                <w:i/>
              </w:rPr>
              <w:t xml:space="preserve"> </w:t>
            </w:r>
          </w:p>
        </w:tc>
        <w:tc>
          <w:tcPr>
            <w:tcW w:w="831" w:type="dxa"/>
          </w:tcPr>
          <w:p w14:paraId="34C031E7" w14:textId="77777777" w:rsidR="00DC7040" w:rsidRPr="0034240B" w:rsidRDefault="00DC7040" w:rsidP="00C307F1">
            <w:pPr>
              <w:jc w:val="center"/>
              <w:rPr>
                <w:i/>
              </w:rPr>
            </w:pPr>
            <w:r w:rsidRPr="0034240B">
              <w:rPr>
                <w:i/>
              </w:rPr>
              <w:t>F</w:t>
            </w:r>
            <w:r w:rsidRPr="0034240B">
              <w:rPr>
                <w:i/>
                <w:vertAlign w:val="subscript"/>
              </w:rPr>
              <w:t>1</w:t>
            </w:r>
          </w:p>
        </w:tc>
        <w:tc>
          <w:tcPr>
            <w:tcW w:w="832" w:type="dxa"/>
          </w:tcPr>
          <w:p w14:paraId="4C4749A0" w14:textId="77777777" w:rsidR="00DC7040" w:rsidRPr="0034240B" w:rsidRDefault="00DC7040" w:rsidP="00C307F1">
            <w:pPr>
              <w:jc w:val="center"/>
              <w:rPr>
                <w:i/>
              </w:rPr>
            </w:pPr>
            <w:r w:rsidRPr="0034240B">
              <w:rPr>
                <w:i/>
              </w:rPr>
              <w:t>p</w:t>
            </w:r>
          </w:p>
        </w:tc>
        <w:tc>
          <w:tcPr>
            <w:tcW w:w="832" w:type="dxa"/>
          </w:tcPr>
          <w:p w14:paraId="65E06FBD" w14:textId="77777777" w:rsidR="00DC7040" w:rsidRPr="0034240B" w:rsidRDefault="00DC7040" w:rsidP="00C307F1">
            <w:pPr>
              <w:jc w:val="center"/>
              <w:rPr>
                <w:i/>
              </w:rPr>
            </w:pPr>
            <w:r w:rsidRPr="00CD080C">
              <w:rPr>
                <w:i/>
              </w:rPr>
              <w:t>η</w:t>
            </w:r>
            <w:r w:rsidRPr="00CD080C">
              <w:rPr>
                <w:i/>
                <w:vertAlign w:val="subscript"/>
              </w:rPr>
              <w:t>p</w:t>
            </w:r>
            <w:r w:rsidRPr="00CD080C">
              <w:rPr>
                <w:i/>
              </w:rPr>
              <w:t>²</w:t>
            </w:r>
          </w:p>
        </w:tc>
        <w:tc>
          <w:tcPr>
            <w:tcW w:w="1105" w:type="dxa"/>
          </w:tcPr>
          <w:p w14:paraId="6E2BA616" w14:textId="77777777" w:rsidR="00DC7040" w:rsidRPr="0034240B" w:rsidRDefault="00DC7040" w:rsidP="00C307F1">
            <w:pPr>
              <w:jc w:val="center"/>
              <w:rPr>
                <w:i/>
              </w:rPr>
            </w:pPr>
            <w:proofErr w:type="spellStart"/>
            <w:r w:rsidRPr="0034240B">
              <w:rPr>
                <w:i/>
              </w:rPr>
              <w:t>df</w:t>
            </w:r>
            <w:proofErr w:type="spellEnd"/>
          </w:p>
        </w:tc>
        <w:tc>
          <w:tcPr>
            <w:tcW w:w="838" w:type="dxa"/>
          </w:tcPr>
          <w:p w14:paraId="1B8F8092" w14:textId="77777777" w:rsidR="00DC7040" w:rsidRPr="0034240B" w:rsidRDefault="00DC7040" w:rsidP="00C307F1">
            <w:pPr>
              <w:jc w:val="center"/>
              <w:rPr>
                <w:i/>
              </w:rPr>
            </w:pPr>
            <w:r w:rsidRPr="0034240B">
              <w:rPr>
                <w:i/>
              </w:rPr>
              <w:t>F</w:t>
            </w:r>
            <w:r>
              <w:rPr>
                <w:i/>
                <w:vertAlign w:val="subscript"/>
              </w:rPr>
              <w:t>2</w:t>
            </w:r>
          </w:p>
        </w:tc>
        <w:tc>
          <w:tcPr>
            <w:tcW w:w="838" w:type="dxa"/>
          </w:tcPr>
          <w:p w14:paraId="6B442E23" w14:textId="77777777" w:rsidR="00DC7040" w:rsidRPr="0034240B" w:rsidRDefault="00DC7040" w:rsidP="00C307F1">
            <w:pPr>
              <w:jc w:val="center"/>
              <w:rPr>
                <w:i/>
              </w:rPr>
            </w:pPr>
            <w:r w:rsidRPr="0034240B">
              <w:rPr>
                <w:i/>
              </w:rPr>
              <w:t>p</w:t>
            </w:r>
          </w:p>
        </w:tc>
        <w:tc>
          <w:tcPr>
            <w:tcW w:w="839" w:type="dxa"/>
          </w:tcPr>
          <w:p w14:paraId="31AAF166" w14:textId="77777777" w:rsidR="00DC7040" w:rsidRPr="0034240B" w:rsidRDefault="00DC7040" w:rsidP="00C307F1">
            <w:pPr>
              <w:jc w:val="center"/>
              <w:rPr>
                <w:i/>
              </w:rPr>
            </w:pPr>
            <w:r w:rsidRPr="00CD080C">
              <w:rPr>
                <w:i/>
              </w:rPr>
              <w:t>η</w:t>
            </w:r>
            <w:r w:rsidRPr="00CD080C">
              <w:rPr>
                <w:i/>
                <w:vertAlign w:val="subscript"/>
              </w:rPr>
              <w:t>p</w:t>
            </w:r>
            <w:r w:rsidRPr="00CD080C">
              <w:rPr>
                <w:i/>
              </w:rPr>
              <w:t>²</w:t>
            </w:r>
          </w:p>
        </w:tc>
      </w:tr>
      <w:tr w:rsidR="00DC7040" w14:paraId="0EC74C68" w14:textId="77777777" w:rsidTr="00C307F1">
        <w:tc>
          <w:tcPr>
            <w:tcW w:w="2110" w:type="dxa"/>
          </w:tcPr>
          <w:p w14:paraId="1F47E787" w14:textId="77777777" w:rsidR="00DC7040" w:rsidRDefault="00DC7040" w:rsidP="00C307F1">
            <w:r>
              <w:t>Region 1</w:t>
            </w:r>
          </w:p>
        </w:tc>
        <w:tc>
          <w:tcPr>
            <w:tcW w:w="1125" w:type="dxa"/>
          </w:tcPr>
          <w:p w14:paraId="2489E2A9" w14:textId="77777777" w:rsidR="00DC7040" w:rsidRDefault="00DC7040" w:rsidP="00C307F1"/>
        </w:tc>
        <w:tc>
          <w:tcPr>
            <w:tcW w:w="831" w:type="dxa"/>
          </w:tcPr>
          <w:p w14:paraId="58C94536" w14:textId="77777777" w:rsidR="00DC7040" w:rsidRDefault="00DC7040" w:rsidP="00C307F1"/>
        </w:tc>
        <w:tc>
          <w:tcPr>
            <w:tcW w:w="832" w:type="dxa"/>
          </w:tcPr>
          <w:p w14:paraId="3C70FDF6" w14:textId="77777777" w:rsidR="00DC7040" w:rsidRDefault="00DC7040" w:rsidP="00C307F1"/>
        </w:tc>
        <w:tc>
          <w:tcPr>
            <w:tcW w:w="832" w:type="dxa"/>
          </w:tcPr>
          <w:p w14:paraId="55CB9BEF" w14:textId="77777777" w:rsidR="00DC7040" w:rsidRDefault="00DC7040" w:rsidP="00C307F1"/>
        </w:tc>
        <w:tc>
          <w:tcPr>
            <w:tcW w:w="1105" w:type="dxa"/>
          </w:tcPr>
          <w:p w14:paraId="7F2A0A4B" w14:textId="77777777" w:rsidR="00DC7040" w:rsidRDefault="00DC7040" w:rsidP="00C307F1"/>
        </w:tc>
        <w:tc>
          <w:tcPr>
            <w:tcW w:w="838" w:type="dxa"/>
          </w:tcPr>
          <w:p w14:paraId="0AD9E3B9" w14:textId="77777777" w:rsidR="00DC7040" w:rsidRDefault="00DC7040" w:rsidP="00C307F1"/>
        </w:tc>
        <w:tc>
          <w:tcPr>
            <w:tcW w:w="838" w:type="dxa"/>
          </w:tcPr>
          <w:p w14:paraId="6401E913" w14:textId="77777777" w:rsidR="00DC7040" w:rsidRDefault="00DC7040" w:rsidP="00C307F1"/>
        </w:tc>
        <w:tc>
          <w:tcPr>
            <w:tcW w:w="839" w:type="dxa"/>
          </w:tcPr>
          <w:p w14:paraId="385778EF" w14:textId="77777777" w:rsidR="00DC7040" w:rsidRDefault="00DC7040" w:rsidP="00C307F1"/>
        </w:tc>
      </w:tr>
      <w:tr w:rsidR="00DC7040" w14:paraId="13A8335D" w14:textId="77777777" w:rsidTr="00C307F1">
        <w:tc>
          <w:tcPr>
            <w:tcW w:w="2110" w:type="dxa"/>
          </w:tcPr>
          <w:p w14:paraId="0ECAF49F" w14:textId="77777777" w:rsidR="00DC7040" w:rsidRDefault="00DC7040" w:rsidP="00C307F1">
            <w:r>
              <w:t>Ambiguity/Conflict</w:t>
            </w:r>
          </w:p>
        </w:tc>
        <w:tc>
          <w:tcPr>
            <w:tcW w:w="1125" w:type="dxa"/>
            <w:vAlign w:val="center"/>
          </w:tcPr>
          <w:p w14:paraId="1B172C24" w14:textId="77777777" w:rsidR="00DC7040" w:rsidRDefault="00DC7040" w:rsidP="00C307F1">
            <w:pPr>
              <w:jc w:val="center"/>
            </w:pPr>
            <w:r>
              <w:t>1.038*, 2</w:t>
            </w:r>
          </w:p>
        </w:tc>
        <w:tc>
          <w:tcPr>
            <w:tcW w:w="831" w:type="dxa"/>
            <w:vAlign w:val="center"/>
          </w:tcPr>
          <w:p w14:paraId="63051347" w14:textId="77777777" w:rsidR="00DC7040" w:rsidRDefault="00DC7040" w:rsidP="00C307F1">
            <w:pPr>
              <w:jc w:val="center"/>
            </w:pPr>
            <w:r>
              <w:t>0.101</w:t>
            </w:r>
          </w:p>
        </w:tc>
        <w:tc>
          <w:tcPr>
            <w:tcW w:w="832" w:type="dxa"/>
            <w:vAlign w:val="center"/>
          </w:tcPr>
          <w:p w14:paraId="54C17F75" w14:textId="77777777" w:rsidR="00DC7040" w:rsidRDefault="00DC7040" w:rsidP="00C307F1">
            <w:pPr>
              <w:jc w:val="center"/>
            </w:pPr>
            <w:r>
              <w:t>0.774</w:t>
            </w:r>
          </w:p>
        </w:tc>
        <w:tc>
          <w:tcPr>
            <w:tcW w:w="832" w:type="dxa"/>
          </w:tcPr>
          <w:p w14:paraId="1E437E3A" w14:textId="77777777" w:rsidR="00DC7040" w:rsidRDefault="00DC7040" w:rsidP="00C307F1">
            <w:pPr>
              <w:jc w:val="center"/>
            </w:pPr>
            <w:r>
              <w:t>0.025</w:t>
            </w:r>
          </w:p>
        </w:tc>
        <w:tc>
          <w:tcPr>
            <w:tcW w:w="1105" w:type="dxa"/>
            <w:vAlign w:val="center"/>
          </w:tcPr>
          <w:p w14:paraId="1E4E3EEE" w14:textId="77777777" w:rsidR="00DC7040" w:rsidRDefault="00DC7040" w:rsidP="00C307F1">
            <w:pPr>
              <w:jc w:val="center"/>
            </w:pPr>
            <w:r>
              <w:t>2, 17</w:t>
            </w:r>
          </w:p>
        </w:tc>
        <w:tc>
          <w:tcPr>
            <w:tcW w:w="838" w:type="dxa"/>
            <w:vAlign w:val="center"/>
          </w:tcPr>
          <w:p w14:paraId="3AD0EB5B" w14:textId="77777777" w:rsidR="00DC7040" w:rsidRDefault="00DC7040" w:rsidP="00C307F1">
            <w:pPr>
              <w:jc w:val="center"/>
            </w:pPr>
            <w:r>
              <w:t>0.037</w:t>
            </w:r>
          </w:p>
        </w:tc>
        <w:tc>
          <w:tcPr>
            <w:tcW w:w="838" w:type="dxa"/>
            <w:vAlign w:val="center"/>
          </w:tcPr>
          <w:p w14:paraId="7BE1D30E" w14:textId="77777777" w:rsidR="00DC7040" w:rsidRDefault="00DC7040" w:rsidP="00C307F1">
            <w:pPr>
              <w:jc w:val="center"/>
            </w:pPr>
            <w:r>
              <w:t>0.963</w:t>
            </w:r>
          </w:p>
        </w:tc>
        <w:tc>
          <w:tcPr>
            <w:tcW w:w="839" w:type="dxa"/>
            <w:vAlign w:val="center"/>
          </w:tcPr>
          <w:p w14:paraId="216AA77D" w14:textId="77777777" w:rsidR="00DC7040" w:rsidRDefault="00DC7040" w:rsidP="00C307F1">
            <w:pPr>
              <w:jc w:val="center"/>
            </w:pPr>
            <w:r>
              <w:t>0.002</w:t>
            </w:r>
          </w:p>
        </w:tc>
      </w:tr>
      <w:tr w:rsidR="00DC7040" w14:paraId="3122982E" w14:textId="77777777" w:rsidTr="00C307F1">
        <w:tc>
          <w:tcPr>
            <w:tcW w:w="2110" w:type="dxa"/>
          </w:tcPr>
          <w:p w14:paraId="36C73F2B" w14:textId="77777777" w:rsidR="00DC7040" w:rsidRDefault="00DC7040" w:rsidP="00C307F1">
            <w:r>
              <w:t>Region 3</w:t>
            </w:r>
          </w:p>
        </w:tc>
        <w:tc>
          <w:tcPr>
            <w:tcW w:w="1125" w:type="dxa"/>
            <w:vAlign w:val="center"/>
          </w:tcPr>
          <w:p w14:paraId="14CF19EF" w14:textId="77777777" w:rsidR="00DC7040" w:rsidRDefault="00DC7040" w:rsidP="00C307F1">
            <w:pPr>
              <w:jc w:val="center"/>
            </w:pPr>
          </w:p>
        </w:tc>
        <w:tc>
          <w:tcPr>
            <w:tcW w:w="831" w:type="dxa"/>
            <w:vAlign w:val="center"/>
          </w:tcPr>
          <w:p w14:paraId="682299F9" w14:textId="77777777" w:rsidR="00DC7040" w:rsidRDefault="00DC7040" w:rsidP="00C307F1">
            <w:pPr>
              <w:jc w:val="center"/>
            </w:pPr>
          </w:p>
        </w:tc>
        <w:tc>
          <w:tcPr>
            <w:tcW w:w="832" w:type="dxa"/>
            <w:vAlign w:val="center"/>
          </w:tcPr>
          <w:p w14:paraId="1279CF7C" w14:textId="77777777" w:rsidR="00DC7040" w:rsidRDefault="00DC7040" w:rsidP="00C307F1">
            <w:pPr>
              <w:jc w:val="center"/>
            </w:pPr>
          </w:p>
        </w:tc>
        <w:tc>
          <w:tcPr>
            <w:tcW w:w="832" w:type="dxa"/>
          </w:tcPr>
          <w:p w14:paraId="66197C58" w14:textId="77777777" w:rsidR="00DC7040" w:rsidRDefault="00DC7040" w:rsidP="00C307F1">
            <w:pPr>
              <w:jc w:val="center"/>
            </w:pPr>
          </w:p>
        </w:tc>
        <w:tc>
          <w:tcPr>
            <w:tcW w:w="1105" w:type="dxa"/>
            <w:vAlign w:val="center"/>
          </w:tcPr>
          <w:p w14:paraId="7AC433ED" w14:textId="77777777" w:rsidR="00DC7040" w:rsidRDefault="00DC7040" w:rsidP="00C307F1">
            <w:pPr>
              <w:jc w:val="center"/>
            </w:pPr>
          </w:p>
        </w:tc>
        <w:tc>
          <w:tcPr>
            <w:tcW w:w="838" w:type="dxa"/>
            <w:vAlign w:val="center"/>
          </w:tcPr>
          <w:p w14:paraId="540903E2" w14:textId="77777777" w:rsidR="00DC7040" w:rsidRDefault="00DC7040" w:rsidP="00C307F1">
            <w:pPr>
              <w:jc w:val="center"/>
            </w:pPr>
          </w:p>
        </w:tc>
        <w:tc>
          <w:tcPr>
            <w:tcW w:w="838" w:type="dxa"/>
            <w:vAlign w:val="center"/>
          </w:tcPr>
          <w:p w14:paraId="78E6C772" w14:textId="77777777" w:rsidR="00DC7040" w:rsidRDefault="00DC7040" w:rsidP="00C307F1">
            <w:pPr>
              <w:jc w:val="center"/>
            </w:pPr>
          </w:p>
        </w:tc>
        <w:tc>
          <w:tcPr>
            <w:tcW w:w="839" w:type="dxa"/>
            <w:vAlign w:val="center"/>
          </w:tcPr>
          <w:p w14:paraId="487E5228" w14:textId="77777777" w:rsidR="00DC7040" w:rsidRDefault="00DC7040" w:rsidP="00C307F1">
            <w:pPr>
              <w:jc w:val="center"/>
            </w:pPr>
          </w:p>
        </w:tc>
      </w:tr>
      <w:tr w:rsidR="00DC7040" w14:paraId="6218C7F7" w14:textId="77777777" w:rsidTr="00C307F1">
        <w:tc>
          <w:tcPr>
            <w:tcW w:w="2110" w:type="dxa"/>
          </w:tcPr>
          <w:p w14:paraId="1734F9C6" w14:textId="77777777" w:rsidR="00DC7040" w:rsidRDefault="00DC7040" w:rsidP="00C307F1">
            <w:r>
              <w:t>Ambiguity/Conflict</w:t>
            </w:r>
          </w:p>
        </w:tc>
        <w:tc>
          <w:tcPr>
            <w:tcW w:w="1125" w:type="dxa"/>
          </w:tcPr>
          <w:p w14:paraId="665EEB55" w14:textId="77777777" w:rsidR="00DC7040" w:rsidRDefault="00DC7040" w:rsidP="00C307F1">
            <w:pPr>
              <w:jc w:val="center"/>
            </w:pPr>
            <w:r>
              <w:t>1.010*, 2</w:t>
            </w:r>
          </w:p>
        </w:tc>
        <w:tc>
          <w:tcPr>
            <w:tcW w:w="831" w:type="dxa"/>
          </w:tcPr>
          <w:p w14:paraId="627703E1" w14:textId="77777777" w:rsidR="00DC7040" w:rsidRDefault="00DC7040" w:rsidP="00C307F1">
            <w:pPr>
              <w:jc w:val="center"/>
            </w:pPr>
            <w:r>
              <w:t>0.497</w:t>
            </w:r>
          </w:p>
        </w:tc>
        <w:tc>
          <w:tcPr>
            <w:tcW w:w="832" w:type="dxa"/>
          </w:tcPr>
          <w:p w14:paraId="0ADCAD14" w14:textId="77777777" w:rsidR="00DC7040" w:rsidRDefault="00DC7040" w:rsidP="00C307F1">
            <w:pPr>
              <w:jc w:val="center"/>
            </w:pPr>
            <w:r>
              <w:t>0.521</w:t>
            </w:r>
          </w:p>
        </w:tc>
        <w:tc>
          <w:tcPr>
            <w:tcW w:w="832" w:type="dxa"/>
          </w:tcPr>
          <w:p w14:paraId="4EE87FAD" w14:textId="77777777" w:rsidR="00DC7040" w:rsidRDefault="00DC7040" w:rsidP="00C307F1">
            <w:pPr>
              <w:jc w:val="center"/>
            </w:pPr>
            <w:r>
              <w:t>0.111</w:t>
            </w:r>
          </w:p>
        </w:tc>
        <w:tc>
          <w:tcPr>
            <w:tcW w:w="1105" w:type="dxa"/>
          </w:tcPr>
          <w:p w14:paraId="4876FE84" w14:textId="77777777" w:rsidR="00DC7040" w:rsidRDefault="00DC7040" w:rsidP="00C307F1">
            <w:pPr>
              <w:jc w:val="center"/>
            </w:pPr>
            <w:r>
              <w:t>2, 17</w:t>
            </w:r>
          </w:p>
        </w:tc>
        <w:tc>
          <w:tcPr>
            <w:tcW w:w="838" w:type="dxa"/>
          </w:tcPr>
          <w:p w14:paraId="180EF2A9" w14:textId="77777777" w:rsidR="00DC7040" w:rsidRDefault="00DC7040" w:rsidP="00C307F1">
            <w:pPr>
              <w:jc w:val="center"/>
            </w:pPr>
            <w:r>
              <w:t>0.228</w:t>
            </w:r>
          </w:p>
        </w:tc>
        <w:tc>
          <w:tcPr>
            <w:tcW w:w="838" w:type="dxa"/>
          </w:tcPr>
          <w:p w14:paraId="107FF5AB" w14:textId="77777777" w:rsidR="00DC7040" w:rsidRDefault="00DC7040" w:rsidP="00C307F1">
            <w:pPr>
              <w:jc w:val="center"/>
            </w:pPr>
            <w:r>
              <w:t>0.638</w:t>
            </w:r>
          </w:p>
        </w:tc>
        <w:tc>
          <w:tcPr>
            <w:tcW w:w="839" w:type="dxa"/>
          </w:tcPr>
          <w:p w14:paraId="18006469" w14:textId="77777777" w:rsidR="00DC7040" w:rsidRDefault="00DC7040" w:rsidP="00C307F1">
            <w:pPr>
              <w:jc w:val="center"/>
            </w:pPr>
            <w:r>
              <w:t>0.012</w:t>
            </w:r>
          </w:p>
        </w:tc>
      </w:tr>
      <w:tr w:rsidR="00DC7040" w14:paraId="16954B55" w14:textId="77777777" w:rsidTr="00C307F1">
        <w:tc>
          <w:tcPr>
            <w:tcW w:w="2110" w:type="dxa"/>
          </w:tcPr>
          <w:p w14:paraId="6BBC34EE" w14:textId="77777777" w:rsidR="00DC7040" w:rsidRDefault="00DC7040" w:rsidP="00C307F1">
            <w:r>
              <w:t>Region 4</w:t>
            </w:r>
          </w:p>
        </w:tc>
        <w:tc>
          <w:tcPr>
            <w:tcW w:w="1125" w:type="dxa"/>
          </w:tcPr>
          <w:p w14:paraId="2E478560" w14:textId="77777777" w:rsidR="00DC7040" w:rsidRDefault="00DC7040" w:rsidP="00C307F1">
            <w:pPr>
              <w:jc w:val="center"/>
            </w:pPr>
          </w:p>
        </w:tc>
        <w:tc>
          <w:tcPr>
            <w:tcW w:w="831" w:type="dxa"/>
          </w:tcPr>
          <w:p w14:paraId="08D4718B" w14:textId="77777777" w:rsidR="00DC7040" w:rsidRDefault="00DC7040" w:rsidP="00C307F1">
            <w:pPr>
              <w:jc w:val="center"/>
            </w:pPr>
          </w:p>
        </w:tc>
        <w:tc>
          <w:tcPr>
            <w:tcW w:w="832" w:type="dxa"/>
          </w:tcPr>
          <w:p w14:paraId="5914A7C7" w14:textId="77777777" w:rsidR="00DC7040" w:rsidRDefault="00DC7040" w:rsidP="00C307F1">
            <w:pPr>
              <w:jc w:val="center"/>
            </w:pPr>
          </w:p>
        </w:tc>
        <w:tc>
          <w:tcPr>
            <w:tcW w:w="832" w:type="dxa"/>
          </w:tcPr>
          <w:p w14:paraId="087565AC" w14:textId="77777777" w:rsidR="00DC7040" w:rsidRDefault="00DC7040" w:rsidP="00C307F1">
            <w:pPr>
              <w:jc w:val="center"/>
            </w:pPr>
          </w:p>
        </w:tc>
        <w:tc>
          <w:tcPr>
            <w:tcW w:w="1105" w:type="dxa"/>
          </w:tcPr>
          <w:p w14:paraId="1ACA2BF0" w14:textId="77777777" w:rsidR="00DC7040" w:rsidRDefault="00DC7040" w:rsidP="00C307F1">
            <w:pPr>
              <w:jc w:val="center"/>
            </w:pPr>
          </w:p>
        </w:tc>
        <w:tc>
          <w:tcPr>
            <w:tcW w:w="838" w:type="dxa"/>
          </w:tcPr>
          <w:p w14:paraId="59044F5B" w14:textId="77777777" w:rsidR="00DC7040" w:rsidRDefault="00DC7040" w:rsidP="00C307F1">
            <w:pPr>
              <w:jc w:val="center"/>
            </w:pPr>
          </w:p>
        </w:tc>
        <w:tc>
          <w:tcPr>
            <w:tcW w:w="838" w:type="dxa"/>
          </w:tcPr>
          <w:p w14:paraId="1565469B" w14:textId="77777777" w:rsidR="00DC7040" w:rsidRDefault="00DC7040" w:rsidP="00C307F1">
            <w:pPr>
              <w:jc w:val="center"/>
            </w:pPr>
          </w:p>
        </w:tc>
        <w:tc>
          <w:tcPr>
            <w:tcW w:w="839" w:type="dxa"/>
          </w:tcPr>
          <w:p w14:paraId="6952550A" w14:textId="77777777" w:rsidR="00DC7040" w:rsidRDefault="00DC7040" w:rsidP="00C307F1">
            <w:pPr>
              <w:jc w:val="center"/>
            </w:pPr>
          </w:p>
        </w:tc>
      </w:tr>
      <w:tr w:rsidR="00DC7040" w14:paraId="0771B5B3" w14:textId="77777777" w:rsidTr="00C307F1">
        <w:tc>
          <w:tcPr>
            <w:tcW w:w="2110" w:type="dxa"/>
          </w:tcPr>
          <w:p w14:paraId="7877C887" w14:textId="77777777" w:rsidR="00DC7040" w:rsidRDefault="00DC7040" w:rsidP="00C307F1">
            <w:r>
              <w:t>Ambiguity/Conflict</w:t>
            </w:r>
          </w:p>
        </w:tc>
        <w:tc>
          <w:tcPr>
            <w:tcW w:w="1125" w:type="dxa"/>
          </w:tcPr>
          <w:p w14:paraId="2654DC47" w14:textId="77777777" w:rsidR="00DC7040" w:rsidRDefault="00DC7040" w:rsidP="00C307F1">
            <w:pPr>
              <w:jc w:val="center"/>
            </w:pPr>
            <w:r>
              <w:t>2, 2</w:t>
            </w:r>
          </w:p>
        </w:tc>
        <w:tc>
          <w:tcPr>
            <w:tcW w:w="831" w:type="dxa"/>
          </w:tcPr>
          <w:p w14:paraId="209365BD" w14:textId="77777777" w:rsidR="00DC7040" w:rsidRDefault="00DC7040" w:rsidP="00C307F1">
            <w:pPr>
              <w:jc w:val="center"/>
            </w:pPr>
            <w:r>
              <w:t>0.519</w:t>
            </w:r>
          </w:p>
        </w:tc>
        <w:tc>
          <w:tcPr>
            <w:tcW w:w="832" w:type="dxa"/>
          </w:tcPr>
          <w:p w14:paraId="51B2C43F" w14:textId="77777777" w:rsidR="00DC7040" w:rsidRDefault="00DC7040" w:rsidP="00C307F1">
            <w:pPr>
              <w:jc w:val="center"/>
            </w:pPr>
            <w:r>
              <w:t>0.614</w:t>
            </w:r>
          </w:p>
        </w:tc>
        <w:tc>
          <w:tcPr>
            <w:tcW w:w="832" w:type="dxa"/>
          </w:tcPr>
          <w:p w14:paraId="521F94C1" w14:textId="77777777" w:rsidR="00DC7040" w:rsidRDefault="00DC7040" w:rsidP="00C307F1">
            <w:pPr>
              <w:jc w:val="center"/>
            </w:pPr>
            <w:r>
              <w:t>0.115</w:t>
            </w:r>
          </w:p>
        </w:tc>
        <w:tc>
          <w:tcPr>
            <w:tcW w:w="1105" w:type="dxa"/>
          </w:tcPr>
          <w:p w14:paraId="209A9139" w14:textId="77777777" w:rsidR="00DC7040" w:rsidRDefault="00DC7040" w:rsidP="00C307F1">
            <w:pPr>
              <w:jc w:val="center"/>
            </w:pPr>
            <w:r>
              <w:t>2, 17</w:t>
            </w:r>
          </w:p>
        </w:tc>
        <w:tc>
          <w:tcPr>
            <w:tcW w:w="838" w:type="dxa"/>
          </w:tcPr>
          <w:p w14:paraId="64C1FAC4" w14:textId="77777777" w:rsidR="00DC7040" w:rsidRDefault="00DC7040" w:rsidP="00C307F1">
            <w:pPr>
              <w:jc w:val="center"/>
            </w:pPr>
            <w:r>
              <w:t>0.705</w:t>
            </w:r>
          </w:p>
        </w:tc>
        <w:tc>
          <w:tcPr>
            <w:tcW w:w="838" w:type="dxa"/>
          </w:tcPr>
          <w:p w14:paraId="00BE20DA" w14:textId="77777777" w:rsidR="00DC7040" w:rsidRDefault="00DC7040" w:rsidP="00C307F1">
            <w:pPr>
              <w:jc w:val="center"/>
            </w:pPr>
            <w:r>
              <w:t>0.471</w:t>
            </w:r>
          </w:p>
        </w:tc>
        <w:tc>
          <w:tcPr>
            <w:tcW w:w="839" w:type="dxa"/>
          </w:tcPr>
          <w:p w14:paraId="18FEF109" w14:textId="77777777" w:rsidR="00DC7040" w:rsidRDefault="00DC7040" w:rsidP="00C307F1">
            <w:pPr>
              <w:jc w:val="center"/>
            </w:pPr>
            <w:r>
              <w:t>0.036</w:t>
            </w:r>
          </w:p>
        </w:tc>
      </w:tr>
      <w:tr w:rsidR="00DC7040" w14:paraId="4B7F2FDC" w14:textId="77777777" w:rsidTr="00C307F1">
        <w:tc>
          <w:tcPr>
            <w:tcW w:w="2110" w:type="dxa"/>
          </w:tcPr>
          <w:p w14:paraId="30544153" w14:textId="77777777" w:rsidR="00DC7040" w:rsidRDefault="00DC7040" w:rsidP="00C307F1">
            <w:r>
              <w:t>Region 5</w:t>
            </w:r>
          </w:p>
        </w:tc>
        <w:tc>
          <w:tcPr>
            <w:tcW w:w="1125" w:type="dxa"/>
          </w:tcPr>
          <w:p w14:paraId="2B5ACC35" w14:textId="77777777" w:rsidR="00DC7040" w:rsidRDefault="00DC7040" w:rsidP="00C307F1">
            <w:pPr>
              <w:jc w:val="center"/>
            </w:pPr>
          </w:p>
        </w:tc>
        <w:tc>
          <w:tcPr>
            <w:tcW w:w="831" w:type="dxa"/>
          </w:tcPr>
          <w:p w14:paraId="5558CE2E" w14:textId="77777777" w:rsidR="00DC7040" w:rsidRDefault="00DC7040" w:rsidP="00C307F1">
            <w:pPr>
              <w:jc w:val="center"/>
            </w:pPr>
          </w:p>
        </w:tc>
        <w:tc>
          <w:tcPr>
            <w:tcW w:w="832" w:type="dxa"/>
          </w:tcPr>
          <w:p w14:paraId="4AEA9064" w14:textId="77777777" w:rsidR="00DC7040" w:rsidRDefault="00DC7040" w:rsidP="00C307F1">
            <w:pPr>
              <w:jc w:val="center"/>
            </w:pPr>
          </w:p>
        </w:tc>
        <w:tc>
          <w:tcPr>
            <w:tcW w:w="832" w:type="dxa"/>
          </w:tcPr>
          <w:p w14:paraId="23B22E09" w14:textId="77777777" w:rsidR="00DC7040" w:rsidRDefault="00DC7040" w:rsidP="00C307F1">
            <w:pPr>
              <w:jc w:val="center"/>
            </w:pPr>
          </w:p>
        </w:tc>
        <w:tc>
          <w:tcPr>
            <w:tcW w:w="1105" w:type="dxa"/>
          </w:tcPr>
          <w:p w14:paraId="059CE3B8" w14:textId="77777777" w:rsidR="00DC7040" w:rsidRDefault="00DC7040" w:rsidP="00C307F1">
            <w:pPr>
              <w:jc w:val="center"/>
            </w:pPr>
          </w:p>
        </w:tc>
        <w:tc>
          <w:tcPr>
            <w:tcW w:w="838" w:type="dxa"/>
          </w:tcPr>
          <w:p w14:paraId="6ED8B227" w14:textId="77777777" w:rsidR="00DC7040" w:rsidRDefault="00DC7040" w:rsidP="00C307F1">
            <w:pPr>
              <w:jc w:val="center"/>
            </w:pPr>
          </w:p>
        </w:tc>
        <w:tc>
          <w:tcPr>
            <w:tcW w:w="838" w:type="dxa"/>
          </w:tcPr>
          <w:p w14:paraId="0A3777BC" w14:textId="77777777" w:rsidR="00DC7040" w:rsidRDefault="00DC7040" w:rsidP="00C307F1">
            <w:pPr>
              <w:jc w:val="center"/>
            </w:pPr>
          </w:p>
        </w:tc>
        <w:tc>
          <w:tcPr>
            <w:tcW w:w="839" w:type="dxa"/>
          </w:tcPr>
          <w:p w14:paraId="0CF91AA0" w14:textId="77777777" w:rsidR="00DC7040" w:rsidRDefault="00DC7040" w:rsidP="00C307F1">
            <w:pPr>
              <w:jc w:val="center"/>
            </w:pPr>
          </w:p>
        </w:tc>
      </w:tr>
      <w:tr w:rsidR="00DC7040" w14:paraId="12BCE169" w14:textId="77777777" w:rsidTr="00C307F1">
        <w:tc>
          <w:tcPr>
            <w:tcW w:w="2110" w:type="dxa"/>
          </w:tcPr>
          <w:p w14:paraId="695BEC8D" w14:textId="77777777" w:rsidR="00DC7040" w:rsidRDefault="00DC7040" w:rsidP="00C307F1">
            <w:r>
              <w:t>Ambiguity/Conflict</w:t>
            </w:r>
          </w:p>
        </w:tc>
        <w:tc>
          <w:tcPr>
            <w:tcW w:w="1125" w:type="dxa"/>
          </w:tcPr>
          <w:p w14:paraId="068ED111" w14:textId="77777777" w:rsidR="00DC7040" w:rsidRDefault="00DC7040" w:rsidP="00C307F1">
            <w:pPr>
              <w:jc w:val="center"/>
            </w:pPr>
            <w:r>
              <w:t>2, 2</w:t>
            </w:r>
          </w:p>
        </w:tc>
        <w:tc>
          <w:tcPr>
            <w:tcW w:w="831" w:type="dxa"/>
          </w:tcPr>
          <w:p w14:paraId="2FF7259C" w14:textId="77777777" w:rsidR="00DC7040" w:rsidRDefault="00DC7040" w:rsidP="00C307F1">
            <w:pPr>
              <w:jc w:val="center"/>
            </w:pPr>
            <w:r>
              <w:t>0.045</w:t>
            </w:r>
          </w:p>
        </w:tc>
        <w:tc>
          <w:tcPr>
            <w:tcW w:w="832" w:type="dxa"/>
          </w:tcPr>
          <w:p w14:paraId="376AA07F" w14:textId="77777777" w:rsidR="00DC7040" w:rsidRDefault="00DC7040" w:rsidP="00C307F1">
            <w:pPr>
              <w:jc w:val="center"/>
            </w:pPr>
            <w:r>
              <w:t>0.956</w:t>
            </w:r>
          </w:p>
        </w:tc>
        <w:tc>
          <w:tcPr>
            <w:tcW w:w="832" w:type="dxa"/>
          </w:tcPr>
          <w:p w14:paraId="109C0547" w14:textId="77777777" w:rsidR="00DC7040" w:rsidRDefault="00DC7040" w:rsidP="00C307F1">
            <w:pPr>
              <w:jc w:val="center"/>
            </w:pPr>
            <w:r>
              <w:t>0.011</w:t>
            </w:r>
          </w:p>
        </w:tc>
        <w:tc>
          <w:tcPr>
            <w:tcW w:w="1105" w:type="dxa"/>
          </w:tcPr>
          <w:p w14:paraId="4C831FCD" w14:textId="77777777" w:rsidR="00DC7040" w:rsidRDefault="00DC7040" w:rsidP="00C307F1">
            <w:pPr>
              <w:jc w:val="center"/>
            </w:pPr>
            <w:r>
              <w:t>2, 17</w:t>
            </w:r>
          </w:p>
        </w:tc>
        <w:tc>
          <w:tcPr>
            <w:tcW w:w="838" w:type="dxa"/>
          </w:tcPr>
          <w:p w14:paraId="5D67DF5A" w14:textId="77777777" w:rsidR="00DC7040" w:rsidRDefault="00DC7040" w:rsidP="00C307F1">
            <w:pPr>
              <w:jc w:val="center"/>
            </w:pPr>
            <w:r>
              <w:t>0.411</w:t>
            </w:r>
          </w:p>
        </w:tc>
        <w:tc>
          <w:tcPr>
            <w:tcW w:w="838" w:type="dxa"/>
          </w:tcPr>
          <w:p w14:paraId="74F05E67" w14:textId="77777777" w:rsidR="00DC7040" w:rsidRDefault="00DC7040" w:rsidP="00C307F1">
            <w:pPr>
              <w:jc w:val="center"/>
            </w:pPr>
            <w:r>
              <w:t>0.666</w:t>
            </w:r>
          </w:p>
        </w:tc>
        <w:tc>
          <w:tcPr>
            <w:tcW w:w="839" w:type="dxa"/>
          </w:tcPr>
          <w:p w14:paraId="44628609" w14:textId="77777777" w:rsidR="00DC7040" w:rsidRDefault="00DC7040" w:rsidP="00C307F1">
            <w:pPr>
              <w:jc w:val="center"/>
            </w:pPr>
            <w:r>
              <w:t>0.021</w:t>
            </w:r>
          </w:p>
        </w:tc>
      </w:tr>
    </w:tbl>
    <w:p w14:paraId="73204053" w14:textId="77777777" w:rsidR="00DC7040" w:rsidRDefault="00DC7040" w:rsidP="00DC7040">
      <w:r w:rsidRPr="00CD080C">
        <w:t>*</w:t>
      </w:r>
      <w:r>
        <w:t xml:space="preserve">  Value </w:t>
      </w:r>
      <w:r w:rsidRPr="00CD080C">
        <w:t>corrected for sphericity with Greenhouse-</w:t>
      </w:r>
      <w:proofErr w:type="spellStart"/>
      <w:r w:rsidRPr="00CD080C">
        <w:t>Geisser</w:t>
      </w:r>
      <w:proofErr w:type="spellEnd"/>
      <w:r w:rsidRPr="00CD080C">
        <w:t xml:space="preserve"> correction</w:t>
      </w:r>
    </w:p>
    <w:p w14:paraId="37509F6C" w14:textId="77777777" w:rsidR="00DC7040" w:rsidRPr="00CD080C" w:rsidRDefault="00DC7040" w:rsidP="00DC7040"/>
    <w:p w14:paraId="30E4207A" w14:textId="3ABEA3D0" w:rsidR="00DC7040" w:rsidRDefault="00DC7040" w:rsidP="00DC7040">
      <w:pPr>
        <w:shd w:val="clear" w:color="auto" w:fill="FFFFFF"/>
        <w:jc w:val="both"/>
      </w:pPr>
    </w:p>
    <w:p w14:paraId="3E9F44F2" w14:textId="77777777" w:rsidR="00DC7040" w:rsidRDefault="00DC7040" w:rsidP="00DC7040">
      <w:pPr>
        <w:shd w:val="clear" w:color="auto" w:fill="FFFFFF"/>
        <w:jc w:val="both"/>
      </w:pPr>
    </w:p>
    <w:p w14:paraId="7DACFAD6" w14:textId="2ECC97BB" w:rsidR="00DC7040" w:rsidRPr="00DC7040" w:rsidRDefault="00DC7040" w:rsidP="00DC7040">
      <w:pPr>
        <w:shd w:val="clear" w:color="auto" w:fill="FFFFFF"/>
        <w:jc w:val="both"/>
        <w:rPr>
          <w:i/>
        </w:rPr>
      </w:pPr>
      <w:r>
        <w:rPr>
          <w:i/>
        </w:rPr>
        <w:t>Study 2</w:t>
      </w:r>
    </w:p>
    <w:p w14:paraId="7A69900F" w14:textId="77777777" w:rsidR="00DC7040" w:rsidRDefault="00DC7040" w:rsidP="001C35D4">
      <w:pPr>
        <w:rPr>
          <w:i/>
        </w:rPr>
      </w:pPr>
    </w:p>
    <w:p w14:paraId="623A49A6" w14:textId="79E5A7F6" w:rsidR="001C35D4" w:rsidRPr="003862BD" w:rsidRDefault="00DC7040" w:rsidP="001C35D4">
      <w:pPr>
        <w:rPr>
          <w:i/>
        </w:rPr>
      </w:pPr>
      <w:r>
        <w:rPr>
          <w:i/>
        </w:rPr>
        <w:t>Comprehension</w:t>
      </w:r>
    </w:p>
    <w:p w14:paraId="71285CE3" w14:textId="153DF312" w:rsidR="001C35D4" w:rsidRDefault="001C35D4" w:rsidP="001C35D4">
      <w:pPr>
        <w:shd w:val="clear" w:color="auto" w:fill="FFFFFF"/>
        <w:ind w:firstLine="720"/>
        <w:jc w:val="both"/>
      </w:pPr>
      <w:r>
        <w:lastRenderedPageBreak/>
        <w:t xml:space="preserve">For the CQs that followed each stimulus, emergent bilinguals from the three institutional levels responded correctly to </w:t>
      </w:r>
      <w:r w:rsidRPr="0001512A">
        <w:t>73.81% of the questions</w:t>
      </w:r>
      <w:r>
        <w:t xml:space="preserve"> (Range: 60.00% to 93.33%). In terms of transitivity, emergent bilinguals responded correctly to CQs for 7</w:t>
      </w:r>
      <w:r w:rsidR="0001512A">
        <w:t>1.79</w:t>
      </w:r>
      <w:r>
        <w:t>% of transitive sentences and for 77.86% of intransitive sentences.</w:t>
      </w:r>
    </w:p>
    <w:p w14:paraId="34806CC6" w14:textId="77777777" w:rsidR="003862BD" w:rsidRDefault="003862BD" w:rsidP="003862BD">
      <w:pPr>
        <w:shd w:val="clear" w:color="auto" w:fill="FFFFFF"/>
        <w:jc w:val="both"/>
      </w:pPr>
    </w:p>
    <w:p w14:paraId="3DD9A898" w14:textId="77777777" w:rsidR="00910079" w:rsidRDefault="00910079" w:rsidP="003862BD">
      <w:pPr>
        <w:shd w:val="clear" w:color="auto" w:fill="FFFFFF"/>
        <w:jc w:val="both"/>
        <w:rPr>
          <w:i/>
        </w:rPr>
      </w:pPr>
      <w:r>
        <w:rPr>
          <w:i/>
        </w:rPr>
        <w:t xml:space="preserve">EIT </w:t>
      </w:r>
    </w:p>
    <w:p w14:paraId="62259FB1" w14:textId="77777777" w:rsidR="00910079" w:rsidRPr="00910079" w:rsidRDefault="00910079" w:rsidP="003862BD">
      <w:pPr>
        <w:shd w:val="clear" w:color="auto" w:fill="FFFFFF"/>
        <w:jc w:val="both"/>
      </w:pPr>
      <w:r>
        <w:tab/>
      </w:r>
      <w:r w:rsidRPr="00665C9A">
        <w:rPr>
          <w:highlight w:val="yellow"/>
        </w:rPr>
        <w:t>Because of the attrition of two</w:t>
      </w:r>
      <w:r>
        <w:t xml:space="preserve"> </w:t>
      </w:r>
    </w:p>
    <w:p w14:paraId="586C2649" w14:textId="77777777" w:rsidR="00910079" w:rsidRDefault="00910079" w:rsidP="003862BD">
      <w:pPr>
        <w:shd w:val="clear" w:color="auto" w:fill="FFFFFF"/>
        <w:jc w:val="both"/>
      </w:pPr>
    </w:p>
    <w:p w14:paraId="2EF6CE85" w14:textId="77777777" w:rsidR="00DC7040" w:rsidRPr="001C35D4" w:rsidRDefault="00DC7040" w:rsidP="00DC7040">
      <w:pPr>
        <w:shd w:val="clear" w:color="auto" w:fill="FFFFFF"/>
        <w:jc w:val="both"/>
        <w:rPr>
          <w:i/>
        </w:rPr>
      </w:pPr>
      <w:r>
        <w:rPr>
          <w:i/>
        </w:rPr>
        <w:t>Latency in reading times</w:t>
      </w:r>
    </w:p>
    <w:p w14:paraId="5B27F8A4" w14:textId="77777777" w:rsidR="003925CD" w:rsidRDefault="00693DD5" w:rsidP="009D4C51">
      <w:pPr>
        <w:ind w:firstLine="720"/>
      </w:pPr>
      <w:r>
        <w:t>For the analyses by subjects (F</w:t>
      </w:r>
      <w:r w:rsidRPr="00693DD5">
        <w:rPr>
          <w:vertAlign w:val="subscript"/>
        </w:rPr>
        <w:t>1</w:t>
      </w:r>
      <w:r>
        <w:t xml:space="preserve">), separate repeated-measures ANCOVAs were conducted for the regions of interest of transitivity (regions 3, 4, 5). Region 1 was also considered in a separate analysis to assess whether the preceding trials’ congruency affected residual reading times at the beginning of the sentence stimuli. In these analyses, subject was the random factor and the within-subjects factor was condition of the flanker-sentence pairs ([+ambiguous, +incongruent], [+ambiguous, +congruent], [+unambiguous, +incongruent]). </w:t>
      </w:r>
      <w:r w:rsidR="0034240B">
        <w:t xml:space="preserve">Given the overlap in EIT scores across institutional levels, EIT was used as </w:t>
      </w:r>
      <w:r>
        <w:t>the</w:t>
      </w:r>
      <w:r w:rsidR="0034240B">
        <w:t xml:space="preserve"> covariate to account for proficiency, instead of the course level. </w:t>
      </w:r>
      <w:r w:rsidR="006906D0">
        <w:t xml:space="preserve">For the analyses by item </w:t>
      </w:r>
      <w:r>
        <w:t>(F</w:t>
      </w:r>
      <w:r w:rsidRPr="00693DD5">
        <w:rPr>
          <w:vertAlign w:val="subscript"/>
        </w:rPr>
        <w:t>2</w:t>
      </w:r>
      <w:r>
        <w:t>)</w:t>
      </w:r>
      <w:r w:rsidR="006906D0">
        <w:t xml:space="preserve">, </w:t>
      </w:r>
      <w:r>
        <w:t xml:space="preserve">repeated-measures ANOVAs were run for each of the four regions listed above, with </w:t>
      </w:r>
      <w:r w:rsidR="006906D0">
        <w:t>item</w:t>
      </w:r>
      <w:r>
        <w:t xml:space="preserve"> as </w:t>
      </w:r>
      <w:r w:rsidR="006906D0">
        <w:t xml:space="preserve">the random factor and flanker-sentence condition </w:t>
      </w:r>
      <w:r>
        <w:t>as</w:t>
      </w:r>
      <w:r w:rsidR="006906D0">
        <w:t xml:space="preserve"> the within-subjects factor. </w:t>
      </w:r>
    </w:p>
    <w:p w14:paraId="277A94EE" w14:textId="77777777" w:rsidR="000128D0" w:rsidRDefault="000128D0" w:rsidP="00665C9A">
      <w:pPr>
        <w:ind w:firstLine="720"/>
      </w:pPr>
    </w:p>
    <w:p w14:paraId="24B030C6" w14:textId="77777777" w:rsidR="00B32AC9" w:rsidRDefault="00B32AC9" w:rsidP="004027DB"/>
    <w:p w14:paraId="164BEC41" w14:textId="77777777" w:rsidR="00B32AC9" w:rsidRDefault="00B32AC9" w:rsidP="004027DB"/>
    <w:p w14:paraId="79B348A9" w14:textId="77777777" w:rsidR="004027DB" w:rsidRDefault="0034240B" w:rsidP="004027DB">
      <w:r>
        <w:t>Table XXXXX</w:t>
      </w:r>
    </w:p>
    <w:p w14:paraId="6DF76D6F" w14:textId="77777777" w:rsidR="0034240B" w:rsidRDefault="0034240B" w:rsidP="004027DB"/>
    <w:p w14:paraId="482E26D9" w14:textId="77777777" w:rsidR="00AA521F" w:rsidRDefault="00AA521F" w:rsidP="004027DB"/>
    <w:tbl>
      <w:tblPr>
        <w:tblStyle w:val="TableGrid"/>
        <w:tblW w:w="0" w:type="auto"/>
        <w:tblLayout w:type="fixed"/>
        <w:tblLook w:val="04A0" w:firstRow="1" w:lastRow="0" w:firstColumn="1" w:lastColumn="0" w:noHBand="0" w:noVBand="1"/>
      </w:tblPr>
      <w:tblGrid>
        <w:gridCol w:w="2110"/>
        <w:gridCol w:w="1305"/>
        <w:gridCol w:w="771"/>
        <w:gridCol w:w="772"/>
        <w:gridCol w:w="772"/>
        <w:gridCol w:w="1285"/>
        <w:gridCol w:w="778"/>
        <w:gridCol w:w="778"/>
        <w:gridCol w:w="779"/>
      </w:tblGrid>
      <w:tr w:rsidR="00AA521F" w14:paraId="624A5745" w14:textId="77777777" w:rsidTr="00CD080C">
        <w:tc>
          <w:tcPr>
            <w:tcW w:w="2110" w:type="dxa"/>
            <w:vAlign w:val="center"/>
          </w:tcPr>
          <w:p w14:paraId="2D951F7C" w14:textId="77777777" w:rsidR="00AA521F" w:rsidRDefault="00AA521F" w:rsidP="00CD080C"/>
        </w:tc>
        <w:tc>
          <w:tcPr>
            <w:tcW w:w="3620" w:type="dxa"/>
            <w:gridSpan w:val="4"/>
            <w:vAlign w:val="center"/>
          </w:tcPr>
          <w:p w14:paraId="4CE5AAEB" w14:textId="77777777" w:rsidR="00AA521F" w:rsidRDefault="00CD080C" w:rsidP="00CD080C">
            <w:pPr>
              <w:jc w:val="center"/>
            </w:pPr>
            <w:r>
              <w:t>ANCOVA b</w:t>
            </w:r>
            <w:r w:rsidR="00AA521F">
              <w:t>y subjects</w:t>
            </w:r>
          </w:p>
        </w:tc>
        <w:tc>
          <w:tcPr>
            <w:tcW w:w="3620" w:type="dxa"/>
            <w:gridSpan w:val="4"/>
            <w:vAlign w:val="center"/>
          </w:tcPr>
          <w:p w14:paraId="21DACF2B" w14:textId="77777777" w:rsidR="00AA521F" w:rsidRDefault="00CD080C" w:rsidP="00CD080C">
            <w:pPr>
              <w:jc w:val="center"/>
            </w:pPr>
            <w:r>
              <w:t>ANOVA b</w:t>
            </w:r>
            <w:r w:rsidR="00AA521F">
              <w:t>y items</w:t>
            </w:r>
          </w:p>
        </w:tc>
      </w:tr>
      <w:tr w:rsidR="00CD080C" w14:paraId="3D645506" w14:textId="77777777" w:rsidTr="00CD080C">
        <w:tc>
          <w:tcPr>
            <w:tcW w:w="2110" w:type="dxa"/>
            <w:vAlign w:val="center"/>
          </w:tcPr>
          <w:p w14:paraId="5902EA2D" w14:textId="77777777" w:rsidR="00AA521F" w:rsidRDefault="00AA521F" w:rsidP="00CD080C"/>
        </w:tc>
        <w:tc>
          <w:tcPr>
            <w:tcW w:w="1305" w:type="dxa"/>
            <w:vAlign w:val="center"/>
          </w:tcPr>
          <w:p w14:paraId="5FDEA0B4" w14:textId="77777777" w:rsidR="00AA521F" w:rsidRPr="0034240B" w:rsidRDefault="00AA521F" w:rsidP="00CD080C">
            <w:pPr>
              <w:jc w:val="center"/>
              <w:rPr>
                <w:i/>
              </w:rPr>
            </w:pPr>
            <w:proofErr w:type="spellStart"/>
            <w:r>
              <w:rPr>
                <w:i/>
              </w:rPr>
              <w:t>d</w:t>
            </w:r>
            <w:r w:rsidRPr="0034240B">
              <w:rPr>
                <w:i/>
              </w:rPr>
              <w:t>f</w:t>
            </w:r>
            <w:proofErr w:type="spellEnd"/>
          </w:p>
        </w:tc>
        <w:tc>
          <w:tcPr>
            <w:tcW w:w="771" w:type="dxa"/>
            <w:vAlign w:val="center"/>
          </w:tcPr>
          <w:p w14:paraId="7AC809DB" w14:textId="77777777" w:rsidR="00AA521F" w:rsidRPr="0034240B" w:rsidRDefault="00AA521F" w:rsidP="00CD080C">
            <w:pPr>
              <w:jc w:val="center"/>
              <w:rPr>
                <w:i/>
              </w:rPr>
            </w:pPr>
            <w:r w:rsidRPr="0034240B">
              <w:rPr>
                <w:i/>
              </w:rPr>
              <w:t>F</w:t>
            </w:r>
            <w:r w:rsidRPr="0034240B">
              <w:rPr>
                <w:i/>
                <w:vertAlign w:val="subscript"/>
              </w:rPr>
              <w:t>1</w:t>
            </w:r>
          </w:p>
        </w:tc>
        <w:tc>
          <w:tcPr>
            <w:tcW w:w="772" w:type="dxa"/>
            <w:vAlign w:val="center"/>
          </w:tcPr>
          <w:p w14:paraId="672F090C" w14:textId="77777777" w:rsidR="00AA521F" w:rsidRPr="0034240B" w:rsidRDefault="00AA521F" w:rsidP="00CD080C">
            <w:pPr>
              <w:jc w:val="center"/>
              <w:rPr>
                <w:i/>
              </w:rPr>
            </w:pPr>
            <w:r w:rsidRPr="0034240B">
              <w:rPr>
                <w:i/>
              </w:rPr>
              <w:t>p</w:t>
            </w:r>
          </w:p>
        </w:tc>
        <w:tc>
          <w:tcPr>
            <w:tcW w:w="772" w:type="dxa"/>
            <w:vAlign w:val="center"/>
          </w:tcPr>
          <w:p w14:paraId="127B002E" w14:textId="77777777" w:rsidR="00AA521F" w:rsidRPr="0034240B" w:rsidRDefault="00CD080C" w:rsidP="00CD080C">
            <w:pPr>
              <w:jc w:val="center"/>
              <w:rPr>
                <w:i/>
              </w:rPr>
            </w:pPr>
            <w:r w:rsidRPr="00CD080C">
              <w:rPr>
                <w:i/>
              </w:rPr>
              <w:t>η</w:t>
            </w:r>
            <w:r w:rsidRPr="00CD080C">
              <w:rPr>
                <w:i/>
                <w:vertAlign w:val="subscript"/>
              </w:rPr>
              <w:t>p</w:t>
            </w:r>
            <w:r w:rsidRPr="00CD080C">
              <w:rPr>
                <w:i/>
              </w:rPr>
              <w:t>²</w:t>
            </w:r>
          </w:p>
        </w:tc>
        <w:tc>
          <w:tcPr>
            <w:tcW w:w="1285" w:type="dxa"/>
            <w:vAlign w:val="center"/>
          </w:tcPr>
          <w:p w14:paraId="13C2B0FE" w14:textId="77777777" w:rsidR="00AA521F" w:rsidRPr="0034240B" w:rsidRDefault="00AA521F" w:rsidP="00CD080C">
            <w:pPr>
              <w:jc w:val="center"/>
              <w:rPr>
                <w:i/>
              </w:rPr>
            </w:pPr>
            <w:proofErr w:type="spellStart"/>
            <w:r w:rsidRPr="0034240B">
              <w:rPr>
                <w:i/>
              </w:rPr>
              <w:t>df</w:t>
            </w:r>
            <w:proofErr w:type="spellEnd"/>
          </w:p>
        </w:tc>
        <w:tc>
          <w:tcPr>
            <w:tcW w:w="778" w:type="dxa"/>
            <w:vAlign w:val="center"/>
          </w:tcPr>
          <w:p w14:paraId="2F0CB04E" w14:textId="77777777" w:rsidR="00AA521F" w:rsidRPr="0034240B" w:rsidRDefault="00AA521F" w:rsidP="00CD080C">
            <w:pPr>
              <w:jc w:val="center"/>
              <w:rPr>
                <w:i/>
              </w:rPr>
            </w:pPr>
            <w:r w:rsidRPr="0034240B">
              <w:rPr>
                <w:i/>
              </w:rPr>
              <w:t>F</w:t>
            </w:r>
            <w:r>
              <w:rPr>
                <w:i/>
                <w:vertAlign w:val="subscript"/>
              </w:rPr>
              <w:t>2</w:t>
            </w:r>
          </w:p>
        </w:tc>
        <w:tc>
          <w:tcPr>
            <w:tcW w:w="778" w:type="dxa"/>
            <w:vAlign w:val="center"/>
          </w:tcPr>
          <w:p w14:paraId="14D46460" w14:textId="77777777" w:rsidR="00AA521F" w:rsidRPr="0034240B" w:rsidRDefault="00AA521F" w:rsidP="00CD080C">
            <w:pPr>
              <w:jc w:val="center"/>
              <w:rPr>
                <w:i/>
              </w:rPr>
            </w:pPr>
            <w:r>
              <w:rPr>
                <w:i/>
              </w:rPr>
              <w:t>p</w:t>
            </w:r>
          </w:p>
        </w:tc>
        <w:tc>
          <w:tcPr>
            <w:tcW w:w="779" w:type="dxa"/>
            <w:vAlign w:val="center"/>
          </w:tcPr>
          <w:p w14:paraId="331B67A8" w14:textId="77777777" w:rsidR="00AA521F" w:rsidRPr="0034240B" w:rsidRDefault="00CD080C" w:rsidP="00CD080C">
            <w:pPr>
              <w:jc w:val="center"/>
              <w:rPr>
                <w:i/>
              </w:rPr>
            </w:pPr>
            <w:r w:rsidRPr="00CD080C">
              <w:rPr>
                <w:i/>
              </w:rPr>
              <w:t>η</w:t>
            </w:r>
            <w:r w:rsidRPr="00CD080C">
              <w:rPr>
                <w:i/>
                <w:vertAlign w:val="subscript"/>
              </w:rPr>
              <w:t>p</w:t>
            </w:r>
            <w:r w:rsidRPr="00CD080C">
              <w:rPr>
                <w:i/>
              </w:rPr>
              <w:t>²</w:t>
            </w:r>
          </w:p>
        </w:tc>
      </w:tr>
      <w:tr w:rsidR="00CD080C" w14:paraId="741BD0EF" w14:textId="77777777" w:rsidTr="00CD080C">
        <w:tc>
          <w:tcPr>
            <w:tcW w:w="2110" w:type="dxa"/>
            <w:vAlign w:val="center"/>
          </w:tcPr>
          <w:p w14:paraId="4D1E9B79" w14:textId="77777777" w:rsidR="00AA521F" w:rsidRDefault="00AA521F" w:rsidP="00CD080C">
            <w:r>
              <w:t>Region 1</w:t>
            </w:r>
          </w:p>
        </w:tc>
        <w:tc>
          <w:tcPr>
            <w:tcW w:w="1305" w:type="dxa"/>
            <w:vAlign w:val="center"/>
          </w:tcPr>
          <w:p w14:paraId="2A3F580F" w14:textId="77777777" w:rsidR="00AA521F" w:rsidRDefault="00AA521F" w:rsidP="00CD080C">
            <w:pPr>
              <w:jc w:val="center"/>
            </w:pPr>
          </w:p>
        </w:tc>
        <w:tc>
          <w:tcPr>
            <w:tcW w:w="771" w:type="dxa"/>
            <w:vAlign w:val="center"/>
          </w:tcPr>
          <w:p w14:paraId="5B220EE4" w14:textId="77777777" w:rsidR="00AA521F" w:rsidRDefault="00AA521F" w:rsidP="00CD080C">
            <w:pPr>
              <w:jc w:val="center"/>
            </w:pPr>
          </w:p>
        </w:tc>
        <w:tc>
          <w:tcPr>
            <w:tcW w:w="772" w:type="dxa"/>
            <w:vAlign w:val="center"/>
          </w:tcPr>
          <w:p w14:paraId="44A219B1" w14:textId="77777777" w:rsidR="00AA521F" w:rsidRDefault="00AA521F" w:rsidP="00CD080C">
            <w:pPr>
              <w:jc w:val="center"/>
            </w:pPr>
          </w:p>
        </w:tc>
        <w:tc>
          <w:tcPr>
            <w:tcW w:w="772" w:type="dxa"/>
            <w:vAlign w:val="center"/>
          </w:tcPr>
          <w:p w14:paraId="19C0857A" w14:textId="77777777" w:rsidR="00AA521F" w:rsidRDefault="00AA521F" w:rsidP="00CD080C">
            <w:pPr>
              <w:jc w:val="center"/>
            </w:pPr>
          </w:p>
        </w:tc>
        <w:tc>
          <w:tcPr>
            <w:tcW w:w="1285" w:type="dxa"/>
            <w:vAlign w:val="center"/>
          </w:tcPr>
          <w:p w14:paraId="09CD5B90" w14:textId="77777777" w:rsidR="00AA521F" w:rsidRDefault="00AA521F" w:rsidP="00CD080C">
            <w:pPr>
              <w:jc w:val="center"/>
            </w:pPr>
          </w:p>
        </w:tc>
        <w:tc>
          <w:tcPr>
            <w:tcW w:w="778" w:type="dxa"/>
            <w:vAlign w:val="center"/>
          </w:tcPr>
          <w:p w14:paraId="263E464E" w14:textId="77777777" w:rsidR="00AA521F" w:rsidRDefault="00AA521F" w:rsidP="00CD080C">
            <w:pPr>
              <w:jc w:val="center"/>
            </w:pPr>
          </w:p>
        </w:tc>
        <w:tc>
          <w:tcPr>
            <w:tcW w:w="778" w:type="dxa"/>
            <w:vAlign w:val="center"/>
          </w:tcPr>
          <w:p w14:paraId="3E1BF182" w14:textId="77777777" w:rsidR="00AA521F" w:rsidRDefault="00AA521F" w:rsidP="00CD080C">
            <w:pPr>
              <w:jc w:val="center"/>
            </w:pPr>
          </w:p>
        </w:tc>
        <w:tc>
          <w:tcPr>
            <w:tcW w:w="779" w:type="dxa"/>
            <w:vAlign w:val="center"/>
          </w:tcPr>
          <w:p w14:paraId="510CD387" w14:textId="77777777" w:rsidR="00AA521F" w:rsidRDefault="00AA521F" w:rsidP="00CD080C">
            <w:pPr>
              <w:jc w:val="center"/>
            </w:pPr>
          </w:p>
        </w:tc>
      </w:tr>
      <w:tr w:rsidR="00CD080C" w14:paraId="0B44790F" w14:textId="77777777" w:rsidTr="00CD080C">
        <w:tc>
          <w:tcPr>
            <w:tcW w:w="2110" w:type="dxa"/>
            <w:vAlign w:val="center"/>
          </w:tcPr>
          <w:p w14:paraId="6A2B5A6E" w14:textId="77777777" w:rsidR="00AA521F" w:rsidRDefault="00AA521F" w:rsidP="00CD080C">
            <w:r>
              <w:t>Ambiguity/Conflict</w:t>
            </w:r>
          </w:p>
        </w:tc>
        <w:tc>
          <w:tcPr>
            <w:tcW w:w="1305" w:type="dxa"/>
            <w:vAlign w:val="center"/>
          </w:tcPr>
          <w:p w14:paraId="1C3926AC" w14:textId="77777777" w:rsidR="00AA521F" w:rsidRDefault="00AA521F" w:rsidP="00CD080C">
            <w:pPr>
              <w:jc w:val="center"/>
            </w:pPr>
            <w:r>
              <w:t>2, 11</w:t>
            </w:r>
          </w:p>
        </w:tc>
        <w:tc>
          <w:tcPr>
            <w:tcW w:w="771" w:type="dxa"/>
            <w:vAlign w:val="center"/>
          </w:tcPr>
          <w:p w14:paraId="578D5FDC" w14:textId="77777777" w:rsidR="00AA521F" w:rsidRDefault="00AA521F" w:rsidP="00CD080C">
            <w:pPr>
              <w:jc w:val="center"/>
            </w:pPr>
            <w:r>
              <w:t>1.711</w:t>
            </w:r>
          </w:p>
        </w:tc>
        <w:tc>
          <w:tcPr>
            <w:tcW w:w="772" w:type="dxa"/>
            <w:vAlign w:val="center"/>
          </w:tcPr>
          <w:p w14:paraId="65A370C8" w14:textId="77777777" w:rsidR="00AA521F" w:rsidRDefault="00AA521F" w:rsidP="00CD080C">
            <w:pPr>
              <w:jc w:val="center"/>
            </w:pPr>
            <w:r>
              <w:t>.202</w:t>
            </w:r>
          </w:p>
        </w:tc>
        <w:tc>
          <w:tcPr>
            <w:tcW w:w="772" w:type="dxa"/>
            <w:vAlign w:val="center"/>
          </w:tcPr>
          <w:p w14:paraId="4A2A9E25" w14:textId="77777777" w:rsidR="00AA521F" w:rsidRDefault="00AA521F" w:rsidP="00CD080C">
            <w:pPr>
              <w:jc w:val="center"/>
            </w:pPr>
            <w:r>
              <w:t>.125</w:t>
            </w:r>
          </w:p>
        </w:tc>
        <w:tc>
          <w:tcPr>
            <w:tcW w:w="1285" w:type="dxa"/>
            <w:vAlign w:val="center"/>
          </w:tcPr>
          <w:p w14:paraId="6001C416" w14:textId="77777777" w:rsidR="00AA521F" w:rsidRDefault="00AA521F" w:rsidP="00CD080C">
            <w:pPr>
              <w:jc w:val="center"/>
            </w:pPr>
            <w:r>
              <w:t>2, 15</w:t>
            </w:r>
          </w:p>
        </w:tc>
        <w:tc>
          <w:tcPr>
            <w:tcW w:w="778" w:type="dxa"/>
            <w:vAlign w:val="center"/>
          </w:tcPr>
          <w:p w14:paraId="3ECC673E" w14:textId="77777777" w:rsidR="00AA521F" w:rsidRDefault="00AA521F" w:rsidP="00CD080C">
            <w:pPr>
              <w:jc w:val="center"/>
            </w:pPr>
            <w:r>
              <w:t>1.516</w:t>
            </w:r>
          </w:p>
        </w:tc>
        <w:tc>
          <w:tcPr>
            <w:tcW w:w="778" w:type="dxa"/>
            <w:vAlign w:val="center"/>
          </w:tcPr>
          <w:p w14:paraId="42A19AE7" w14:textId="77777777" w:rsidR="00AA521F" w:rsidRDefault="00AA521F" w:rsidP="00CD080C">
            <w:pPr>
              <w:jc w:val="center"/>
            </w:pPr>
            <w:r>
              <w:t>0.234</w:t>
            </w:r>
          </w:p>
        </w:tc>
        <w:tc>
          <w:tcPr>
            <w:tcW w:w="779" w:type="dxa"/>
            <w:vAlign w:val="center"/>
          </w:tcPr>
          <w:p w14:paraId="4CC0608A" w14:textId="77777777" w:rsidR="00AA521F" w:rsidRDefault="00AA521F" w:rsidP="00CD080C">
            <w:pPr>
              <w:jc w:val="center"/>
            </w:pPr>
            <w:r>
              <w:t>0.082</w:t>
            </w:r>
          </w:p>
        </w:tc>
      </w:tr>
      <w:tr w:rsidR="00CD080C" w14:paraId="0EF6905E" w14:textId="77777777" w:rsidTr="00CD080C">
        <w:tc>
          <w:tcPr>
            <w:tcW w:w="2110" w:type="dxa"/>
            <w:vAlign w:val="center"/>
          </w:tcPr>
          <w:p w14:paraId="5CE4EFA4" w14:textId="77777777" w:rsidR="00AA521F" w:rsidRDefault="00AA521F" w:rsidP="00CD080C">
            <w:r>
              <w:t>EIT Score x Ambiguity/Conflict</w:t>
            </w:r>
          </w:p>
        </w:tc>
        <w:tc>
          <w:tcPr>
            <w:tcW w:w="1305" w:type="dxa"/>
            <w:vAlign w:val="center"/>
          </w:tcPr>
          <w:p w14:paraId="55CA5373" w14:textId="77777777" w:rsidR="00AA521F" w:rsidRDefault="00AA521F" w:rsidP="00CD080C">
            <w:pPr>
              <w:jc w:val="center"/>
            </w:pPr>
            <w:r>
              <w:t>2, 11</w:t>
            </w:r>
          </w:p>
        </w:tc>
        <w:tc>
          <w:tcPr>
            <w:tcW w:w="771" w:type="dxa"/>
            <w:vAlign w:val="center"/>
          </w:tcPr>
          <w:p w14:paraId="4DF039B2" w14:textId="77777777" w:rsidR="00AA521F" w:rsidRDefault="00AA521F" w:rsidP="00CD080C">
            <w:pPr>
              <w:jc w:val="center"/>
            </w:pPr>
            <w:r>
              <w:t>1.365</w:t>
            </w:r>
          </w:p>
        </w:tc>
        <w:tc>
          <w:tcPr>
            <w:tcW w:w="772" w:type="dxa"/>
            <w:vAlign w:val="center"/>
          </w:tcPr>
          <w:p w14:paraId="13E2301E" w14:textId="77777777" w:rsidR="00AA521F" w:rsidRDefault="00AA521F" w:rsidP="00CD080C">
            <w:pPr>
              <w:jc w:val="center"/>
            </w:pPr>
            <w:r>
              <w:t>.275</w:t>
            </w:r>
          </w:p>
        </w:tc>
        <w:tc>
          <w:tcPr>
            <w:tcW w:w="772" w:type="dxa"/>
            <w:vAlign w:val="center"/>
          </w:tcPr>
          <w:p w14:paraId="675CA931" w14:textId="77777777" w:rsidR="00AA521F" w:rsidRDefault="00AA521F" w:rsidP="00CD080C">
            <w:pPr>
              <w:jc w:val="center"/>
            </w:pPr>
            <w:r>
              <w:t>.102</w:t>
            </w:r>
          </w:p>
        </w:tc>
        <w:tc>
          <w:tcPr>
            <w:tcW w:w="1285" w:type="dxa"/>
            <w:vAlign w:val="center"/>
          </w:tcPr>
          <w:p w14:paraId="68D3A2C7" w14:textId="77777777" w:rsidR="00AA521F" w:rsidRDefault="00AA521F" w:rsidP="00CD080C">
            <w:pPr>
              <w:jc w:val="center"/>
            </w:pPr>
          </w:p>
        </w:tc>
        <w:tc>
          <w:tcPr>
            <w:tcW w:w="778" w:type="dxa"/>
            <w:vAlign w:val="center"/>
          </w:tcPr>
          <w:p w14:paraId="1A188E4D" w14:textId="77777777" w:rsidR="00AA521F" w:rsidRDefault="00AA521F" w:rsidP="00CD080C">
            <w:pPr>
              <w:jc w:val="center"/>
            </w:pPr>
          </w:p>
        </w:tc>
        <w:tc>
          <w:tcPr>
            <w:tcW w:w="778" w:type="dxa"/>
            <w:vAlign w:val="center"/>
          </w:tcPr>
          <w:p w14:paraId="3B17E9ED" w14:textId="77777777" w:rsidR="00AA521F" w:rsidRDefault="00AA521F" w:rsidP="00CD080C">
            <w:pPr>
              <w:jc w:val="center"/>
            </w:pPr>
          </w:p>
        </w:tc>
        <w:tc>
          <w:tcPr>
            <w:tcW w:w="779" w:type="dxa"/>
            <w:vAlign w:val="center"/>
          </w:tcPr>
          <w:p w14:paraId="1F760DA7" w14:textId="77777777" w:rsidR="00AA521F" w:rsidRDefault="00AA521F" w:rsidP="00CD080C">
            <w:pPr>
              <w:jc w:val="center"/>
            </w:pPr>
          </w:p>
        </w:tc>
      </w:tr>
      <w:tr w:rsidR="00CD080C" w14:paraId="78391C46" w14:textId="77777777" w:rsidTr="00CD080C">
        <w:tc>
          <w:tcPr>
            <w:tcW w:w="2110" w:type="dxa"/>
            <w:vAlign w:val="center"/>
          </w:tcPr>
          <w:p w14:paraId="240D31AE" w14:textId="77777777" w:rsidR="00AA521F" w:rsidRDefault="00AA521F" w:rsidP="00CD080C">
            <w:r>
              <w:t>Region 3</w:t>
            </w:r>
          </w:p>
        </w:tc>
        <w:tc>
          <w:tcPr>
            <w:tcW w:w="1305" w:type="dxa"/>
            <w:vAlign w:val="center"/>
          </w:tcPr>
          <w:p w14:paraId="29379749" w14:textId="77777777" w:rsidR="00AA521F" w:rsidRDefault="00AA521F" w:rsidP="00CD080C">
            <w:pPr>
              <w:jc w:val="center"/>
            </w:pPr>
          </w:p>
        </w:tc>
        <w:tc>
          <w:tcPr>
            <w:tcW w:w="771" w:type="dxa"/>
            <w:vAlign w:val="center"/>
          </w:tcPr>
          <w:p w14:paraId="54B39267" w14:textId="77777777" w:rsidR="00AA521F" w:rsidRDefault="00AA521F" w:rsidP="00CD080C">
            <w:pPr>
              <w:jc w:val="center"/>
            </w:pPr>
          </w:p>
        </w:tc>
        <w:tc>
          <w:tcPr>
            <w:tcW w:w="772" w:type="dxa"/>
            <w:vAlign w:val="center"/>
          </w:tcPr>
          <w:p w14:paraId="08044CD1" w14:textId="77777777" w:rsidR="00AA521F" w:rsidRDefault="00AA521F" w:rsidP="00CD080C">
            <w:pPr>
              <w:jc w:val="center"/>
            </w:pPr>
          </w:p>
        </w:tc>
        <w:tc>
          <w:tcPr>
            <w:tcW w:w="772" w:type="dxa"/>
            <w:vAlign w:val="center"/>
          </w:tcPr>
          <w:p w14:paraId="2803A7C6" w14:textId="77777777" w:rsidR="00AA521F" w:rsidRDefault="00AA521F" w:rsidP="00CD080C">
            <w:pPr>
              <w:jc w:val="center"/>
            </w:pPr>
          </w:p>
        </w:tc>
        <w:tc>
          <w:tcPr>
            <w:tcW w:w="1285" w:type="dxa"/>
            <w:vAlign w:val="center"/>
          </w:tcPr>
          <w:p w14:paraId="2F481319" w14:textId="77777777" w:rsidR="00AA521F" w:rsidRDefault="00AA521F" w:rsidP="00CD080C">
            <w:pPr>
              <w:jc w:val="center"/>
            </w:pPr>
          </w:p>
        </w:tc>
        <w:tc>
          <w:tcPr>
            <w:tcW w:w="778" w:type="dxa"/>
            <w:vAlign w:val="center"/>
          </w:tcPr>
          <w:p w14:paraId="7B117A73" w14:textId="77777777" w:rsidR="00AA521F" w:rsidRDefault="00AA521F" w:rsidP="00CD080C">
            <w:pPr>
              <w:jc w:val="center"/>
            </w:pPr>
          </w:p>
        </w:tc>
        <w:tc>
          <w:tcPr>
            <w:tcW w:w="778" w:type="dxa"/>
            <w:vAlign w:val="center"/>
          </w:tcPr>
          <w:p w14:paraId="68937BD8" w14:textId="77777777" w:rsidR="00AA521F" w:rsidRDefault="00AA521F" w:rsidP="00CD080C">
            <w:pPr>
              <w:jc w:val="center"/>
            </w:pPr>
          </w:p>
        </w:tc>
        <w:tc>
          <w:tcPr>
            <w:tcW w:w="779" w:type="dxa"/>
            <w:vAlign w:val="center"/>
          </w:tcPr>
          <w:p w14:paraId="7D030739" w14:textId="77777777" w:rsidR="00AA521F" w:rsidRDefault="00AA521F" w:rsidP="00CD080C">
            <w:pPr>
              <w:jc w:val="center"/>
            </w:pPr>
          </w:p>
        </w:tc>
      </w:tr>
      <w:tr w:rsidR="00CD080C" w14:paraId="099AE5BA" w14:textId="77777777" w:rsidTr="00CD080C">
        <w:tc>
          <w:tcPr>
            <w:tcW w:w="2110" w:type="dxa"/>
            <w:vAlign w:val="center"/>
          </w:tcPr>
          <w:p w14:paraId="41FEB253" w14:textId="77777777" w:rsidR="00AA521F" w:rsidRDefault="00AA521F" w:rsidP="00CD080C">
            <w:r>
              <w:t>Ambiguity/Conflict</w:t>
            </w:r>
          </w:p>
        </w:tc>
        <w:tc>
          <w:tcPr>
            <w:tcW w:w="1305" w:type="dxa"/>
            <w:vAlign w:val="center"/>
          </w:tcPr>
          <w:p w14:paraId="630BEE98" w14:textId="77777777" w:rsidR="00AA521F" w:rsidRDefault="00AA521F" w:rsidP="00CD080C">
            <w:pPr>
              <w:jc w:val="center"/>
            </w:pPr>
            <w:r>
              <w:t>2, 11</w:t>
            </w:r>
          </w:p>
        </w:tc>
        <w:tc>
          <w:tcPr>
            <w:tcW w:w="771" w:type="dxa"/>
            <w:vAlign w:val="center"/>
          </w:tcPr>
          <w:p w14:paraId="5BCD3241" w14:textId="77777777" w:rsidR="00AA521F" w:rsidRDefault="00AA521F" w:rsidP="00CD080C">
            <w:pPr>
              <w:jc w:val="center"/>
            </w:pPr>
            <w:r>
              <w:t>1.637</w:t>
            </w:r>
          </w:p>
        </w:tc>
        <w:tc>
          <w:tcPr>
            <w:tcW w:w="772" w:type="dxa"/>
            <w:vAlign w:val="center"/>
          </w:tcPr>
          <w:p w14:paraId="6A0DDD2C" w14:textId="77777777" w:rsidR="00AA521F" w:rsidRDefault="00AA521F" w:rsidP="00CD080C">
            <w:pPr>
              <w:jc w:val="center"/>
            </w:pPr>
            <w:r>
              <w:t>.216</w:t>
            </w:r>
          </w:p>
        </w:tc>
        <w:tc>
          <w:tcPr>
            <w:tcW w:w="772" w:type="dxa"/>
            <w:vAlign w:val="center"/>
          </w:tcPr>
          <w:p w14:paraId="30EAE0F7" w14:textId="77777777" w:rsidR="00AA521F" w:rsidRDefault="00AA521F" w:rsidP="00CD080C">
            <w:pPr>
              <w:jc w:val="center"/>
            </w:pPr>
            <w:r>
              <w:t>.120</w:t>
            </w:r>
          </w:p>
        </w:tc>
        <w:tc>
          <w:tcPr>
            <w:tcW w:w="1285" w:type="dxa"/>
            <w:vAlign w:val="center"/>
          </w:tcPr>
          <w:p w14:paraId="3DC5207F" w14:textId="77777777" w:rsidR="00AA521F" w:rsidRDefault="000128D0" w:rsidP="00CD080C">
            <w:pPr>
              <w:jc w:val="center"/>
            </w:pPr>
            <w:r>
              <w:t>1.370</w:t>
            </w:r>
            <w:r w:rsidR="00CD080C">
              <w:t>*</w:t>
            </w:r>
            <w:r>
              <w:t>, 15</w:t>
            </w:r>
          </w:p>
        </w:tc>
        <w:tc>
          <w:tcPr>
            <w:tcW w:w="778" w:type="dxa"/>
            <w:vAlign w:val="center"/>
          </w:tcPr>
          <w:p w14:paraId="4E7C8DE4" w14:textId="77777777" w:rsidR="00AA521F" w:rsidRDefault="000128D0" w:rsidP="00CD080C">
            <w:pPr>
              <w:jc w:val="center"/>
            </w:pPr>
            <w:r>
              <w:t>0.743</w:t>
            </w:r>
          </w:p>
        </w:tc>
        <w:tc>
          <w:tcPr>
            <w:tcW w:w="778" w:type="dxa"/>
            <w:vAlign w:val="center"/>
          </w:tcPr>
          <w:p w14:paraId="1B5C30EF" w14:textId="77777777" w:rsidR="00AA521F" w:rsidRDefault="000128D0" w:rsidP="00CD080C">
            <w:pPr>
              <w:jc w:val="center"/>
            </w:pPr>
            <w:r>
              <w:t>0.483</w:t>
            </w:r>
          </w:p>
        </w:tc>
        <w:tc>
          <w:tcPr>
            <w:tcW w:w="779" w:type="dxa"/>
            <w:vAlign w:val="center"/>
          </w:tcPr>
          <w:p w14:paraId="3ACDF0C7" w14:textId="77777777" w:rsidR="00AA521F" w:rsidRDefault="000128D0" w:rsidP="00CD080C">
            <w:pPr>
              <w:jc w:val="center"/>
            </w:pPr>
            <w:r>
              <w:t>0.042</w:t>
            </w:r>
          </w:p>
        </w:tc>
      </w:tr>
      <w:tr w:rsidR="00CD080C" w14:paraId="598DF59B" w14:textId="77777777" w:rsidTr="00CD080C">
        <w:tc>
          <w:tcPr>
            <w:tcW w:w="2110" w:type="dxa"/>
            <w:vAlign w:val="center"/>
          </w:tcPr>
          <w:p w14:paraId="166BC579" w14:textId="77777777" w:rsidR="00AA521F" w:rsidRDefault="00AA521F" w:rsidP="00CD080C">
            <w:r>
              <w:t>EIT Score x Ambiguity/Conflict</w:t>
            </w:r>
          </w:p>
        </w:tc>
        <w:tc>
          <w:tcPr>
            <w:tcW w:w="1305" w:type="dxa"/>
            <w:vAlign w:val="center"/>
          </w:tcPr>
          <w:p w14:paraId="3F836F93" w14:textId="77777777" w:rsidR="00AA521F" w:rsidRDefault="00AA521F" w:rsidP="00CD080C">
            <w:pPr>
              <w:jc w:val="center"/>
            </w:pPr>
            <w:r>
              <w:t>2, 11</w:t>
            </w:r>
          </w:p>
        </w:tc>
        <w:tc>
          <w:tcPr>
            <w:tcW w:w="771" w:type="dxa"/>
            <w:vAlign w:val="center"/>
          </w:tcPr>
          <w:p w14:paraId="305C3238" w14:textId="77777777" w:rsidR="00AA521F" w:rsidRDefault="00AA521F" w:rsidP="00CD080C">
            <w:pPr>
              <w:jc w:val="center"/>
            </w:pPr>
            <w:r>
              <w:t>1.572</w:t>
            </w:r>
          </w:p>
        </w:tc>
        <w:tc>
          <w:tcPr>
            <w:tcW w:w="772" w:type="dxa"/>
            <w:vAlign w:val="center"/>
          </w:tcPr>
          <w:p w14:paraId="5BFF63B0" w14:textId="77777777" w:rsidR="00AA521F" w:rsidRDefault="00AA521F" w:rsidP="00CD080C">
            <w:pPr>
              <w:jc w:val="center"/>
            </w:pPr>
            <w:r>
              <w:t>.228</w:t>
            </w:r>
          </w:p>
        </w:tc>
        <w:tc>
          <w:tcPr>
            <w:tcW w:w="772" w:type="dxa"/>
            <w:vAlign w:val="center"/>
          </w:tcPr>
          <w:p w14:paraId="6FA02C81" w14:textId="77777777" w:rsidR="00AA521F" w:rsidRDefault="00AA521F" w:rsidP="00CD080C">
            <w:pPr>
              <w:jc w:val="center"/>
            </w:pPr>
            <w:r>
              <w:t>.116</w:t>
            </w:r>
          </w:p>
        </w:tc>
        <w:tc>
          <w:tcPr>
            <w:tcW w:w="1285" w:type="dxa"/>
            <w:vAlign w:val="center"/>
          </w:tcPr>
          <w:p w14:paraId="6ED83B55" w14:textId="77777777" w:rsidR="00AA521F" w:rsidRDefault="00AA521F" w:rsidP="00CD080C">
            <w:pPr>
              <w:jc w:val="center"/>
            </w:pPr>
          </w:p>
        </w:tc>
        <w:tc>
          <w:tcPr>
            <w:tcW w:w="778" w:type="dxa"/>
            <w:vAlign w:val="center"/>
          </w:tcPr>
          <w:p w14:paraId="7869306D" w14:textId="77777777" w:rsidR="00AA521F" w:rsidRDefault="00AA521F" w:rsidP="00CD080C">
            <w:pPr>
              <w:jc w:val="center"/>
            </w:pPr>
          </w:p>
        </w:tc>
        <w:tc>
          <w:tcPr>
            <w:tcW w:w="778" w:type="dxa"/>
            <w:vAlign w:val="center"/>
          </w:tcPr>
          <w:p w14:paraId="7673ABDF" w14:textId="77777777" w:rsidR="00AA521F" w:rsidRDefault="00AA521F" w:rsidP="00CD080C">
            <w:pPr>
              <w:jc w:val="center"/>
            </w:pPr>
          </w:p>
        </w:tc>
        <w:tc>
          <w:tcPr>
            <w:tcW w:w="779" w:type="dxa"/>
            <w:vAlign w:val="center"/>
          </w:tcPr>
          <w:p w14:paraId="4E9587F7" w14:textId="77777777" w:rsidR="00AA521F" w:rsidRDefault="00AA521F" w:rsidP="00CD080C">
            <w:pPr>
              <w:jc w:val="center"/>
            </w:pPr>
          </w:p>
        </w:tc>
      </w:tr>
      <w:tr w:rsidR="00CD080C" w14:paraId="6530C3C9" w14:textId="77777777" w:rsidTr="00CD080C">
        <w:tc>
          <w:tcPr>
            <w:tcW w:w="2110" w:type="dxa"/>
            <w:vAlign w:val="center"/>
          </w:tcPr>
          <w:p w14:paraId="36142436" w14:textId="77777777" w:rsidR="00AA521F" w:rsidRDefault="00AA521F" w:rsidP="00CD080C">
            <w:r>
              <w:t>Region 4</w:t>
            </w:r>
          </w:p>
        </w:tc>
        <w:tc>
          <w:tcPr>
            <w:tcW w:w="1305" w:type="dxa"/>
            <w:vAlign w:val="center"/>
          </w:tcPr>
          <w:p w14:paraId="3DBDEA7C" w14:textId="77777777" w:rsidR="00AA521F" w:rsidRDefault="00AA521F" w:rsidP="00CD080C">
            <w:pPr>
              <w:jc w:val="center"/>
            </w:pPr>
          </w:p>
        </w:tc>
        <w:tc>
          <w:tcPr>
            <w:tcW w:w="771" w:type="dxa"/>
            <w:vAlign w:val="center"/>
          </w:tcPr>
          <w:p w14:paraId="39D959BC" w14:textId="77777777" w:rsidR="00AA521F" w:rsidRDefault="00AA521F" w:rsidP="00CD080C">
            <w:pPr>
              <w:jc w:val="center"/>
            </w:pPr>
          </w:p>
        </w:tc>
        <w:tc>
          <w:tcPr>
            <w:tcW w:w="772" w:type="dxa"/>
            <w:vAlign w:val="center"/>
          </w:tcPr>
          <w:p w14:paraId="62544E19" w14:textId="77777777" w:rsidR="00AA521F" w:rsidRDefault="00AA521F" w:rsidP="00CD080C">
            <w:pPr>
              <w:jc w:val="center"/>
            </w:pPr>
          </w:p>
        </w:tc>
        <w:tc>
          <w:tcPr>
            <w:tcW w:w="772" w:type="dxa"/>
            <w:vAlign w:val="center"/>
          </w:tcPr>
          <w:p w14:paraId="5744F5E3" w14:textId="77777777" w:rsidR="00AA521F" w:rsidRDefault="00AA521F" w:rsidP="00CD080C">
            <w:pPr>
              <w:jc w:val="center"/>
            </w:pPr>
          </w:p>
        </w:tc>
        <w:tc>
          <w:tcPr>
            <w:tcW w:w="1285" w:type="dxa"/>
            <w:vAlign w:val="center"/>
          </w:tcPr>
          <w:p w14:paraId="0B99F962" w14:textId="77777777" w:rsidR="00AA521F" w:rsidRDefault="00AA521F" w:rsidP="00CD080C">
            <w:pPr>
              <w:jc w:val="center"/>
            </w:pPr>
          </w:p>
        </w:tc>
        <w:tc>
          <w:tcPr>
            <w:tcW w:w="778" w:type="dxa"/>
            <w:vAlign w:val="center"/>
          </w:tcPr>
          <w:p w14:paraId="2D00D801" w14:textId="77777777" w:rsidR="00AA521F" w:rsidRDefault="00AA521F" w:rsidP="00CD080C">
            <w:pPr>
              <w:jc w:val="center"/>
            </w:pPr>
          </w:p>
        </w:tc>
        <w:tc>
          <w:tcPr>
            <w:tcW w:w="778" w:type="dxa"/>
            <w:vAlign w:val="center"/>
          </w:tcPr>
          <w:p w14:paraId="146B6912" w14:textId="77777777" w:rsidR="00AA521F" w:rsidRDefault="00AA521F" w:rsidP="00CD080C">
            <w:pPr>
              <w:jc w:val="center"/>
            </w:pPr>
          </w:p>
        </w:tc>
        <w:tc>
          <w:tcPr>
            <w:tcW w:w="779" w:type="dxa"/>
            <w:vAlign w:val="center"/>
          </w:tcPr>
          <w:p w14:paraId="77AA8EAF" w14:textId="77777777" w:rsidR="00AA521F" w:rsidRDefault="00AA521F" w:rsidP="00CD080C">
            <w:pPr>
              <w:jc w:val="center"/>
            </w:pPr>
          </w:p>
        </w:tc>
      </w:tr>
      <w:tr w:rsidR="00CD080C" w14:paraId="7C67345A" w14:textId="77777777" w:rsidTr="00CD080C">
        <w:tc>
          <w:tcPr>
            <w:tcW w:w="2110" w:type="dxa"/>
            <w:vAlign w:val="center"/>
          </w:tcPr>
          <w:p w14:paraId="1AD3EBBC" w14:textId="77777777" w:rsidR="00AA521F" w:rsidRDefault="00AA521F" w:rsidP="00CD080C">
            <w:r>
              <w:t>Ambiguity/Conflict</w:t>
            </w:r>
          </w:p>
        </w:tc>
        <w:tc>
          <w:tcPr>
            <w:tcW w:w="1305" w:type="dxa"/>
            <w:vAlign w:val="center"/>
          </w:tcPr>
          <w:p w14:paraId="4F074C7C" w14:textId="77777777" w:rsidR="00AA521F" w:rsidRDefault="00AA521F" w:rsidP="00CD080C">
            <w:pPr>
              <w:jc w:val="center"/>
            </w:pPr>
            <w:r>
              <w:t>1.243</w:t>
            </w:r>
            <w:r w:rsidR="00CD080C">
              <w:t>*</w:t>
            </w:r>
            <w:r>
              <w:t>, 11</w:t>
            </w:r>
          </w:p>
        </w:tc>
        <w:tc>
          <w:tcPr>
            <w:tcW w:w="771" w:type="dxa"/>
            <w:vAlign w:val="center"/>
          </w:tcPr>
          <w:p w14:paraId="660E0BEF" w14:textId="77777777" w:rsidR="00AA521F" w:rsidRDefault="00AA521F" w:rsidP="00CD080C">
            <w:pPr>
              <w:jc w:val="center"/>
            </w:pPr>
            <w:r>
              <w:t>1.011</w:t>
            </w:r>
          </w:p>
        </w:tc>
        <w:tc>
          <w:tcPr>
            <w:tcW w:w="772" w:type="dxa"/>
            <w:vAlign w:val="center"/>
          </w:tcPr>
          <w:p w14:paraId="43ECB654" w14:textId="77777777" w:rsidR="00AA521F" w:rsidRDefault="00AA521F" w:rsidP="00CD080C">
            <w:pPr>
              <w:jc w:val="center"/>
            </w:pPr>
            <w:r>
              <w:t>.350</w:t>
            </w:r>
          </w:p>
        </w:tc>
        <w:tc>
          <w:tcPr>
            <w:tcW w:w="772" w:type="dxa"/>
            <w:vAlign w:val="center"/>
          </w:tcPr>
          <w:p w14:paraId="6B1B7A92" w14:textId="77777777" w:rsidR="00AA521F" w:rsidRDefault="00AA521F" w:rsidP="00CD080C">
            <w:pPr>
              <w:jc w:val="center"/>
            </w:pPr>
            <w:r>
              <w:t>.078</w:t>
            </w:r>
          </w:p>
        </w:tc>
        <w:tc>
          <w:tcPr>
            <w:tcW w:w="1285" w:type="dxa"/>
            <w:vAlign w:val="center"/>
          </w:tcPr>
          <w:p w14:paraId="183A2CE0" w14:textId="77777777" w:rsidR="00AA521F" w:rsidRDefault="000128D0" w:rsidP="00CD080C">
            <w:pPr>
              <w:jc w:val="center"/>
            </w:pPr>
            <w:r>
              <w:t>2, 15</w:t>
            </w:r>
          </w:p>
        </w:tc>
        <w:tc>
          <w:tcPr>
            <w:tcW w:w="778" w:type="dxa"/>
            <w:vAlign w:val="center"/>
          </w:tcPr>
          <w:p w14:paraId="0AD84E57" w14:textId="77777777" w:rsidR="00AA521F" w:rsidRDefault="000128D0" w:rsidP="00CD080C">
            <w:pPr>
              <w:jc w:val="center"/>
            </w:pPr>
            <w:r>
              <w:t>1.559</w:t>
            </w:r>
          </w:p>
        </w:tc>
        <w:tc>
          <w:tcPr>
            <w:tcW w:w="778" w:type="dxa"/>
            <w:vAlign w:val="center"/>
          </w:tcPr>
          <w:p w14:paraId="27422597" w14:textId="77777777" w:rsidR="00AA521F" w:rsidRDefault="000128D0" w:rsidP="00CD080C">
            <w:pPr>
              <w:jc w:val="center"/>
            </w:pPr>
            <w:r>
              <w:t>0.225</w:t>
            </w:r>
          </w:p>
        </w:tc>
        <w:tc>
          <w:tcPr>
            <w:tcW w:w="779" w:type="dxa"/>
            <w:vAlign w:val="center"/>
          </w:tcPr>
          <w:p w14:paraId="2FA8DE5C" w14:textId="77777777" w:rsidR="00AA521F" w:rsidRDefault="000128D0" w:rsidP="00CD080C">
            <w:pPr>
              <w:jc w:val="center"/>
            </w:pPr>
            <w:r>
              <w:t>0.084</w:t>
            </w:r>
          </w:p>
        </w:tc>
      </w:tr>
      <w:tr w:rsidR="00CD080C" w14:paraId="31B9D567" w14:textId="77777777" w:rsidTr="00CD080C">
        <w:tc>
          <w:tcPr>
            <w:tcW w:w="2110" w:type="dxa"/>
            <w:vAlign w:val="center"/>
          </w:tcPr>
          <w:p w14:paraId="1E506519" w14:textId="77777777" w:rsidR="00AA521F" w:rsidRDefault="00AA521F" w:rsidP="00CD080C">
            <w:r>
              <w:t>EIT Score x Ambiguity/Conflict</w:t>
            </w:r>
          </w:p>
        </w:tc>
        <w:tc>
          <w:tcPr>
            <w:tcW w:w="1305" w:type="dxa"/>
            <w:vAlign w:val="center"/>
          </w:tcPr>
          <w:p w14:paraId="0D432210" w14:textId="77777777" w:rsidR="00AA521F" w:rsidRDefault="00AA521F" w:rsidP="00CD080C">
            <w:pPr>
              <w:jc w:val="center"/>
            </w:pPr>
            <w:r>
              <w:t>1.243</w:t>
            </w:r>
            <w:r w:rsidR="00CD080C">
              <w:t>*</w:t>
            </w:r>
            <w:r>
              <w:t>, 11</w:t>
            </w:r>
          </w:p>
        </w:tc>
        <w:tc>
          <w:tcPr>
            <w:tcW w:w="771" w:type="dxa"/>
            <w:vAlign w:val="center"/>
          </w:tcPr>
          <w:p w14:paraId="637E7935" w14:textId="77777777" w:rsidR="00AA521F" w:rsidRDefault="00AA521F" w:rsidP="00CD080C">
            <w:pPr>
              <w:jc w:val="center"/>
            </w:pPr>
            <w:r>
              <w:t>.289</w:t>
            </w:r>
          </w:p>
        </w:tc>
        <w:tc>
          <w:tcPr>
            <w:tcW w:w="772" w:type="dxa"/>
            <w:vAlign w:val="center"/>
          </w:tcPr>
          <w:p w14:paraId="05FCC557" w14:textId="77777777" w:rsidR="00AA521F" w:rsidRDefault="00AA521F" w:rsidP="00CD080C">
            <w:pPr>
              <w:jc w:val="center"/>
            </w:pPr>
            <w:r>
              <w:t>.648</w:t>
            </w:r>
          </w:p>
        </w:tc>
        <w:tc>
          <w:tcPr>
            <w:tcW w:w="772" w:type="dxa"/>
            <w:vAlign w:val="center"/>
          </w:tcPr>
          <w:p w14:paraId="4D2B6156" w14:textId="77777777" w:rsidR="00AA521F" w:rsidRDefault="00AA521F" w:rsidP="00CD080C">
            <w:pPr>
              <w:jc w:val="center"/>
            </w:pPr>
            <w:r>
              <w:t>.024</w:t>
            </w:r>
          </w:p>
        </w:tc>
        <w:tc>
          <w:tcPr>
            <w:tcW w:w="1285" w:type="dxa"/>
            <w:vAlign w:val="center"/>
          </w:tcPr>
          <w:p w14:paraId="14420C11" w14:textId="77777777" w:rsidR="00AA521F" w:rsidRDefault="00AA521F" w:rsidP="00CD080C">
            <w:pPr>
              <w:jc w:val="center"/>
            </w:pPr>
          </w:p>
        </w:tc>
        <w:tc>
          <w:tcPr>
            <w:tcW w:w="778" w:type="dxa"/>
            <w:vAlign w:val="center"/>
          </w:tcPr>
          <w:p w14:paraId="44D5AA43" w14:textId="77777777" w:rsidR="00AA521F" w:rsidRDefault="00AA521F" w:rsidP="00CD080C">
            <w:pPr>
              <w:jc w:val="center"/>
            </w:pPr>
          </w:p>
        </w:tc>
        <w:tc>
          <w:tcPr>
            <w:tcW w:w="778" w:type="dxa"/>
            <w:vAlign w:val="center"/>
          </w:tcPr>
          <w:p w14:paraId="53F1AE1F" w14:textId="77777777" w:rsidR="00AA521F" w:rsidRDefault="00AA521F" w:rsidP="00CD080C">
            <w:pPr>
              <w:jc w:val="center"/>
            </w:pPr>
          </w:p>
        </w:tc>
        <w:tc>
          <w:tcPr>
            <w:tcW w:w="779" w:type="dxa"/>
            <w:vAlign w:val="center"/>
          </w:tcPr>
          <w:p w14:paraId="79B1B6AC" w14:textId="77777777" w:rsidR="00AA521F" w:rsidRDefault="00AA521F" w:rsidP="00CD080C">
            <w:pPr>
              <w:jc w:val="center"/>
            </w:pPr>
          </w:p>
        </w:tc>
      </w:tr>
      <w:tr w:rsidR="00CD080C" w14:paraId="3566063F" w14:textId="77777777" w:rsidTr="00CD080C">
        <w:tc>
          <w:tcPr>
            <w:tcW w:w="2110" w:type="dxa"/>
            <w:vAlign w:val="center"/>
          </w:tcPr>
          <w:p w14:paraId="413CA011" w14:textId="77777777" w:rsidR="00AA521F" w:rsidRDefault="00AA521F" w:rsidP="00CD080C">
            <w:r>
              <w:t>Region 5</w:t>
            </w:r>
          </w:p>
        </w:tc>
        <w:tc>
          <w:tcPr>
            <w:tcW w:w="1305" w:type="dxa"/>
            <w:vAlign w:val="center"/>
          </w:tcPr>
          <w:p w14:paraId="4DD5893C" w14:textId="77777777" w:rsidR="00AA521F" w:rsidRDefault="00AA521F" w:rsidP="00CD080C">
            <w:pPr>
              <w:jc w:val="center"/>
            </w:pPr>
          </w:p>
        </w:tc>
        <w:tc>
          <w:tcPr>
            <w:tcW w:w="771" w:type="dxa"/>
            <w:vAlign w:val="center"/>
          </w:tcPr>
          <w:p w14:paraId="13FEB391" w14:textId="77777777" w:rsidR="00AA521F" w:rsidRDefault="00AA521F" w:rsidP="00CD080C">
            <w:pPr>
              <w:jc w:val="center"/>
            </w:pPr>
          </w:p>
        </w:tc>
        <w:tc>
          <w:tcPr>
            <w:tcW w:w="772" w:type="dxa"/>
            <w:vAlign w:val="center"/>
          </w:tcPr>
          <w:p w14:paraId="2D3B8350" w14:textId="77777777" w:rsidR="00AA521F" w:rsidRDefault="00AA521F" w:rsidP="00CD080C">
            <w:pPr>
              <w:jc w:val="center"/>
            </w:pPr>
          </w:p>
        </w:tc>
        <w:tc>
          <w:tcPr>
            <w:tcW w:w="772" w:type="dxa"/>
            <w:vAlign w:val="center"/>
          </w:tcPr>
          <w:p w14:paraId="5F297265" w14:textId="77777777" w:rsidR="00AA521F" w:rsidRDefault="00AA521F" w:rsidP="00CD080C">
            <w:pPr>
              <w:jc w:val="center"/>
            </w:pPr>
          </w:p>
        </w:tc>
        <w:tc>
          <w:tcPr>
            <w:tcW w:w="1285" w:type="dxa"/>
            <w:vAlign w:val="center"/>
          </w:tcPr>
          <w:p w14:paraId="541680D4" w14:textId="77777777" w:rsidR="00AA521F" w:rsidRDefault="00AA521F" w:rsidP="00CD080C">
            <w:pPr>
              <w:jc w:val="center"/>
            </w:pPr>
          </w:p>
        </w:tc>
        <w:tc>
          <w:tcPr>
            <w:tcW w:w="778" w:type="dxa"/>
            <w:vAlign w:val="center"/>
          </w:tcPr>
          <w:p w14:paraId="7E5933AE" w14:textId="77777777" w:rsidR="00AA521F" w:rsidRDefault="00AA521F" w:rsidP="00CD080C">
            <w:pPr>
              <w:jc w:val="center"/>
            </w:pPr>
          </w:p>
        </w:tc>
        <w:tc>
          <w:tcPr>
            <w:tcW w:w="778" w:type="dxa"/>
            <w:vAlign w:val="center"/>
          </w:tcPr>
          <w:p w14:paraId="3F20A547" w14:textId="77777777" w:rsidR="00AA521F" w:rsidRDefault="00AA521F" w:rsidP="00CD080C">
            <w:pPr>
              <w:jc w:val="center"/>
            </w:pPr>
          </w:p>
        </w:tc>
        <w:tc>
          <w:tcPr>
            <w:tcW w:w="779" w:type="dxa"/>
            <w:vAlign w:val="center"/>
          </w:tcPr>
          <w:p w14:paraId="6271736D" w14:textId="77777777" w:rsidR="00AA521F" w:rsidRDefault="00AA521F" w:rsidP="00CD080C">
            <w:pPr>
              <w:jc w:val="center"/>
            </w:pPr>
          </w:p>
        </w:tc>
      </w:tr>
      <w:tr w:rsidR="00CD080C" w14:paraId="3948CB3A" w14:textId="77777777" w:rsidTr="00CD080C">
        <w:tc>
          <w:tcPr>
            <w:tcW w:w="2110" w:type="dxa"/>
            <w:vAlign w:val="center"/>
          </w:tcPr>
          <w:p w14:paraId="260A7D13" w14:textId="77777777" w:rsidR="00AA521F" w:rsidRDefault="00AA521F" w:rsidP="00CD080C">
            <w:r>
              <w:t>Ambiguity/Conflict</w:t>
            </w:r>
          </w:p>
        </w:tc>
        <w:tc>
          <w:tcPr>
            <w:tcW w:w="1305" w:type="dxa"/>
            <w:vAlign w:val="center"/>
          </w:tcPr>
          <w:p w14:paraId="7B6D01BD" w14:textId="77777777" w:rsidR="00AA521F" w:rsidRDefault="00AA521F" w:rsidP="00CD080C">
            <w:pPr>
              <w:jc w:val="center"/>
            </w:pPr>
            <w:r>
              <w:t>2, 11</w:t>
            </w:r>
          </w:p>
        </w:tc>
        <w:tc>
          <w:tcPr>
            <w:tcW w:w="771" w:type="dxa"/>
            <w:vAlign w:val="center"/>
          </w:tcPr>
          <w:p w14:paraId="1FE8A693" w14:textId="77777777" w:rsidR="00AA521F" w:rsidRDefault="00AA521F" w:rsidP="00CD080C">
            <w:pPr>
              <w:jc w:val="center"/>
            </w:pPr>
            <w:r>
              <w:t>.704</w:t>
            </w:r>
          </w:p>
        </w:tc>
        <w:tc>
          <w:tcPr>
            <w:tcW w:w="772" w:type="dxa"/>
            <w:vAlign w:val="center"/>
          </w:tcPr>
          <w:p w14:paraId="3B4B1312" w14:textId="77777777" w:rsidR="00AA521F" w:rsidRDefault="00AA521F" w:rsidP="00CD080C">
            <w:pPr>
              <w:jc w:val="center"/>
            </w:pPr>
            <w:r>
              <w:t>.505</w:t>
            </w:r>
          </w:p>
        </w:tc>
        <w:tc>
          <w:tcPr>
            <w:tcW w:w="772" w:type="dxa"/>
            <w:vAlign w:val="center"/>
          </w:tcPr>
          <w:p w14:paraId="4A275FD2" w14:textId="77777777" w:rsidR="00AA521F" w:rsidRDefault="00AA521F" w:rsidP="00CD080C">
            <w:pPr>
              <w:jc w:val="center"/>
            </w:pPr>
            <w:r>
              <w:t>.055</w:t>
            </w:r>
          </w:p>
        </w:tc>
        <w:tc>
          <w:tcPr>
            <w:tcW w:w="1285" w:type="dxa"/>
            <w:vAlign w:val="center"/>
          </w:tcPr>
          <w:p w14:paraId="6393E3AA" w14:textId="77777777" w:rsidR="00AA521F" w:rsidRDefault="000128D0" w:rsidP="00CD080C">
            <w:pPr>
              <w:jc w:val="center"/>
            </w:pPr>
            <w:r>
              <w:t>1.094</w:t>
            </w:r>
            <w:r w:rsidR="00CD080C">
              <w:t>*</w:t>
            </w:r>
            <w:r>
              <w:t>, 15</w:t>
            </w:r>
          </w:p>
        </w:tc>
        <w:tc>
          <w:tcPr>
            <w:tcW w:w="778" w:type="dxa"/>
            <w:vAlign w:val="center"/>
          </w:tcPr>
          <w:p w14:paraId="3B91CB92" w14:textId="77777777" w:rsidR="00AA521F" w:rsidRDefault="000128D0" w:rsidP="00CD080C">
            <w:pPr>
              <w:jc w:val="center"/>
            </w:pPr>
            <w:r>
              <w:t>0.250</w:t>
            </w:r>
          </w:p>
        </w:tc>
        <w:tc>
          <w:tcPr>
            <w:tcW w:w="778" w:type="dxa"/>
            <w:vAlign w:val="center"/>
          </w:tcPr>
          <w:p w14:paraId="633B7F92" w14:textId="77777777" w:rsidR="00AA521F" w:rsidRDefault="000128D0" w:rsidP="00CD080C">
            <w:pPr>
              <w:jc w:val="center"/>
            </w:pPr>
            <w:r>
              <w:t>0.645</w:t>
            </w:r>
          </w:p>
        </w:tc>
        <w:tc>
          <w:tcPr>
            <w:tcW w:w="779" w:type="dxa"/>
            <w:vAlign w:val="center"/>
          </w:tcPr>
          <w:p w14:paraId="7C99F494" w14:textId="77777777" w:rsidR="00AA521F" w:rsidRDefault="000128D0" w:rsidP="00CD080C">
            <w:pPr>
              <w:jc w:val="center"/>
            </w:pPr>
            <w:r>
              <w:t>0.014</w:t>
            </w:r>
          </w:p>
        </w:tc>
      </w:tr>
      <w:tr w:rsidR="00CD080C" w14:paraId="49DE537A" w14:textId="77777777" w:rsidTr="00CD080C">
        <w:tc>
          <w:tcPr>
            <w:tcW w:w="2110" w:type="dxa"/>
            <w:vAlign w:val="center"/>
          </w:tcPr>
          <w:p w14:paraId="38A9347B" w14:textId="77777777" w:rsidR="00AA521F" w:rsidRDefault="00AA521F" w:rsidP="00CD080C">
            <w:r>
              <w:t>EIT Score x Ambiguity/Conflict</w:t>
            </w:r>
          </w:p>
        </w:tc>
        <w:tc>
          <w:tcPr>
            <w:tcW w:w="1305" w:type="dxa"/>
            <w:vAlign w:val="center"/>
          </w:tcPr>
          <w:p w14:paraId="4E4F264E" w14:textId="77777777" w:rsidR="00AA521F" w:rsidRDefault="00AA521F" w:rsidP="00CD080C">
            <w:pPr>
              <w:jc w:val="center"/>
            </w:pPr>
            <w:r>
              <w:t>2, 11</w:t>
            </w:r>
          </w:p>
        </w:tc>
        <w:tc>
          <w:tcPr>
            <w:tcW w:w="771" w:type="dxa"/>
            <w:vAlign w:val="center"/>
          </w:tcPr>
          <w:p w14:paraId="4D7D4D16" w14:textId="77777777" w:rsidR="00AA521F" w:rsidRDefault="00AA521F" w:rsidP="00CD080C">
            <w:pPr>
              <w:jc w:val="center"/>
            </w:pPr>
            <w:r>
              <w:t>.698</w:t>
            </w:r>
          </w:p>
        </w:tc>
        <w:tc>
          <w:tcPr>
            <w:tcW w:w="772" w:type="dxa"/>
            <w:vAlign w:val="center"/>
          </w:tcPr>
          <w:p w14:paraId="5B031B29" w14:textId="77777777" w:rsidR="00AA521F" w:rsidRDefault="00AA521F" w:rsidP="00CD080C">
            <w:pPr>
              <w:jc w:val="center"/>
            </w:pPr>
            <w:r>
              <w:t>.507</w:t>
            </w:r>
          </w:p>
        </w:tc>
        <w:tc>
          <w:tcPr>
            <w:tcW w:w="772" w:type="dxa"/>
            <w:vAlign w:val="center"/>
          </w:tcPr>
          <w:p w14:paraId="2135C964" w14:textId="77777777" w:rsidR="00AA521F" w:rsidRDefault="00AA521F" w:rsidP="00CD080C">
            <w:pPr>
              <w:jc w:val="center"/>
            </w:pPr>
            <w:r>
              <w:t>.055</w:t>
            </w:r>
          </w:p>
        </w:tc>
        <w:tc>
          <w:tcPr>
            <w:tcW w:w="1285" w:type="dxa"/>
            <w:vAlign w:val="center"/>
          </w:tcPr>
          <w:p w14:paraId="277BBE79" w14:textId="77777777" w:rsidR="00AA521F" w:rsidRDefault="00AA521F" w:rsidP="00CD080C">
            <w:pPr>
              <w:jc w:val="center"/>
            </w:pPr>
          </w:p>
        </w:tc>
        <w:tc>
          <w:tcPr>
            <w:tcW w:w="778" w:type="dxa"/>
            <w:vAlign w:val="center"/>
          </w:tcPr>
          <w:p w14:paraId="5146E3D3" w14:textId="77777777" w:rsidR="00AA521F" w:rsidRDefault="00AA521F" w:rsidP="00CD080C">
            <w:pPr>
              <w:jc w:val="center"/>
            </w:pPr>
          </w:p>
        </w:tc>
        <w:tc>
          <w:tcPr>
            <w:tcW w:w="778" w:type="dxa"/>
            <w:vAlign w:val="center"/>
          </w:tcPr>
          <w:p w14:paraId="279EF483" w14:textId="77777777" w:rsidR="00AA521F" w:rsidRDefault="00AA521F" w:rsidP="00CD080C">
            <w:pPr>
              <w:jc w:val="center"/>
            </w:pPr>
          </w:p>
        </w:tc>
        <w:tc>
          <w:tcPr>
            <w:tcW w:w="779" w:type="dxa"/>
            <w:vAlign w:val="center"/>
          </w:tcPr>
          <w:p w14:paraId="18171DC9" w14:textId="77777777" w:rsidR="00AA521F" w:rsidRDefault="00AA521F" w:rsidP="00CD080C">
            <w:pPr>
              <w:jc w:val="center"/>
            </w:pPr>
          </w:p>
        </w:tc>
      </w:tr>
    </w:tbl>
    <w:p w14:paraId="713556A5" w14:textId="77777777" w:rsidR="00CD080C" w:rsidRDefault="00CD080C" w:rsidP="00CD080C">
      <w:r w:rsidRPr="00CD080C">
        <w:t>*</w:t>
      </w:r>
      <w:r>
        <w:t xml:space="preserve">  Value </w:t>
      </w:r>
      <w:r w:rsidRPr="00CD080C">
        <w:t>corrected for sphericity with Greenhouse-</w:t>
      </w:r>
      <w:proofErr w:type="spellStart"/>
      <w:r w:rsidRPr="00CD080C">
        <w:t>Geisser</w:t>
      </w:r>
      <w:proofErr w:type="spellEnd"/>
      <w:r w:rsidRPr="00CD080C">
        <w:t xml:space="preserve"> correction</w:t>
      </w:r>
    </w:p>
    <w:p w14:paraId="443D97B8" w14:textId="77777777" w:rsidR="00FC53FA" w:rsidRDefault="00FC53FA">
      <w:r>
        <w:br w:type="page"/>
      </w:r>
    </w:p>
    <w:p w14:paraId="1488CA86" w14:textId="45AE213A" w:rsidR="00E32505" w:rsidRDefault="00243727">
      <w:bookmarkStart w:id="8" w:name="ChangesDiscussionConclusion"/>
      <w:r>
        <w:lastRenderedPageBreak/>
        <w:t xml:space="preserve">Proposed Changes, </w:t>
      </w:r>
      <w:r w:rsidR="00E32505" w:rsidRPr="00E32505">
        <w:t>Discussion &amp; Conclusion</w:t>
      </w:r>
    </w:p>
    <w:bookmarkEnd w:id="8"/>
    <w:p w14:paraId="5ECE3744" w14:textId="2F071369" w:rsidR="002C01F0" w:rsidRDefault="00032C55">
      <w:pPr>
        <w:rPr>
          <w:i/>
        </w:rPr>
      </w:pPr>
      <w:r>
        <w:rPr>
          <w:i/>
        </w:rPr>
        <w:t>Study 1</w:t>
      </w:r>
    </w:p>
    <w:p w14:paraId="22C0FDC7" w14:textId="5C86F5A9" w:rsidR="0012533E" w:rsidRDefault="00032C55">
      <w:r>
        <w:tab/>
      </w:r>
      <w:r w:rsidR="00C25A7F">
        <w:t>For the pilot study</w:t>
      </w:r>
      <w:r w:rsidR="000B2FE7">
        <w:t xml:space="preserve"> with early bilinguals</w:t>
      </w:r>
      <w:r w:rsidR="00C25A7F">
        <w:t>, only five participants were recruited t</w:t>
      </w:r>
      <w:r w:rsidR="007F2C7B">
        <w:t xml:space="preserve">o test the materials, so the statistical power was limited. However, </w:t>
      </w:r>
      <w:r w:rsidR="00403779">
        <w:t xml:space="preserve">the data collected from these five participants </w:t>
      </w:r>
      <w:r w:rsidR="0012533E">
        <w:t xml:space="preserve">is still informative. In terms of transitivity, we see a slow-down at Region 2 in the intransitive (unambiguous) sentence. </w:t>
      </w:r>
      <w:r w:rsidR="0012533E" w:rsidRPr="00D1573B">
        <w:t xml:space="preserve">This was not found in </w:t>
      </w:r>
      <w:proofErr w:type="spellStart"/>
      <w:r w:rsidR="0012533E" w:rsidRPr="00D1573B">
        <w:t>Jegerski’s</w:t>
      </w:r>
      <w:proofErr w:type="spellEnd"/>
      <w:r w:rsidR="0012533E" w:rsidRPr="00D1573B">
        <w:t xml:space="preserve"> (2012) results, so this is an unexpected result. </w:t>
      </w:r>
      <w:r w:rsidR="00D1573B" w:rsidRPr="00D1573B">
        <w:t>While there were differences in stimuli presentation and data handling (word-by-word vs region-by-region; raw RTs vs RRTs), these are unlikely to have created this difference</w:t>
      </w:r>
      <w:r w:rsidR="00D1573B">
        <w:t xml:space="preserve"> since Region 2 was only one word long and the RRTs </w:t>
      </w:r>
      <w:r w:rsidR="005E7EF9">
        <w:t>are calculated using the number of letters, which is balanced across conditions</w:t>
      </w:r>
      <w:r w:rsidR="00D1573B" w:rsidRPr="00D1573B">
        <w:t xml:space="preserve">. </w:t>
      </w:r>
      <w:r w:rsidR="006469E8" w:rsidRPr="00D1573B">
        <w:t xml:space="preserve">It </w:t>
      </w:r>
      <w:r w:rsidR="00D1573B" w:rsidRPr="00D1573B">
        <w:t xml:space="preserve">may </w:t>
      </w:r>
      <w:r w:rsidR="006469E8" w:rsidRPr="00D1573B">
        <w:t>reflect</w:t>
      </w:r>
      <w:r w:rsidR="00D1573B" w:rsidRPr="00D1573B">
        <w:t xml:space="preserve"> a </w:t>
      </w:r>
      <w:r w:rsidR="006469E8" w:rsidRPr="00D1573B">
        <w:t>the transitivity of the words</w:t>
      </w:r>
      <w:r w:rsidR="00083981" w:rsidRPr="00D1573B">
        <w:t>: transitive verbs in conditions 1 and 2 accept direct objects, but the subcategorization matrix of an intransitive verb slows the reader down, essentially to insert a pause where one might expect a comma in a non-experimental setting.</w:t>
      </w:r>
      <w:r w:rsidR="00D032AE">
        <w:t xml:space="preserve"> </w:t>
      </w:r>
      <w:r w:rsidR="005E7EF9">
        <w:t>Upon more fine-grained analysis of individual participants, it doesn’t localize in one participant, so more data is needed to see if this is a generalizable finding.</w:t>
      </w:r>
    </w:p>
    <w:p w14:paraId="51F7FFF7" w14:textId="48D582DE" w:rsidR="002D43DA" w:rsidRDefault="00083981" w:rsidP="005E7EF9">
      <w:pPr>
        <w:ind w:firstLine="720"/>
      </w:pPr>
      <w:r>
        <w:t>In terms of congruency of the preceding non-linguistic trials, the results</w:t>
      </w:r>
      <w:r w:rsidR="00403779">
        <w:t xml:space="preserve"> reveal the anticipated pattern: activation of cognitive control would facilitate the resolution of the ambiguity in the critical region of the sentence (Region 3). The means of the two ambiguous conditions (regardless of the congruency of the preceding stimulus) are effectively indistinguishable in regions 2, 4 and 5. It is important to remember when </w:t>
      </w:r>
      <w:r w:rsidR="002D43DA">
        <w:t>considering these results that the sentences in these two conditions were counterbalanced, so while some participants saw sentences 1-10 with an incongruent preceding flanker, others saw these same sentences with a congruent preceding flanker, so the differences at Region 1 and Region 3 can be reasonably associated with the preceding trials’ congruency: incongruence triggers faster initial reading and faster resolution of the ambiguity.</w:t>
      </w:r>
      <w:r w:rsidR="00AB75AF">
        <w:t xml:space="preserve"> </w:t>
      </w:r>
    </w:p>
    <w:p w14:paraId="663C0C98" w14:textId="53FE1F89" w:rsidR="00AB75AF" w:rsidRDefault="00AB75AF">
      <w:r>
        <w:tab/>
        <w:t xml:space="preserve">Comparing the three conditions simultaneously is more difficult because the study is missing the fourth permutation of the two variables (transitivity and congruency). Does activation of cognitive control allow the parser to resolve ambiguities faster than to process unambiguous structures (Region 3, Condition 1 vs Condition 3)? This seems unlikely, but ushers in the importance of the inclusion of the [-ambiguous, -congruent] condition in the full study that will follow, in order to compare both variables independently as they should be. </w:t>
      </w:r>
    </w:p>
    <w:p w14:paraId="2C114EC1" w14:textId="443DF91E" w:rsidR="00032C55" w:rsidRDefault="0012533E">
      <w:r>
        <w:tab/>
      </w:r>
      <w:r w:rsidR="002D43DA">
        <w:t xml:space="preserve"> </w:t>
      </w:r>
    </w:p>
    <w:p w14:paraId="20CC3998" w14:textId="77777777" w:rsidR="002D43DA" w:rsidRDefault="002D43DA"/>
    <w:p w14:paraId="5D8E460C" w14:textId="0B8930AD" w:rsidR="0074473B" w:rsidRDefault="00CC1043">
      <w:r>
        <w:rPr>
          <w:noProof/>
        </w:rPr>
        <w:lastRenderedPageBreak/>
        <w:drawing>
          <wp:inline distT="0" distB="0" distL="0" distR="0" wp14:anchorId="291D1C04" wp14:editId="0763BC48">
            <wp:extent cx="5826868" cy="3860299"/>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8FEB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3050" cy="3963770"/>
                    </a:xfrm>
                    <a:prstGeom prst="rect">
                      <a:avLst/>
                    </a:prstGeom>
                  </pic:spPr>
                </pic:pic>
              </a:graphicData>
            </a:graphic>
          </wp:inline>
        </w:drawing>
      </w:r>
    </w:p>
    <w:p w14:paraId="66B45D26" w14:textId="77777777" w:rsidR="00CC1043" w:rsidRDefault="00CC1043" w:rsidP="0074473B"/>
    <w:p w14:paraId="6CF131FF" w14:textId="77777777" w:rsidR="00216C88" w:rsidRDefault="00216C88">
      <w:pPr>
        <w:rPr>
          <w:i/>
        </w:rPr>
      </w:pPr>
      <w:r>
        <w:rPr>
          <w:i/>
        </w:rPr>
        <w:br w:type="page"/>
      </w:r>
    </w:p>
    <w:p w14:paraId="52A6B297" w14:textId="41296AC0" w:rsidR="0074473B" w:rsidRDefault="0074473B" w:rsidP="0074473B">
      <w:pPr>
        <w:rPr>
          <w:i/>
        </w:rPr>
      </w:pPr>
      <w:r>
        <w:rPr>
          <w:i/>
        </w:rPr>
        <w:lastRenderedPageBreak/>
        <w:t>Study 2</w:t>
      </w:r>
    </w:p>
    <w:p w14:paraId="1647215F" w14:textId="58B334A5" w:rsidR="00216C88" w:rsidRDefault="00C06F29" w:rsidP="008860B6">
      <w:pPr>
        <w:ind w:firstLine="720"/>
      </w:pPr>
      <w:r>
        <w:t xml:space="preserve">It is difficult to answer </w:t>
      </w:r>
      <w:r w:rsidR="005E7EF9">
        <w:t xml:space="preserve">the </w:t>
      </w:r>
      <w:r>
        <w:t xml:space="preserve">research questions </w:t>
      </w:r>
      <w:r w:rsidR="005E7EF9">
        <w:t xml:space="preserve">as posed </w:t>
      </w:r>
      <w:r w:rsidR="00216C88">
        <w:t xml:space="preserve">for Study 2. Firstly, </w:t>
      </w:r>
      <w:r w:rsidR="005E7EF9">
        <w:t xml:space="preserve">in two of the three institutional levels, </w:t>
      </w:r>
      <w:r w:rsidR="00216C88">
        <w:t>only three participants were recruited. Secondly, with so few recruited, auto-selection bias plays a bigger role, and the high proficiency participants in one group were higher than the low-proficiency participants in the next group up. However, the secondary proficiency measure used provides a continuous variable that could be used as a co</w:t>
      </w:r>
      <w:r w:rsidR="005E7EF9">
        <w:t>variate with latency measures</w:t>
      </w:r>
      <w:r w:rsidR="00216C88">
        <w:t xml:space="preserve">. </w:t>
      </w:r>
    </w:p>
    <w:p w14:paraId="73687FF6" w14:textId="3C43C2DE" w:rsidR="00706FD1" w:rsidRDefault="00706FD1" w:rsidP="00706FD1">
      <w:pPr>
        <w:ind w:firstLine="720"/>
      </w:pPr>
      <w:r>
        <w:t>Like in Study 1, while Condition 3’s stimuli were balanced for word length and frequency, Condition 1 and 2 are the exact same stimuli with differ</w:t>
      </w:r>
      <w:r w:rsidR="005E7EF9">
        <w:t xml:space="preserve">ing </w:t>
      </w:r>
      <w:r>
        <w:t>conflict</w:t>
      </w:r>
      <w:r w:rsidR="005E7EF9">
        <w:t xml:space="preserve"> [+ or -] in the preceding trial</w:t>
      </w:r>
      <w:r>
        <w:t xml:space="preserve">. Therefore, we can draw stronger conclusions from these initial results in these two conditions. </w:t>
      </w:r>
      <w:r w:rsidR="00216C88">
        <w:t>Interpreting the plot of residual reading times for Study 2, we see again that Condition 2 is the slower condition at Region 3, but the three conditions seem negligibly different. Meanwhile, the conditions do diverge more at Region 4</w:t>
      </w:r>
      <w:r w:rsidR="005E7EF9">
        <w:t xml:space="preserve">. This </w:t>
      </w:r>
      <w:r w:rsidR="00216C88">
        <w:t xml:space="preserve">may indicate a delayed processing of the ambiguity in second language learners that we do not see in native speakers (i.e. early bilinguals in Study 1). </w:t>
      </w:r>
      <w:r w:rsidR="005E7EF9">
        <w:t xml:space="preserve">If this spillover effect is the manifestation of this L2 delayed processing, the </w:t>
      </w:r>
      <w:r w:rsidR="00037719">
        <w:t xml:space="preserve">differences between Condition 1 and 2 </w:t>
      </w:r>
      <w:r w:rsidR="005E7EF9">
        <w:t xml:space="preserve">in </w:t>
      </w:r>
      <w:r w:rsidR="00216C88">
        <w:t>Region 4</w:t>
      </w:r>
      <w:r w:rsidR="005E7EF9">
        <w:t xml:space="preserve"> coincide with</w:t>
      </w:r>
      <w:r w:rsidR="00216C88">
        <w:t xml:space="preserve"> the </w:t>
      </w:r>
      <w:r w:rsidR="00037719">
        <w:t xml:space="preserve">results of Study 1. Of course, without more data from the three levels, the hypotheses cannot be confirmed or rejected. </w:t>
      </w:r>
    </w:p>
    <w:p w14:paraId="16A2D085" w14:textId="1AC34E0D" w:rsidR="00216C88" w:rsidRDefault="00706FD1" w:rsidP="00216C88">
      <w:pPr>
        <w:ind w:firstLine="720"/>
      </w:pPr>
      <w:r>
        <w:t xml:space="preserve">There may be a refractory period for the learners following the resolution of conflict which we can see in Condition 1 that we don’t see in Study 1. While </w:t>
      </w:r>
      <w:proofErr w:type="spellStart"/>
      <w:r>
        <w:t>Jegerski</w:t>
      </w:r>
      <w:proofErr w:type="spellEnd"/>
      <w:r>
        <w:t xml:space="preserve"> (2012) only considered the critical region and spillover regions, this study (in its full rendition) will likely have to consider Regions 1 and 2 because of the proximity to the non-linguistic task and the spillover effects that that flanker and Stroop tasks have. </w:t>
      </w:r>
    </w:p>
    <w:p w14:paraId="748E9AD2" w14:textId="77777777" w:rsidR="00216C88" w:rsidRDefault="00216C88" w:rsidP="00216C88">
      <w:pPr>
        <w:ind w:firstLine="720"/>
      </w:pPr>
    </w:p>
    <w:p w14:paraId="441AB368" w14:textId="3A8E89D6" w:rsidR="0040089F" w:rsidRDefault="00CC1043" w:rsidP="0074473B">
      <w:r>
        <w:rPr>
          <w:noProof/>
        </w:rPr>
        <w:drawing>
          <wp:inline distT="0" distB="0" distL="0" distR="0" wp14:anchorId="094AA858" wp14:editId="38563654">
            <wp:extent cx="4280535" cy="3012838"/>
            <wp:effectExtent l="0" t="0" r="1206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3FEB18.png"/>
                    <pic:cNvPicPr/>
                  </pic:nvPicPr>
                  <pic:blipFill>
                    <a:blip r:embed="rId9">
                      <a:extLst>
                        <a:ext uri="{28A0092B-C50C-407E-A947-70E740481C1C}">
                          <a14:useLocalDpi xmlns:a14="http://schemas.microsoft.com/office/drawing/2010/main" val="0"/>
                        </a:ext>
                      </a:extLst>
                    </a:blip>
                    <a:stretch>
                      <a:fillRect/>
                    </a:stretch>
                  </pic:blipFill>
                  <pic:spPr>
                    <a:xfrm>
                      <a:off x="0" y="0"/>
                      <a:ext cx="4285881" cy="3016600"/>
                    </a:xfrm>
                    <a:prstGeom prst="rect">
                      <a:avLst/>
                    </a:prstGeom>
                  </pic:spPr>
                </pic:pic>
              </a:graphicData>
            </a:graphic>
          </wp:inline>
        </w:drawing>
      </w:r>
    </w:p>
    <w:p w14:paraId="00D7024E" w14:textId="37D6D673" w:rsidR="0074473B" w:rsidRDefault="00D739FF" w:rsidP="00037719">
      <w:pPr>
        <w:ind w:firstLine="720"/>
      </w:pPr>
      <w:r>
        <w:t xml:space="preserve">A post-hoc division of the group according to EIT score (using the median EIT score as the dividing point) revealed a trait that </w:t>
      </w:r>
      <w:r w:rsidRPr="00D739FF">
        <w:rPr>
          <w:highlight w:val="yellow"/>
        </w:rPr>
        <w:t>would align with two of the expected patterns</w:t>
      </w:r>
      <w:r>
        <w:rPr>
          <w:highlight w:val="yellow"/>
        </w:rPr>
        <w:t>.</w:t>
      </w:r>
      <w:r w:rsidRPr="00D739FF">
        <w:t xml:space="preserve"> In</w:t>
      </w:r>
      <w:r>
        <w:t xml:space="preserve"> the lower proficiency group, means were slightly slower in Condition 2, but there the difference between Condition 1 and 2 was generally consistent across all regions except Region 1. </w:t>
      </w:r>
    </w:p>
    <w:p w14:paraId="0EBBA34D" w14:textId="78507D50" w:rsidR="001457EE" w:rsidRDefault="00F73E21" w:rsidP="0074473B">
      <w:r>
        <w:rPr>
          <w:noProof/>
        </w:rPr>
        <w:lastRenderedPageBreak/>
        <w:drawing>
          <wp:inline distT="0" distB="0" distL="0" distR="0" wp14:anchorId="42E4624B" wp14:editId="13BD3211">
            <wp:extent cx="5943600" cy="4354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9 at 4.08.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54195"/>
                    </a:xfrm>
                    <a:prstGeom prst="rect">
                      <a:avLst/>
                    </a:prstGeom>
                  </pic:spPr>
                </pic:pic>
              </a:graphicData>
            </a:graphic>
          </wp:inline>
        </w:drawing>
      </w:r>
    </w:p>
    <w:p w14:paraId="3D4EE327" w14:textId="0573D2EA" w:rsidR="001457EE" w:rsidRDefault="00D739FF">
      <w:r>
        <w:t xml:space="preserve">Meanwhile, in the higher proficiency group, we can observe highly similar means in the two ambiguous conditions, regardless of cognitive control engagement, except at Regions 4 and 5. While we cannot make any conclusions without more data to narrow the error rate, the current results might reflect the two roles of cognitive control in bilingual language processing: at lower proficiencies, cognitive control is </w:t>
      </w:r>
      <w:r w:rsidR="00F21074">
        <w:t xml:space="preserve">working to suppress the dominant language, but at higher proficiencies, cognitive control is not recruited for this purpose but rather to resolve higher-order problems like ambiguity resolution. While this cannot be concluded from the present data, it does present rationale to continue recruiting lower-proficiency learners (i.e. intermediate students) despite their low comprehension rates. </w:t>
      </w:r>
    </w:p>
    <w:p w14:paraId="7360D3B1" w14:textId="2E0D0284" w:rsidR="001457EE" w:rsidRDefault="00F73E21">
      <w:r>
        <w:rPr>
          <w:noProof/>
        </w:rPr>
        <w:lastRenderedPageBreak/>
        <w:drawing>
          <wp:inline distT="0" distB="0" distL="0" distR="0" wp14:anchorId="4426405E" wp14:editId="1F800387">
            <wp:extent cx="5943600" cy="3999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9 at 4.08.55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inline>
        </w:drawing>
      </w:r>
    </w:p>
    <w:p w14:paraId="70A2882B" w14:textId="77777777" w:rsidR="0025723E" w:rsidRDefault="0025723E"/>
    <w:p w14:paraId="36D12A63" w14:textId="325AD883" w:rsidR="0025723E" w:rsidRDefault="0025723E">
      <w:r>
        <w:t xml:space="preserve">Pearson’s correlation between proficiency (EIT Score) and comprehension check: </w:t>
      </w:r>
    </w:p>
    <w:p w14:paraId="2CA12189" w14:textId="3C906235" w:rsidR="0025723E" w:rsidRDefault="0025723E"/>
    <w:p w14:paraId="0A145224" w14:textId="2711CC4F" w:rsidR="0025723E" w:rsidRDefault="0025723E">
      <w:r>
        <w:t xml:space="preserve">Two-tailed, with P23: </w:t>
      </w:r>
      <w:r>
        <w:rPr>
          <w:i/>
        </w:rPr>
        <w:t xml:space="preserve">r = </w:t>
      </w:r>
      <w:r>
        <w:t xml:space="preserve">0.331, </w:t>
      </w:r>
      <w:r>
        <w:rPr>
          <w:i/>
        </w:rPr>
        <w:t xml:space="preserve">p = </w:t>
      </w:r>
      <w:r>
        <w:t>0.247</w:t>
      </w:r>
    </w:p>
    <w:p w14:paraId="3EECBD46" w14:textId="68E2E063" w:rsidR="0025723E" w:rsidRPr="0025723E" w:rsidRDefault="0025723E">
      <w:r>
        <w:t xml:space="preserve">Two-tailed, </w:t>
      </w:r>
      <w:r w:rsidRPr="0025723E">
        <w:t>without P23:</w:t>
      </w:r>
      <w:r>
        <w:rPr>
          <w:i/>
        </w:rPr>
        <w:t xml:space="preserve"> r </w:t>
      </w:r>
      <w:r>
        <w:t xml:space="preserve">= 0.634 , </w:t>
      </w:r>
      <w:r>
        <w:rPr>
          <w:i/>
        </w:rPr>
        <w:t xml:space="preserve">p </w:t>
      </w:r>
      <w:r>
        <w:t>= 0.023</w:t>
      </w:r>
    </w:p>
    <w:p w14:paraId="5BD2249F" w14:textId="77777777" w:rsidR="0025723E" w:rsidRDefault="0025723E"/>
    <w:p w14:paraId="011EA97A" w14:textId="77777777" w:rsidR="0025723E" w:rsidRDefault="0025723E"/>
    <w:p w14:paraId="27B1B8DD" w14:textId="77777777" w:rsidR="0025723E" w:rsidRDefault="0025723E"/>
    <w:p w14:paraId="4F65FFD1" w14:textId="10585496" w:rsidR="00037719" w:rsidRDefault="00037719">
      <w:r>
        <w:t xml:space="preserve">Expected patterns were </w:t>
      </w:r>
      <w:r w:rsidR="0056593E">
        <w:t xml:space="preserve">depletion, maximal engagement and heightened engagement, but the pattern observed in this post-hoc analysis does not support any of these patterns. One </w:t>
      </w:r>
    </w:p>
    <w:p w14:paraId="6F8BCF87" w14:textId="4F388461" w:rsidR="00037719" w:rsidRDefault="00037719" w:rsidP="0056593E">
      <w:pPr>
        <w:pStyle w:val="ListParagraph"/>
        <w:numPr>
          <w:ilvl w:val="0"/>
          <w:numId w:val="8"/>
        </w:numPr>
      </w:pPr>
      <w:r>
        <w:t xml:space="preserve">Depletion: </w:t>
      </w:r>
      <w:r w:rsidRPr="0056593E">
        <w:rPr>
          <w:color w:val="000000" w:themeColor="text1"/>
        </w:rPr>
        <w:t xml:space="preserve">Given the recruitment of the LIFG and other prefrontal structures observed by </w:t>
      </w:r>
      <w:proofErr w:type="spellStart"/>
      <w:r w:rsidRPr="0056593E">
        <w:rPr>
          <w:color w:val="000000" w:themeColor="text1"/>
        </w:rPr>
        <w:t>Abutalebi</w:t>
      </w:r>
      <w:proofErr w:type="spellEnd"/>
      <w:r w:rsidRPr="0056593E">
        <w:rPr>
          <w:color w:val="000000" w:themeColor="text1"/>
        </w:rPr>
        <w:t xml:space="preserve"> (2008) during the processing of a non-proficient L2, the demands of using an L2 at these lower proficiency levels may result in a carryover effect, a refractory period during which cognitive control resources available to the participants are effectively temporarily depleted by the high cognitive load. This would relate to the results obtained in child processing by Huang and colleagues (2016). An interaction would be observed between Stroop congruency on trial </w:t>
      </w:r>
      <w:r w:rsidRPr="0056593E">
        <w:rPr>
          <w:i/>
          <w:color w:val="000000" w:themeColor="text1"/>
        </w:rPr>
        <w:t>n</w:t>
      </w:r>
      <w:r w:rsidRPr="0056593E">
        <w:rPr>
          <w:color w:val="000000" w:themeColor="text1"/>
        </w:rPr>
        <w:t>-1 and proficiency level</w:t>
      </w:r>
      <w:r w:rsidR="0056593E">
        <w:rPr>
          <w:color w:val="000000" w:themeColor="text1"/>
        </w:rPr>
        <w:t xml:space="preserve">, where higher proficiencies who do not rely so heavily on cognitive control for processing receive a benefit from cognitive control activation, while lower proficiencies process the ambiguity slower when the </w:t>
      </w:r>
      <w:r w:rsidR="0056593E">
        <w:rPr>
          <w:i/>
          <w:color w:val="000000" w:themeColor="text1"/>
        </w:rPr>
        <w:t>n</w:t>
      </w:r>
      <w:r w:rsidR="0056593E">
        <w:rPr>
          <w:color w:val="000000" w:themeColor="text1"/>
        </w:rPr>
        <w:t>-1 trial is conflictive.</w:t>
      </w:r>
    </w:p>
    <w:p w14:paraId="5F5740D0" w14:textId="69A746DE" w:rsidR="00037719" w:rsidRDefault="00037719" w:rsidP="00037719">
      <w:pPr>
        <w:pStyle w:val="ListParagraph"/>
        <w:numPr>
          <w:ilvl w:val="0"/>
          <w:numId w:val="8"/>
        </w:numPr>
      </w:pPr>
      <w:r>
        <w:t>Maximal Engagement:</w:t>
      </w:r>
    </w:p>
    <w:p w14:paraId="03EA7FF6" w14:textId="77777777" w:rsidR="00170495" w:rsidRPr="00170495" w:rsidRDefault="00170495" w:rsidP="00170495">
      <w:pPr>
        <w:pStyle w:val="ListParagraph"/>
        <w:widowControl w:val="0"/>
        <w:numPr>
          <w:ilvl w:val="0"/>
          <w:numId w:val="8"/>
        </w:numPr>
        <w:autoSpaceDE w:val="0"/>
        <w:autoSpaceDN w:val="0"/>
        <w:adjustRightInd w:val="0"/>
        <w:spacing w:line="480" w:lineRule="auto"/>
        <w:rPr>
          <w:color w:val="000000" w:themeColor="text1"/>
        </w:rPr>
      </w:pPr>
      <w:r w:rsidRPr="00170495">
        <w:rPr>
          <w:i/>
          <w:color w:val="000000" w:themeColor="text1"/>
        </w:rPr>
        <w:t>“Maximally Engaged” Cognitive Control.</w:t>
      </w:r>
      <w:r w:rsidRPr="00170495">
        <w:rPr>
          <w:color w:val="000000" w:themeColor="text1"/>
        </w:rPr>
        <w:t xml:space="preserve"> This alternate possible set of results assumes that cognitive control of low proficiency participants is engaged throughout the study due </w:t>
      </w:r>
      <w:r w:rsidRPr="00170495">
        <w:rPr>
          <w:color w:val="000000" w:themeColor="text1"/>
        </w:rPr>
        <w:lastRenderedPageBreak/>
        <w:t xml:space="preserve">to the use of the L2, and so preceding incongruent Stroop trials would not result in improved recovery from misanalysis for these participants. </w:t>
      </w:r>
      <w:commentRangeStart w:id="9"/>
      <w:r w:rsidRPr="00170495">
        <w:rPr>
          <w:color w:val="000000" w:themeColor="text1"/>
        </w:rPr>
        <w:t xml:space="preserve">Therefore, hypothetically, an interaction would be observed between Stroop congruency on trial </w:t>
      </w:r>
      <w:r w:rsidRPr="00170495">
        <w:rPr>
          <w:i/>
          <w:color w:val="000000" w:themeColor="text1"/>
        </w:rPr>
        <w:t>n</w:t>
      </w:r>
      <w:r w:rsidRPr="00170495">
        <w:rPr>
          <w:color w:val="000000" w:themeColor="text1"/>
        </w:rPr>
        <w:t>-1 and proficiency level, as the high proficiency groups would perform better following incongruent Stroop trials, as depicted in Figure 5, while the low proficiency groups would not perform differently under the two conditions.</w:t>
      </w:r>
      <w:commentRangeEnd w:id="9"/>
      <w:r>
        <w:rPr>
          <w:rStyle w:val="CommentReference"/>
        </w:rPr>
        <w:commentReference w:id="9"/>
      </w:r>
    </w:p>
    <w:p w14:paraId="5156A450" w14:textId="77777777" w:rsidR="00170495" w:rsidRDefault="00170495" w:rsidP="00037719">
      <w:pPr>
        <w:pStyle w:val="ListParagraph"/>
        <w:numPr>
          <w:ilvl w:val="0"/>
          <w:numId w:val="8"/>
        </w:numPr>
      </w:pPr>
    </w:p>
    <w:p w14:paraId="61C82401" w14:textId="18A6CB57" w:rsidR="00037719" w:rsidRDefault="00037719" w:rsidP="00037719">
      <w:pPr>
        <w:pStyle w:val="ListParagraph"/>
        <w:numPr>
          <w:ilvl w:val="0"/>
          <w:numId w:val="8"/>
        </w:numPr>
      </w:pPr>
      <w:r>
        <w:t>Heightened Engagement:</w:t>
      </w:r>
    </w:p>
    <w:p w14:paraId="39E45C72" w14:textId="77777777" w:rsidR="00170495" w:rsidRPr="00170495" w:rsidRDefault="00170495" w:rsidP="00170495">
      <w:pPr>
        <w:pStyle w:val="ListParagraph"/>
        <w:widowControl w:val="0"/>
        <w:numPr>
          <w:ilvl w:val="0"/>
          <w:numId w:val="8"/>
        </w:numPr>
        <w:autoSpaceDE w:val="0"/>
        <w:autoSpaceDN w:val="0"/>
        <w:adjustRightInd w:val="0"/>
        <w:spacing w:line="480" w:lineRule="auto"/>
        <w:rPr>
          <w:color w:val="000000" w:themeColor="text1"/>
        </w:rPr>
      </w:pPr>
      <w:r w:rsidRPr="00170495">
        <w:rPr>
          <w:i/>
          <w:color w:val="000000" w:themeColor="text1"/>
        </w:rPr>
        <w:t>“Heightened Engagement” of Cognitive Control.</w:t>
      </w:r>
      <w:r w:rsidRPr="00170495">
        <w:rPr>
          <w:color w:val="000000" w:themeColor="text1"/>
        </w:rPr>
        <w:t xml:space="preserve"> This final alternative would show that cognitive control engagement can be manipulated to aid recovery from misinterpretation for each proficiency level (See Fig. 6). This finding would suggest that the increased consideration of the incorrect goal in </w:t>
      </w:r>
      <w:proofErr w:type="spellStart"/>
      <w:r w:rsidRPr="00170495">
        <w:rPr>
          <w:color w:val="000000" w:themeColor="text1"/>
        </w:rPr>
        <w:t>Pozzan</w:t>
      </w:r>
      <w:proofErr w:type="spellEnd"/>
      <w:r w:rsidRPr="00170495">
        <w:rPr>
          <w:color w:val="000000" w:themeColor="text1"/>
        </w:rPr>
        <w:t xml:space="preserve"> and </w:t>
      </w:r>
      <w:proofErr w:type="spellStart"/>
      <w:r w:rsidRPr="00170495">
        <w:rPr>
          <w:color w:val="000000" w:themeColor="text1"/>
        </w:rPr>
        <w:t>Trueswell</w:t>
      </w:r>
      <w:proofErr w:type="spellEnd"/>
      <w:r w:rsidRPr="00170495">
        <w:rPr>
          <w:color w:val="000000" w:themeColor="text1"/>
        </w:rPr>
        <w:t xml:space="preserve"> (2015) </w:t>
      </w:r>
      <w:commentRangeStart w:id="10"/>
      <w:r w:rsidRPr="00170495">
        <w:rPr>
          <w:color w:val="000000" w:themeColor="text1"/>
        </w:rPr>
        <w:t xml:space="preserve">is a reflection of proficiency level and not overloaded cognitive control. </w:t>
      </w:r>
      <w:commentRangeEnd w:id="10"/>
      <w:r>
        <w:rPr>
          <w:rStyle w:val="CommentReference"/>
        </w:rPr>
        <w:commentReference w:id="10"/>
      </w:r>
      <w:r w:rsidRPr="00170495">
        <w:rPr>
          <w:color w:val="000000" w:themeColor="text1"/>
        </w:rPr>
        <w:t>Each proficiency level would respond to the cross-task manipulation similarly, and so perform similarly under both ambiguous conditions.</w:t>
      </w:r>
    </w:p>
    <w:p w14:paraId="51D3800D" w14:textId="77777777" w:rsidR="00170495" w:rsidRDefault="00170495" w:rsidP="00037719">
      <w:pPr>
        <w:pStyle w:val="ListParagraph"/>
        <w:numPr>
          <w:ilvl w:val="0"/>
          <w:numId w:val="8"/>
        </w:numPr>
      </w:pPr>
    </w:p>
    <w:p w14:paraId="7062AAAE" w14:textId="143AC4EF" w:rsidR="00037719" w:rsidRDefault="00037719"/>
    <w:p w14:paraId="2DA1B1B5" w14:textId="77777777" w:rsidR="00037719" w:rsidRDefault="00037719"/>
    <w:p w14:paraId="79D3AE05" w14:textId="77777777" w:rsidR="00706FD1" w:rsidRDefault="00706FD1"/>
    <w:p w14:paraId="301B92CA" w14:textId="0DADE432" w:rsidR="00032C55" w:rsidRDefault="00216C88">
      <w:r>
        <w:t>Changes to be made:</w:t>
      </w:r>
    </w:p>
    <w:p w14:paraId="44AF21BB" w14:textId="688945DE" w:rsidR="00216C88" w:rsidRDefault="00216C88" w:rsidP="00216C88">
      <w:pPr>
        <w:pStyle w:val="ListParagraph"/>
        <w:numPr>
          <w:ilvl w:val="0"/>
          <w:numId w:val="7"/>
        </w:numPr>
      </w:pPr>
      <w:r>
        <w:t>4 conditions (no conflict, unambiguous)</w:t>
      </w:r>
    </w:p>
    <w:p w14:paraId="01CB1FA2" w14:textId="3CE3F65E" w:rsidR="00216C88" w:rsidRDefault="00216C88" w:rsidP="00216C88">
      <w:pPr>
        <w:pStyle w:val="ListParagraph"/>
        <w:numPr>
          <w:ilvl w:val="0"/>
          <w:numId w:val="7"/>
        </w:numPr>
      </w:pPr>
      <w:r>
        <w:t>resolve issue with unambiguous sentences</w:t>
      </w:r>
    </w:p>
    <w:p w14:paraId="754A4272" w14:textId="5204BD03" w:rsidR="00216C88" w:rsidRDefault="00216C88" w:rsidP="00216C88">
      <w:pPr>
        <w:pStyle w:val="ListParagraph"/>
        <w:numPr>
          <w:ilvl w:val="0"/>
          <w:numId w:val="7"/>
        </w:numPr>
      </w:pPr>
      <w:r>
        <w:t xml:space="preserve">learners: </w:t>
      </w:r>
      <w:r w:rsidR="00F21074">
        <w:t>intermediate 2?</w:t>
      </w:r>
      <w:r>
        <w:t xml:space="preserve">; </w:t>
      </w:r>
      <w:r w:rsidR="00F21074">
        <w:t xml:space="preserve">oral review?; </w:t>
      </w:r>
      <w:r>
        <w:t>post-study abroad</w:t>
      </w:r>
      <w:r w:rsidR="00F21074">
        <w:t xml:space="preserve"> (or </w:t>
      </w:r>
      <w:r>
        <w:t>graduate students</w:t>
      </w:r>
      <w:r w:rsidR="00F21074">
        <w:t>)</w:t>
      </w:r>
    </w:p>
    <w:p w14:paraId="2CDB29D3" w14:textId="77777777" w:rsidR="00032C55" w:rsidRDefault="00032C55"/>
    <w:p w14:paraId="6EE04057" w14:textId="77777777" w:rsidR="00032C55" w:rsidRDefault="00032C55"/>
    <w:p w14:paraId="6237290B" w14:textId="77777777" w:rsidR="00FC53FA" w:rsidRDefault="00FC53FA">
      <w:pPr>
        <w:rPr>
          <w:b/>
        </w:rPr>
      </w:pPr>
      <w:r>
        <w:rPr>
          <w:b/>
        </w:rPr>
        <w:br w:type="page"/>
      </w:r>
    </w:p>
    <w:p w14:paraId="282B1B93" w14:textId="541751CE" w:rsidR="002C01F0" w:rsidRPr="002C01F0" w:rsidRDefault="00FC53FA">
      <w:pPr>
        <w:rPr>
          <w:b/>
        </w:rPr>
      </w:pPr>
      <w:bookmarkStart w:id="11" w:name="References"/>
      <w:r>
        <w:rPr>
          <w:b/>
        </w:rPr>
        <w:lastRenderedPageBreak/>
        <w:t>References</w:t>
      </w:r>
    </w:p>
    <w:bookmarkEnd w:id="11"/>
    <w:p w14:paraId="18CD9126" w14:textId="77777777" w:rsidR="002C01F0" w:rsidRDefault="002C01F0"/>
    <w:p w14:paraId="214621DE" w14:textId="77777777" w:rsidR="002C01F0" w:rsidRDefault="002C01F0"/>
    <w:p w14:paraId="1A8E0AEE" w14:textId="77777777" w:rsidR="002C01F0" w:rsidRDefault="002C01F0" w:rsidP="002C01F0">
      <w:r w:rsidRPr="00B0739D">
        <w:t>Cohen, J. (1960), "A Coefficient of Agreement for Nominal Scales," Educational and Psychological Measurement, 20, 37-46.</w:t>
      </w:r>
    </w:p>
    <w:p w14:paraId="564618A9" w14:textId="77777777" w:rsidR="002C01F0" w:rsidRDefault="002C01F0"/>
    <w:p w14:paraId="5A2D012E" w14:textId="77777777" w:rsidR="00B0739D" w:rsidRPr="00B0739D" w:rsidRDefault="00B0739D" w:rsidP="00B0739D">
      <w:r w:rsidRPr="00B0739D">
        <w:t>Fleiss, J.L. (1981). Statistical methods for rates and proportions (2nd ed.). New York: John Wiley. </w:t>
      </w:r>
      <w:hyperlink r:id="rId15" w:tooltip="International Standard Book Number" w:history="1">
        <w:r w:rsidRPr="00B0739D">
          <w:t>ISBN</w:t>
        </w:r>
      </w:hyperlink>
      <w:r w:rsidRPr="00B0739D">
        <w:t> </w:t>
      </w:r>
      <w:hyperlink r:id="rId16" w:tooltip="Special:BookSources/0-471-26370-2" w:history="1">
        <w:r w:rsidRPr="00B0739D">
          <w:t>0-471-26370-2</w:t>
        </w:r>
      </w:hyperlink>
      <w:r w:rsidRPr="00B0739D">
        <w:t>.</w:t>
      </w:r>
    </w:p>
    <w:p w14:paraId="0B93303C" w14:textId="77777777" w:rsidR="00B0739D" w:rsidRPr="00B0739D" w:rsidRDefault="00B0739D" w:rsidP="00B0739D"/>
    <w:p w14:paraId="28AE1E34" w14:textId="77777777" w:rsidR="00B0739D" w:rsidRDefault="00B0739D" w:rsidP="00B0739D">
      <w:r w:rsidRPr="00B0739D">
        <w:t>Landis, J.R.; Koch, G.G. (1977). "The measurement of observer agreement for categorical data". Biometrics. 33 (1): 159–174.</w:t>
      </w:r>
    </w:p>
    <w:p w14:paraId="3AC97168" w14:textId="77777777" w:rsidR="00B0739D" w:rsidRDefault="00B0739D" w:rsidP="00B0739D"/>
    <w:p w14:paraId="590BB9A7" w14:textId="77777777" w:rsidR="00B0739D" w:rsidRDefault="00B0739D" w:rsidP="00B0739D"/>
    <w:p w14:paraId="31DE24B8" w14:textId="3F354BCE" w:rsidR="00B0739D" w:rsidRDefault="00B0739D" w:rsidP="00B0739D"/>
    <w:p w14:paraId="7AA9FF8A" w14:textId="70BE4C05" w:rsidR="00CB303A" w:rsidRDefault="00CB303A" w:rsidP="00B0739D">
      <w:r>
        <w:t>Cited</w:t>
      </w:r>
    </w:p>
    <w:p w14:paraId="4F775559" w14:textId="30122926" w:rsidR="00CB303A" w:rsidRDefault="00CB303A" w:rsidP="00B0739D"/>
    <w:p w14:paraId="09F1997A" w14:textId="77777777" w:rsidR="00CB303A" w:rsidRDefault="00CB303A" w:rsidP="00CB303A">
      <w:pPr>
        <w:shd w:val="clear" w:color="auto" w:fill="FFFFFF"/>
        <w:spacing w:line="480" w:lineRule="auto"/>
        <w:ind w:firstLine="720"/>
        <w:rPr>
          <w:color w:val="222222"/>
        </w:rPr>
      </w:pPr>
      <w:r w:rsidRPr="00B235EF">
        <w:rPr>
          <w:color w:val="222222"/>
        </w:rPr>
        <w:t xml:space="preserve">(Frazier &amp; Fodor, 1978; </w:t>
      </w:r>
    </w:p>
    <w:p w14:paraId="625A7385" w14:textId="77777777" w:rsidR="00CB303A" w:rsidRDefault="00CB303A" w:rsidP="00CB303A">
      <w:pPr>
        <w:shd w:val="clear" w:color="auto" w:fill="FFFFFF"/>
        <w:spacing w:line="480" w:lineRule="auto"/>
        <w:ind w:firstLine="720"/>
        <w:rPr>
          <w:color w:val="222222"/>
        </w:rPr>
      </w:pPr>
      <w:r w:rsidRPr="00B235EF">
        <w:rPr>
          <w:color w:val="222222"/>
        </w:rPr>
        <w:t xml:space="preserve">Frazier &amp; Clifton, 1998; </w:t>
      </w:r>
    </w:p>
    <w:p w14:paraId="25090FFE" w14:textId="77777777" w:rsidR="00CB303A" w:rsidRDefault="00CB303A" w:rsidP="00CB303A">
      <w:pPr>
        <w:shd w:val="clear" w:color="auto" w:fill="FFFFFF"/>
        <w:spacing w:line="480" w:lineRule="auto"/>
        <w:ind w:firstLine="720"/>
        <w:rPr>
          <w:color w:val="222222"/>
        </w:rPr>
      </w:pPr>
      <w:r w:rsidRPr="00B235EF">
        <w:rPr>
          <w:color w:val="222222"/>
        </w:rPr>
        <w:t xml:space="preserve">MacDonald </w:t>
      </w:r>
      <w:proofErr w:type="spellStart"/>
      <w:r w:rsidRPr="00B235EF">
        <w:rPr>
          <w:color w:val="222222"/>
        </w:rPr>
        <w:t>Pearlmutter</w:t>
      </w:r>
      <w:proofErr w:type="spellEnd"/>
      <w:r w:rsidRPr="00B235EF">
        <w:rPr>
          <w:color w:val="222222"/>
        </w:rPr>
        <w:t xml:space="preserve">, </w:t>
      </w:r>
      <w:proofErr w:type="spellStart"/>
      <w:r w:rsidRPr="00B235EF">
        <w:rPr>
          <w:color w:val="222222"/>
        </w:rPr>
        <w:t>Seidenburg</w:t>
      </w:r>
      <w:proofErr w:type="spellEnd"/>
      <w:r w:rsidRPr="00B235EF">
        <w:rPr>
          <w:color w:val="222222"/>
        </w:rPr>
        <w:t xml:space="preserve">, 1994; </w:t>
      </w:r>
    </w:p>
    <w:p w14:paraId="2852D046" w14:textId="430EACD4" w:rsidR="00CB303A" w:rsidRDefault="00CB303A" w:rsidP="00CB303A">
      <w:pPr>
        <w:shd w:val="clear" w:color="auto" w:fill="FFFFFF"/>
        <w:spacing w:line="480" w:lineRule="auto"/>
        <w:ind w:firstLine="720"/>
        <w:rPr>
          <w:color w:val="222222"/>
        </w:rPr>
      </w:pPr>
      <w:proofErr w:type="spellStart"/>
      <w:r w:rsidRPr="00B235EF">
        <w:rPr>
          <w:color w:val="222222"/>
        </w:rPr>
        <w:t>Tanenhaus</w:t>
      </w:r>
      <w:proofErr w:type="spellEnd"/>
      <w:r w:rsidRPr="00B235EF">
        <w:rPr>
          <w:color w:val="222222"/>
        </w:rPr>
        <w:t xml:space="preserve">, Spivey-Knowlton, Eberhard &amp; </w:t>
      </w:r>
      <w:proofErr w:type="spellStart"/>
      <w:r w:rsidRPr="00B235EF">
        <w:rPr>
          <w:color w:val="222222"/>
        </w:rPr>
        <w:t>Sedivy</w:t>
      </w:r>
      <w:proofErr w:type="spellEnd"/>
      <w:r w:rsidRPr="00B235EF">
        <w:rPr>
          <w:color w:val="222222"/>
        </w:rPr>
        <w:t>, 1995)</w:t>
      </w:r>
      <w:r>
        <w:rPr>
          <w:color w:val="222222"/>
        </w:rPr>
        <w:t xml:space="preserve">. </w:t>
      </w:r>
    </w:p>
    <w:p w14:paraId="3C794F9B" w14:textId="128F3734" w:rsidR="00CB303A" w:rsidRDefault="00CB303A" w:rsidP="00CB303A">
      <w:r>
        <w:t>Lowry (</w:t>
      </w:r>
      <w:proofErr w:type="spellStart"/>
      <w:r>
        <w:t>Vassarstats</w:t>
      </w:r>
      <w:proofErr w:type="spellEnd"/>
      <w:r>
        <w:t xml:space="preserve"> – </w:t>
      </w:r>
      <w:hyperlink r:id="rId17" w:history="1">
        <w:r w:rsidRPr="00B0739D">
          <w:t>http://vassarstats.net/</w:t>
        </w:r>
      </w:hyperlink>
      <w:r>
        <w:t>)</w:t>
      </w:r>
    </w:p>
    <w:p w14:paraId="1B458D13" w14:textId="5641DACE" w:rsidR="00A750A5" w:rsidRDefault="00A750A5" w:rsidP="00CB303A"/>
    <w:p w14:paraId="30656ACA" w14:textId="77777777" w:rsidR="00A750A5" w:rsidRDefault="00A750A5" w:rsidP="00CB303A">
      <w:r w:rsidRPr="002B3B8A">
        <w:rPr>
          <w:color w:val="000000"/>
        </w:rPr>
        <w:t>(</w:t>
      </w:r>
      <w:r w:rsidRPr="002B3B8A">
        <w:t>Thompson-</w:t>
      </w:r>
      <w:proofErr w:type="spellStart"/>
      <w:r w:rsidRPr="002B3B8A">
        <w:t>Schill</w:t>
      </w:r>
      <w:proofErr w:type="spellEnd"/>
      <w:r w:rsidRPr="002B3B8A">
        <w:t xml:space="preserve">, </w:t>
      </w:r>
      <w:proofErr w:type="spellStart"/>
      <w:r w:rsidRPr="002B3B8A">
        <w:t>Bedny</w:t>
      </w:r>
      <w:proofErr w:type="spellEnd"/>
      <w:r w:rsidRPr="002B3B8A">
        <w:t xml:space="preserve">, &amp; Goldberg, 2005; </w:t>
      </w:r>
    </w:p>
    <w:p w14:paraId="54DA1DC6" w14:textId="77777777" w:rsidR="00A750A5" w:rsidRDefault="00A750A5" w:rsidP="00CB303A">
      <w:pPr>
        <w:rPr>
          <w:color w:val="000000"/>
        </w:rPr>
      </w:pPr>
      <w:r>
        <w:rPr>
          <w:color w:val="000000"/>
        </w:rPr>
        <w:t xml:space="preserve">Novick, </w:t>
      </w:r>
      <w:proofErr w:type="spellStart"/>
      <w:r>
        <w:rPr>
          <w:color w:val="000000"/>
        </w:rPr>
        <w:t>Kan</w:t>
      </w:r>
      <w:proofErr w:type="spellEnd"/>
      <w:r>
        <w:rPr>
          <w:color w:val="000000"/>
        </w:rPr>
        <w:t xml:space="preserve">, </w:t>
      </w:r>
      <w:proofErr w:type="spellStart"/>
      <w:r>
        <w:rPr>
          <w:color w:val="000000"/>
        </w:rPr>
        <w:t>Trueswell</w:t>
      </w:r>
      <w:proofErr w:type="spellEnd"/>
      <w:r>
        <w:rPr>
          <w:color w:val="000000"/>
        </w:rPr>
        <w:t xml:space="preserve"> &amp; Thompson-</w:t>
      </w:r>
      <w:proofErr w:type="spellStart"/>
      <w:r>
        <w:rPr>
          <w:color w:val="000000"/>
        </w:rPr>
        <w:t>Schill</w:t>
      </w:r>
      <w:proofErr w:type="spellEnd"/>
      <w:r>
        <w:rPr>
          <w:color w:val="000000"/>
        </w:rPr>
        <w:t>, 2009</w:t>
      </w:r>
      <w:r w:rsidRPr="002B3B8A">
        <w:rPr>
          <w:color w:val="000000"/>
        </w:rPr>
        <w:t xml:space="preserve">; </w:t>
      </w:r>
    </w:p>
    <w:p w14:paraId="16B342D2" w14:textId="77777777" w:rsidR="00A750A5" w:rsidRDefault="00A750A5" w:rsidP="00CB303A">
      <w:pPr>
        <w:rPr>
          <w:color w:val="000000"/>
        </w:rPr>
      </w:pPr>
      <w:r w:rsidRPr="002B3B8A">
        <w:rPr>
          <w:color w:val="000000"/>
        </w:rPr>
        <w:t>January</w:t>
      </w:r>
      <w:r>
        <w:rPr>
          <w:color w:val="000000"/>
        </w:rPr>
        <w:t xml:space="preserve">, </w:t>
      </w:r>
      <w:proofErr w:type="spellStart"/>
      <w:r>
        <w:rPr>
          <w:color w:val="000000"/>
        </w:rPr>
        <w:t>Trueswell</w:t>
      </w:r>
      <w:proofErr w:type="spellEnd"/>
      <w:r>
        <w:rPr>
          <w:color w:val="000000"/>
        </w:rPr>
        <w:t>, Thompson-</w:t>
      </w:r>
      <w:proofErr w:type="spellStart"/>
      <w:r>
        <w:rPr>
          <w:color w:val="000000"/>
        </w:rPr>
        <w:t>Schill</w:t>
      </w:r>
      <w:proofErr w:type="spellEnd"/>
      <w:r w:rsidRPr="002B3B8A">
        <w:rPr>
          <w:color w:val="000000"/>
        </w:rPr>
        <w:t xml:space="preserve">, 2009, </w:t>
      </w:r>
    </w:p>
    <w:p w14:paraId="377406EC" w14:textId="4EB52758" w:rsidR="00A750A5" w:rsidRDefault="00A750A5" w:rsidP="00CB303A">
      <w:bookmarkStart w:id="12" w:name="_GoBack"/>
      <w:bookmarkEnd w:id="12"/>
      <w:r w:rsidRPr="002B3B8A">
        <w:rPr>
          <w:color w:val="000000"/>
        </w:rPr>
        <w:t>Teubner-Rhodes et al., 2016).</w:t>
      </w:r>
    </w:p>
    <w:p w14:paraId="07172B4E" w14:textId="1EE4FF24" w:rsidR="00CB303A" w:rsidRDefault="00CB303A" w:rsidP="00B0739D"/>
    <w:p w14:paraId="521CDD92" w14:textId="386D0D8B" w:rsidR="00CB303A" w:rsidRDefault="00CB303A" w:rsidP="00B0739D"/>
    <w:p w14:paraId="4AAD6FBA" w14:textId="77777777" w:rsidR="00CB303A" w:rsidRDefault="00CB303A" w:rsidP="00B0739D"/>
    <w:p w14:paraId="323373A5" w14:textId="5450517B" w:rsidR="00B0739D" w:rsidRDefault="00CB303A">
      <w:r>
        <w:t>UNSURE</w:t>
      </w:r>
      <w:r w:rsidR="00FC53FA">
        <w:t>????</w:t>
      </w:r>
    </w:p>
    <w:p w14:paraId="2B61F319" w14:textId="77777777" w:rsidR="00FC53FA" w:rsidRDefault="00FC53FA" w:rsidP="00FC53FA">
      <w:pPr>
        <w:rPr>
          <w:color w:val="000000" w:themeColor="text1"/>
          <w:spacing w:val="2"/>
          <w:shd w:val="clear" w:color="auto" w:fill="FCFCFC"/>
        </w:rPr>
      </w:pPr>
      <w:r>
        <w:rPr>
          <w:color w:val="000000" w:themeColor="text1"/>
          <w:spacing w:val="2"/>
          <w:shd w:val="clear" w:color="auto" w:fill="FCFCFC"/>
        </w:rPr>
        <w:t xml:space="preserve">All other citations added to </w:t>
      </w:r>
      <w:proofErr w:type="spellStart"/>
      <w:r>
        <w:rPr>
          <w:color w:val="000000" w:themeColor="text1"/>
          <w:spacing w:val="2"/>
          <w:shd w:val="clear" w:color="auto" w:fill="FCFCFC"/>
        </w:rPr>
        <w:t>refme</w:t>
      </w:r>
      <w:proofErr w:type="spellEnd"/>
    </w:p>
    <w:p w14:paraId="67B7DC66" w14:textId="77777777" w:rsidR="00FC53FA" w:rsidRDefault="00FC53FA" w:rsidP="00FC53FA">
      <w:pPr>
        <w:rPr>
          <w:color w:val="000000" w:themeColor="text1"/>
        </w:rPr>
      </w:pPr>
    </w:p>
    <w:p w14:paraId="138F187D" w14:textId="77777777" w:rsidR="00FC53FA" w:rsidRPr="00C40976" w:rsidRDefault="00FC53FA" w:rsidP="00FC53FA">
      <w:pPr>
        <w:rPr>
          <w:color w:val="000000" w:themeColor="text1"/>
        </w:rPr>
      </w:pPr>
      <w:r w:rsidRPr="00C40976">
        <w:rPr>
          <w:color w:val="000000" w:themeColor="text1"/>
        </w:rPr>
        <w:t xml:space="preserve">Gratton, Coles, &amp; </w:t>
      </w:r>
      <w:proofErr w:type="spellStart"/>
      <w:r w:rsidRPr="00C40976">
        <w:rPr>
          <w:color w:val="000000" w:themeColor="text1"/>
        </w:rPr>
        <w:t>Donchin</w:t>
      </w:r>
      <w:proofErr w:type="spellEnd"/>
      <w:r w:rsidRPr="00C40976">
        <w:rPr>
          <w:color w:val="000000" w:themeColor="text1"/>
        </w:rPr>
        <w:t>, 1992</w:t>
      </w:r>
    </w:p>
    <w:p w14:paraId="73AB284F" w14:textId="77777777" w:rsidR="00FC53FA" w:rsidRPr="00C40976" w:rsidRDefault="00FC53FA" w:rsidP="00FC53FA">
      <w:pPr>
        <w:rPr>
          <w:color w:val="000000" w:themeColor="text1"/>
        </w:rPr>
      </w:pPr>
      <w:r w:rsidRPr="00C40976">
        <w:rPr>
          <w:color w:val="000000" w:themeColor="text1"/>
        </w:rPr>
        <w:t xml:space="preserve">January, </w:t>
      </w:r>
      <w:proofErr w:type="spellStart"/>
      <w:r w:rsidRPr="00C40976">
        <w:rPr>
          <w:color w:val="000000" w:themeColor="text1"/>
        </w:rPr>
        <w:t>Trueswell</w:t>
      </w:r>
      <w:proofErr w:type="spellEnd"/>
      <w:r w:rsidRPr="00C40976">
        <w:rPr>
          <w:color w:val="000000" w:themeColor="text1"/>
        </w:rPr>
        <w:t xml:space="preserve"> &amp; Thompson-</w:t>
      </w:r>
      <w:proofErr w:type="spellStart"/>
      <w:r w:rsidRPr="00C40976">
        <w:rPr>
          <w:color w:val="000000" w:themeColor="text1"/>
        </w:rPr>
        <w:t>Schill</w:t>
      </w:r>
      <w:proofErr w:type="spellEnd"/>
      <w:r w:rsidRPr="00C40976">
        <w:rPr>
          <w:color w:val="000000" w:themeColor="text1"/>
        </w:rPr>
        <w:t>, 2009</w:t>
      </w:r>
    </w:p>
    <w:p w14:paraId="083641AF" w14:textId="77777777" w:rsidR="00FC53FA" w:rsidRPr="00F53BEE" w:rsidRDefault="00FC53FA" w:rsidP="00FC53FA">
      <w:pPr>
        <w:rPr>
          <w:color w:val="000000" w:themeColor="text1"/>
          <w:lang w:val="es-US"/>
        </w:rPr>
      </w:pPr>
      <w:r w:rsidRPr="00F53BEE">
        <w:rPr>
          <w:color w:val="000000" w:themeColor="text1"/>
          <w:lang w:val="es-US"/>
        </w:rPr>
        <w:t xml:space="preserve">Kroll &amp; Bialystok, 2013; </w:t>
      </w:r>
    </w:p>
    <w:p w14:paraId="2482881B" w14:textId="77777777" w:rsidR="00FC53FA" w:rsidRPr="00885013" w:rsidRDefault="00FC53FA" w:rsidP="00FC53FA">
      <w:pPr>
        <w:rPr>
          <w:color w:val="000000" w:themeColor="text1"/>
          <w:lang w:val="es-US"/>
        </w:rPr>
      </w:pPr>
      <w:r w:rsidRPr="00885013">
        <w:rPr>
          <w:color w:val="000000" w:themeColor="text1"/>
          <w:lang w:val="es-US"/>
        </w:rPr>
        <w:t>Rosselli, Ardila, Araujo, Weeks, Caracciolo, Padilla, Ostroski-Solis, 2000</w:t>
      </w:r>
    </w:p>
    <w:p w14:paraId="3EAC29C2" w14:textId="77777777" w:rsidR="00FC53FA" w:rsidRPr="00C40976" w:rsidRDefault="00FC53FA" w:rsidP="00FC53FA">
      <w:pPr>
        <w:rPr>
          <w:color w:val="000000" w:themeColor="text1"/>
        </w:rPr>
      </w:pPr>
      <w:proofErr w:type="spellStart"/>
      <w:r w:rsidRPr="00C40976">
        <w:rPr>
          <w:color w:val="000000" w:themeColor="text1"/>
        </w:rPr>
        <w:t>Ullsperger</w:t>
      </w:r>
      <w:proofErr w:type="spellEnd"/>
      <w:r w:rsidRPr="00C40976">
        <w:rPr>
          <w:color w:val="000000" w:themeColor="text1"/>
        </w:rPr>
        <w:t xml:space="preserve">, </w:t>
      </w:r>
      <w:proofErr w:type="spellStart"/>
      <w:r w:rsidRPr="00C40976">
        <w:rPr>
          <w:color w:val="000000" w:themeColor="text1"/>
        </w:rPr>
        <w:t>Bylsma</w:t>
      </w:r>
      <w:proofErr w:type="spellEnd"/>
      <w:r w:rsidRPr="00C40976">
        <w:rPr>
          <w:color w:val="000000" w:themeColor="text1"/>
        </w:rPr>
        <w:t xml:space="preserve"> &amp; </w:t>
      </w:r>
      <w:proofErr w:type="spellStart"/>
      <w:r w:rsidRPr="00C40976">
        <w:rPr>
          <w:color w:val="000000" w:themeColor="text1"/>
        </w:rPr>
        <w:t>Botvinick</w:t>
      </w:r>
      <w:proofErr w:type="spellEnd"/>
      <w:r w:rsidRPr="00C40976">
        <w:rPr>
          <w:color w:val="000000" w:themeColor="text1"/>
        </w:rPr>
        <w:t>, 2005</w:t>
      </w:r>
    </w:p>
    <w:p w14:paraId="6DCAC8EC" w14:textId="77777777" w:rsidR="00FC53FA" w:rsidRPr="00C40976" w:rsidRDefault="00FC53FA" w:rsidP="00FC53FA">
      <w:pPr>
        <w:rPr>
          <w:color w:val="000000" w:themeColor="text1"/>
        </w:rPr>
      </w:pPr>
      <w:r w:rsidRPr="00C40976">
        <w:rPr>
          <w:color w:val="000000" w:themeColor="text1"/>
        </w:rPr>
        <w:t>Ye &amp; Zhou, 2009</w:t>
      </w:r>
    </w:p>
    <w:p w14:paraId="7AE861BF" w14:textId="2A055294" w:rsidR="00B0739D" w:rsidRDefault="00B0739D">
      <w:pPr>
        <w:rPr>
          <w:b/>
        </w:rPr>
      </w:pPr>
    </w:p>
    <w:p w14:paraId="293DB429" w14:textId="77777777" w:rsidR="00CB303A" w:rsidRPr="00FC53FA" w:rsidRDefault="00CB303A">
      <w:pPr>
        <w:rPr>
          <w:b/>
        </w:rPr>
      </w:pPr>
    </w:p>
    <w:sectPr w:rsidR="00CB303A" w:rsidRPr="00FC53FA" w:rsidSect="000710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Jared Novick" w:date="2016-05-16T16:18:00Z" w:initials="JN">
    <w:p w14:paraId="563BAD40" w14:textId="77777777" w:rsidR="00C307F1" w:rsidRDefault="00C307F1" w:rsidP="00170495">
      <w:pPr>
        <w:pStyle w:val="CommentText"/>
      </w:pPr>
      <w:r>
        <w:rPr>
          <w:rStyle w:val="CommentReference"/>
        </w:rPr>
        <w:annotationRef/>
      </w:r>
      <w:r>
        <w:t xml:space="preserve">And there’s no effect of </w:t>
      </w:r>
      <w:proofErr w:type="spellStart"/>
      <w:r>
        <w:t>stroop</w:t>
      </w:r>
      <w:proofErr w:type="spellEnd"/>
      <w:r>
        <w:t xml:space="preserve"> over and above what L2 folks already have to engage? Could it then be possible that, if you find this result, </w:t>
      </w:r>
      <w:proofErr w:type="spellStart"/>
      <w:r>
        <w:t>stroop</w:t>
      </w:r>
      <w:proofErr w:type="spellEnd"/>
      <w:r>
        <w:t xml:space="preserve"> just isn’t strong enough to push beyond the limits of the mechanism? (follow ups might be important.)</w:t>
      </w:r>
    </w:p>
  </w:comment>
  <w:comment w:id="10" w:author="Jared Novick" w:date="2016-05-16T16:23:00Z" w:initials="JN">
    <w:p w14:paraId="08BB6692" w14:textId="77777777" w:rsidR="00C307F1" w:rsidRDefault="00C307F1" w:rsidP="00170495">
      <w:pPr>
        <w:pStyle w:val="CommentText"/>
      </w:pPr>
      <w:r>
        <w:rPr>
          <w:rStyle w:val="CommentReference"/>
        </w:rPr>
        <w:annotationRef/>
      </w:r>
      <w:r>
        <w:t>I think so, but I’m not sure you could completely exclude the explanation that L2 processing at lower proficiency levels still depletes cognitive control, hence more errors. It’s just that it doesn’t totally get depleted, so exogenously forcing the mechanism to engage more results in better performance.</w:t>
      </w:r>
    </w:p>
    <w:p w14:paraId="185AAAC2" w14:textId="77777777" w:rsidR="00C307F1" w:rsidRDefault="00C307F1" w:rsidP="00170495">
      <w:pPr>
        <w:pStyle w:val="CommentText"/>
      </w:pPr>
    </w:p>
    <w:p w14:paraId="6955A566" w14:textId="77777777" w:rsidR="00C307F1" w:rsidRDefault="00C307F1" w:rsidP="00170495">
      <w:pPr>
        <w:pStyle w:val="CommentText"/>
      </w:pPr>
      <w:r>
        <w:t xml:space="preserve">Could there also be yet another alternative, whereby low proficiency levels are </w:t>
      </w:r>
      <w:r w:rsidRPr="001F46F2">
        <w:rPr>
          <w:b/>
          <w:bCs/>
        </w:rPr>
        <w:t>really</w:t>
      </w:r>
      <w:r>
        <w:t xml:space="preserve"> tapping cognitive control during L2 processing, so you get a downward effect (depletion) but the gray bar stays as it is (intermediate level is good enough not to overtax cognitive control, and they still benefit from additional engagement)?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3BAD40" w15:done="0"/>
  <w15:commentEx w15:paraId="6955A5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3BAD40" w16cid:durableId="20167B6B"/>
  <w16cid:commentId w16cid:paraId="6955A566" w16cid:durableId="20167B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AA5EA" w14:textId="77777777" w:rsidR="00B40129" w:rsidRDefault="00B40129" w:rsidP="00D22A55">
      <w:r>
        <w:separator/>
      </w:r>
    </w:p>
  </w:endnote>
  <w:endnote w:type="continuationSeparator" w:id="0">
    <w:p w14:paraId="6FECD1CA" w14:textId="77777777" w:rsidR="00B40129" w:rsidRDefault="00B40129" w:rsidP="00D2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B75AD" w14:textId="77777777" w:rsidR="00B40129" w:rsidRDefault="00B40129" w:rsidP="00D22A55">
      <w:r>
        <w:separator/>
      </w:r>
    </w:p>
  </w:footnote>
  <w:footnote w:type="continuationSeparator" w:id="0">
    <w:p w14:paraId="304E6EB5" w14:textId="77777777" w:rsidR="00B40129" w:rsidRDefault="00B40129" w:rsidP="00D22A55">
      <w:r>
        <w:continuationSeparator/>
      </w:r>
    </w:p>
  </w:footnote>
  <w:footnote w:id="1">
    <w:p w14:paraId="7EFEC572" w14:textId="77777777" w:rsidR="00C307F1" w:rsidRDefault="00C307F1">
      <w:pPr>
        <w:pStyle w:val="FootnoteText"/>
      </w:pPr>
      <w:r>
        <w:rPr>
          <w:rStyle w:val="FootnoteReference"/>
        </w:rPr>
        <w:footnoteRef/>
      </w:r>
      <w:r>
        <w:t xml:space="preserve"> </w:t>
      </w:r>
      <w:r w:rsidRPr="00D22A55">
        <w:t xml:space="preserve">Proposed Change: The </w:t>
      </w:r>
      <w:r>
        <w:t>decision to present all unambiguous</w:t>
      </w:r>
      <w:r w:rsidRPr="00D22A55">
        <w:t xml:space="preserve"> stimuli </w:t>
      </w:r>
      <w:r>
        <w:t>after a [+conflict] flanker was made to allow for stronger comparisons and to avoid attention to the similar sentence structures between the transitive and intransitive sentences, but following data collection, it became clear that a stronger study would also include the fourth permutation of the conditions:</w:t>
      </w:r>
      <w:r w:rsidRPr="00D22A55">
        <w:t xml:space="preserve"> [</w:t>
      </w:r>
      <w:r>
        <w:t>-</w:t>
      </w:r>
      <w:r w:rsidRPr="00D22A55">
        <w:t>conflict, -ambiguity</w:t>
      </w:r>
      <w:r>
        <w:t>]. The proposed change would mean both lists would include each unambiguous sentence, and the preceding flanker condition would be counterbalanced across the two lists.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5A26"/>
    <w:multiLevelType w:val="hybridMultilevel"/>
    <w:tmpl w:val="BE32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D62C8"/>
    <w:multiLevelType w:val="hybridMultilevel"/>
    <w:tmpl w:val="83AA983A"/>
    <w:lvl w:ilvl="0" w:tplc="AC4ED9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058EC"/>
    <w:multiLevelType w:val="multilevel"/>
    <w:tmpl w:val="4068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756E8"/>
    <w:multiLevelType w:val="hybridMultilevel"/>
    <w:tmpl w:val="9A461014"/>
    <w:lvl w:ilvl="0" w:tplc="5BF402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C057A"/>
    <w:multiLevelType w:val="multilevel"/>
    <w:tmpl w:val="6C2C3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B4569"/>
    <w:multiLevelType w:val="hybridMultilevel"/>
    <w:tmpl w:val="1264E6C0"/>
    <w:lvl w:ilvl="0" w:tplc="615EB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17E68"/>
    <w:multiLevelType w:val="hybridMultilevel"/>
    <w:tmpl w:val="3AB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15B0B"/>
    <w:multiLevelType w:val="hybridMultilevel"/>
    <w:tmpl w:val="39E0D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05"/>
    <w:rsid w:val="000128D0"/>
    <w:rsid w:val="0001512A"/>
    <w:rsid w:val="00032C55"/>
    <w:rsid w:val="00037719"/>
    <w:rsid w:val="000607DE"/>
    <w:rsid w:val="00067887"/>
    <w:rsid w:val="000710AF"/>
    <w:rsid w:val="0007329A"/>
    <w:rsid w:val="0007651D"/>
    <w:rsid w:val="000778F4"/>
    <w:rsid w:val="00083981"/>
    <w:rsid w:val="000866E6"/>
    <w:rsid w:val="000914B0"/>
    <w:rsid w:val="00092A5A"/>
    <w:rsid w:val="000A1C06"/>
    <w:rsid w:val="000A28C4"/>
    <w:rsid w:val="000A5FFE"/>
    <w:rsid w:val="000B2FE7"/>
    <w:rsid w:val="000C3B96"/>
    <w:rsid w:val="000D5217"/>
    <w:rsid w:val="000F78C7"/>
    <w:rsid w:val="001003DD"/>
    <w:rsid w:val="00114085"/>
    <w:rsid w:val="0012533E"/>
    <w:rsid w:val="001433CD"/>
    <w:rsid w:val="001457EE"/>
    <w:rsid w:val="0014676F"/>
    <w:rsid w:val="00170495"/>
    <w:rsid w:val="00174857"/>
    <w:rsid w:val="00175149"/>
    <w:rsid w:val="001C35D4"/>
    <w:rsid w:val="00216C88"/>
    <w:rsid w:val="00227174"/>
    <w:rsid w:val="00230F09"/>
    <w:rsid w:val="00243727"/>
    <w:rsid w:val="00246A7A"/>
    <w:rsid w:val="00253CD0"/>
    <w:rsid w:val="0025723E"/>
    <w:rsid w:val="00260B68"/>
    <w:rsid w:val="00274159"/>
    <w:rsid w:val="00282188"/>
    <w:rsid w:val="002B0CD4"/>
    <w:rsid w:val="002C01F0"/>
    <w:rsid w:val="002D43DA"/>
    <w:rsid w:val="002F2DA6"/>
    <w:rsid w:val="002F4ADC"/>
    <w:rsid w:val="002F7FE3"/>
    <w:rsid w:val="00320EFC"/>
    <w:rsid w:val="003379B2"/>
    <w:rsid w:val="0034240B"/>
    <w:rsid w:val="003547DF"/>
    <w:rsid w:val="00381893"/>
    <w:rsid w:val="003862BD"/>
    <w:rsid w:val="003925CD"/>
    <w:rsid w:val="00394E94"/>
    <w:rsid w:val="003C281E"/>
    <w:rsid w:val="003F04E8"/>
    <w:rsid w:val="003F0BA4"/>
    <w:rsid w:val="0040089F"/>
    <w:rsid w:val="004027DB"/>
    <w:rsid w:val="004034AA"/>
    <w:rsid w:val="00403779"/>
    <w:rsid w:val="00414DC6"/>
    <w:rsid w:val="0047353E"/>
    <w:rsid w:val="0047398B"/>
    <w:rsid w:val="004939D2"/>
    <w:rsid w:val="004A6B14"/>
    <w:rsid w:val="004B1C87"/>
    <w:rsid w:val="004D00F4"/>
    <w:rsid w:val="004D1F3E"/>
    <w:rsid w:val="004E0F4F"/>
    <w:rsid w:val="004F705D"/>
    <w:rsid w:val="00514DED"/>
    <w:rsid w:val="00530573"/>
    <w:rsid w:val="00530F75"/>
    <w:rsid w:val="0055159E"/>
    <w:rsid w:val="0056593E"/>
    <w:rsid w:val="0057150A"/>
    <w:rsid w:val="005812F5"/>
    <w:rsid w:val="00586830"/>
    <w:rsid w:val="005A6A75"/>
    <w:rsid w:val="005E239A"/>
    <w:rsid w:val="005E7EF9"/>
    <w:rsid w:val="005F4F1E"/>
    <w:rsid w:val="005F4F63"/>
    <w:rsid w:val="00602E40"/>
    <w:rsid w:val="00606C08"/>
    <w:rsid w:val="00611138"/>
    <w:rsid w:val="006469E8"/>
    <w:rsid w:val="00662675"/>
    <w:rsid w:val="00665C9A"/>
    <w:rsid w:val="006906D0"/>
    <w:rsid w:val="00693DD5"/>
    <w:rsid w:val="006A291C"/>
    <w:rsid w:val="006F1AF4"/>
    <w:rsid w:val="00705F78"/>
    <w:rsid w:val="00706FD1"/>
    <w:rsid w:val="00711C08"/>
    <w:rsid w:val="0074473B"/>
    <w:rsid w:val="00745C91"/>
    <w:rsid w:val="0076386E"/>
    <w:rsid w:val="00791B81"/>
    <w:rsid w:val="007A3CD4"/>
    <w:rsid w:val="007D636B"/>
    <w:rsid w:val="007E0F81"/>
    <w:rsid w:val="007F13AA"/>
    <w:rsid w:val="007F2784"/>
    <w:rsid w:val="007F2C7B"/>
    <w:rsid w:val="00807CBD"/>
    <w:rsid w:val="008353BA"/>
    <w:rsid w:val="00845EEA"/>
    <w:rsid w:val="008530A4"/>
    <w:rsid w:val="00864D55"/>
    <w:rsid w:val="00867619"/>
    <w:rsid w:val="00880F28"/>
    <w:rsid w:val="008860B6"/>
    <w:rsid w:val="008B1ACB"/>
    <w:rsid w:val="008B432D"/>
    <w:rsid w:val="008C6E39"/>
    <w:rsid w:val="008D45D8"/>
    <w:rsid w:val="008E2DDD"/>
    <w:rsid w:val="00905A50"/>
    <w:rsid w:val="00910079"/>
    <w:rsid w:val="0091298C"/>
    <w:rsid w:val="00931D44"/>
    <w:rsid w:val="00993F11"/>
    <w:rsid w:val="009B24D5"/>
    <w:rsid w:val="009D4C51"/>
    <w:rsid w:val="009E4138"/>
    <w:rsid w:val="00A07214"/>
    <w:rsid w:val="00A14899"/>
    <w:rsid w:val="00A750A5"/>
    <w:rsid w:val="00A82D9F"/>
    <w:rsid w:val="00AA046A"/>
    <w:rsid w:val="00AA1C7F"/>
    <w:rsid w:val="00AA4432"/>
    <w:rsid w:val="00AA521F"/>
    <w:rsid w:val="00AB36C4"/>
    <w:rsid w:val="00AB6FC1"/>
    <w:rsid w:val="00AB75AF"/>
    <w:rsid w:val="00AD054A"/>
    <w:rsid w:val="00AD7397"/>
    <w:rsid w:val="00B0739D"/>
    <w:rsid w:val="00B32AC9"/>
    <w:rsid w:val="00B40129"/>
    <w:rsid w:val="00B4278B"/>
    <w:rsid w:val="00B46069"/>
    <w:rsid w:val="00B96908"/>
    <w:rsid w:val="00BE57DB"/>
    <w:rsid w:val="00BE7F7F"/>
    <w:rsid w:val="00BF2FDB"/>
    <w:rsid w:val="00C05BD8"/>
    <w:rsid w:val="00C06F29"/>
    <w:rsid w:val="00C23916"/>
    <w:rsid w:val="00C25A7F"/>
    <w:rsid w:val="00C307F1"/>
    <w:rsid w:val="00C61AD7"/>
    <w:rsid w:val="00C709F7"/>
    <w:rsid w:val="00CB303A"/>
    <w:rsid w:val="00CC1043"/>
    <w:rsid w:val="00CD080C"/>
    <w:rsid w:val="00CD4F1E"/>
    <w:rsid w:val="00CE3F14"/>
    <w:rsid w:val="00D032AE"/>
    <w:rsid w:val="00D1573B"/>
    <w:rsid w:val="00D22A55"/>
    <w:rsid w:val="00D315AB"/>
    <w:rsid w:val="00D33B95"/>
    <w:rsid w:val="00D3733E"/>
    <w:rsid w:val="00D541D5"/>
    <w:rsid w:val="00D54C75"/>
    <w:rsid w:val="00D71190"/>
    <w:rsid w:val="00D739FF"/>
    <w:rsid w:val="00D7609A"/>
    <w:rsid w:val="00D87E54"/>
    <w:rsid w:val="00DA2BB0"/>
    <w:rsid w:val="00DB4EFD"/>
    <w:rsid w:val="00DC13EC"/>
    <w:rsid w:val="00DC7040"/>
    <w:rsid w:val="00DF270B"/>
    <w:rsid w:val="00E10466"/>
    <w:rsid w:val="00E13508"/>
    <w:rsid w:val="00E136D3"/>
    <w:rsid w:val="00E160AA"/>
    <w:rsid w:val="00E32505"/>
    <w:rsid w:val="00E66F5F"/>
    <w:rsid w:val="00E81666"/>
    <w:rsid w:val="00E84905"/>
    <w:rsid w:val="00ED1389"/>
    <w:rsid w:val="00EF23A0"/>
    <w:rsid w:val="00F21074"/>
    <w:rsid w:val="00F234F8"/>
    <w:rsid w:val="00F335E9"/>
    <w:rsid w:val="00F41F6C"/>
    <w:rsid w:val="00F57D8D"/>
    <w:rsid w:val="00F73E21"/>
    <w:rsid w:val="00F82156"/>
    <w:rsid w:val="00F93510"/>
    <w:rsid w:val="00FC53FA"/>
    <w:rsid w:val="00FE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EE716"/>
  <w15:chartTrackingRefBased/>
  <w15:docId w15:val="{C12A940C-ED28-5847-8070-EF5E6839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01F0"/>
    <w:rPr>
      <w:rFonts w:ascii="Times New Roman" w:eastAsia="Times New Roman" w:hAnsi="Times New Roman" w:cs="Times New Roman"/>
    </w:rPr>
  </w:style>
  <w:style w:type="paragraph" w:styleId="Heading1">
    <w:name w:val="heading 1"/>
    <w:basedOn w:val="Normal"/>
    <w:next w:val="Normal"/>
    <w:link w:val="Heading1Char"/>
    <w:uiPriority w:val="9"/>
    <w:qFormat/>
    <w:rsid w:val="00FC53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4F8"/>
    <w:pPr>
      <w:spacing w:before="100" w:beforeAutospacing="1" w:after="100" w:afterAutospacing="1"/>
    </w:pPr>
  </w:style>
  <w:style w:type="paragraph" w:styleId="FootnoteText">
    <w:name w:val="footnote text"/>
    <w:basedOn w:val="Normal"/>
    <w:link w:val="FootnoteTextChar"/>
    <w:uiPriority w:val="99"/>
    <w:semiHidden/>
    <w:unhideWhenUsed/>
    <w:rsid w:val="00D22A55"/>
    <w:rPr>
      <w:sz w:val="20"/>
      <w:szCs w:val="20"/>
    </w:rPr>
  </w:style>
  <w:style w:type="character" w:customStyle="1" w:styleId="FootnoteTextChar">
    <w:name w:val="Footnote Text Char"/>
    <w:basedOn w:val="DefaultParagraphFont"/>
    <w:link w:val="FootnoteText"/>
    <w:uiPriority w:val="99"/>
    <w:semiHidden/>
    <w:rsid w:val="00D22A55"/>
    <w:rPr>
      <w:sz w:val="20"/>
      <w:szCs w:val="20"/>
    </w:rPr>
  </w:style>
  <w:style w:type="character" w:styleId="FootnoteReference">
    <w:name w:val="footnote reference"/>
    <w:basedOn w:val="DefaultParagraphFont"/>
    <w:uiPriority w:val="99"/>
    <w:semiHidden/>
    <w:unhideWhenUsed/>
    <w:rsid w:val="00D22A55"/>
    <w:rPr>
      <w:vertAlign w:val="superscript"/>
    </w:rPr>
  </w:style>
  <w:style w:type="paragraph" w:styleId="ListParagraph">
    <w:name w:val="List Paragraph"/>
    <w:basedOn w:val="Normal"/>
    <w:uiPriority w:val="34"/>
    <w:qFormat/>
    <w:rsid w:val="0057150A"/>
    <w:pPr>
      <w:ind w:left="720"/>
      <w:contextualSpacing/>
    </w:pPr>
  </w:style>
  <w:style w:type="character" w:styleId="Hyperlink">
    <w:name w:val="Hyperlink"/>
    <w:basedOn w:val="DefaultParagraphFont"/>
    <w:uiPriority w:val="99"/>
    <w:unhideWhenUsed/>
    <w:rsid w:val="0057150A"/>
    <w:rPr>
      <w:color w:val="0000FF"/>
      <w:u w:val="single"/>
    </w:rPr>
  </w:style>
  <w:style w:type="character" w:customStyle="1" w:styleId="UnresolvedMention1">
    <w:name w:val="Unresolved Mention1"/>
    <w:basedOn w:val="DefaultParagraphFont"/>
    <w:uiPriority w:val="99"/>
    <w:semiHidden/>
    <w:unhideWhenUsed/>
    <w:rsid w:val="00B0739D"/>
    <w:rPr>
      <w:color w:val="605E5C"/>
      <w:shd w:val="clear" w:color="auto" w:fill="E1DFDD"/>
    </w:rPr>
  </w:style>
  <w:style w:type="table" w:styleId="TableGrid">
    <w:name w:val="Table Grid"/>
    <w:basedOn w:val="TableNormal"/>
    <w:uiPriority w:val="39"/>
    <w:rsid w:val="00342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607DE"/>
    <w:rPr>
      <w:i/>
      <w:iCs/>
    </w:rPr>
  </w:style>
  <w:style w:type="character" w:styleId="CommentReference">
    <w:name w:val="annotation reference"/>
    <w:basedOn w:val="DefaultParagraphFont"/>
    <w:uiPriority w:val="99"/>
    <w:semiHidden/>
    <w:unhideWhenUsed/>
    <w:rsid w:val="00037719"/>
    <w:rPr>
      <w:sz w:val="18"/>
      <w:szCs w:val="18"/>
    </w:rPr>
  </w:style>
  <w:style w:type="paragraph" w:styleId="CommentText">
    <w:name w:val="annotation text"/>
    <w:basedOn w:val="Normal"/>
    <w:link w:val="CommentTextChar"/>
    <w:uiPriority w:val="99"/>
    <w:semiHidden/>
    <w:unhideWhenUsed/>
    <w:rsid w:val="00037719"/>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037719"/>
    <w:rPr>
      <w:rFonts w:eastAsiaTheme="minorEastAsia"/>
    </w:rPr>
  </w:style>
  <w:style w:type="paragraph" w:styleId="BalloonText">
    <w:name w:val="Balloon Text"/>
    <w:basedOn w:val="Normal"/>
    <w:link w:val="BalloonTextChar"/>
    <w:uiPriority w:val="99"/>
    <w:semiHidden/>
    <w:unhideWhenUsed/>
    <w:rsid w:val="00037719"/>
    <w:rPr>
      <w:sz w:val="18"/>
      <w:szCs w:val="18"/>
    </w:rPr>
  </w:style>
  <w:style w:type="character" w:customStyle="1" w:styleId="BalloonTextChar">
    <w:name w:val="Balloon Text Char"/>
    <w:basedOn w:val="DefaultParagraphFont"/>
    <w:link w:val="BalloonText"/>
    <w:uiPriority w:val="99"/>
    <w:semiHidden/>
    <w:rsid w:val="00037719"/>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FC53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53FA"/>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FC53FA"/>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semiHidden/>
    <w:unhideWhenUsed/>
    <w:rsid w:val="00FC53FA"/>
    <w:rPr>
      <w:rFonts w:asciiTheme="minorHAnsi" w:hAnsiTheme="minorHAnsi"/>
      <w:b/>
      <w:bCs/>
      <w:smallCaps/>
      <w:sz w:val="22"/>
      <w:szCs w:val="22"/>
    </w:rPr>
  </w:style>
  <w:style w:type="paragraph" w:styleId="TOC3">
    <w:name w:val="toc 3"/>
    <w:basedOn w:val="Normal"/>
    <w:next w:val="Normal"/>
    <w:autoRedefine/>
    <w:uiPriority w:val="39"/>
    <w:semiHidden/>
    <w:unhideWhenUsed/>
    <w:rsid w:val="00FC53FA"/>
    <w:rPr>
      <w:rFonts w:asciiTheme="minorHAnsi" w:hAnsiTheme="minorHAnsi"/>
      <w:smallCaps/>
      <w:sz w:val="22"/>
      <w:szCs w:val="22"/>
    </w:rPr>
  </w:style>
  <w:style w:type="paragraph" w:styleId="TOC4">
    <w:name w:val="toc 4"/>
    <w:basedOn w:val="Normal"/>
    <w:next w:val="Normal"/>
    <w:autoRedefine/>
    <w:uiPriority w:val="39"/>
    <w:semiHidden/>
    <w:unhideWhenUsed/>
    <w:rsid w:val="00FC53FA"/>
    <w:rPr>
      <w:rFonts w:asciiTheme="minorHAnsi" w:hAnsiTheme="minorHAnsi"/>
      <w:sz w:val="22"/>
      <w:szCs w:val="22"/>
    </w:rPr>
  </w:style>
  <w:style w:type="paragraph" w:styleId="TOC5">
    <w:name w:val="toc 5"/>
    <w:basedOn w:val="Normal"/>
    <w:next w:val="Normal"/>
    <w:autoRedefine/>
    <w:uiPriority w:val="39"/>
    <w:semiHidden/>
    <w:unhideWhenUsed/>
    <w:rsid w:val="00FC53FA"/>
    <w:rPr>
      <w:rFonts w:asciiTheme="minorHAnsi" w:hAnsiTheme="minorHAnsi"/>
      <w:sz w:val="22"/>
      <w:szCs w:val="22"/>
    </w:rPr>
  </w:style>
  <w:style w:type="paragraph" w:styleId="TOC6">
    <w:name w:val="toc 6"/>
    <w:basedOn w:val="Normal"/>
    <w:next w:val="Normal"/>
    <w:autoRedefine/>
    <w:uiPriority w:val="39"/>
    <w:semiHidden/>
    <w:unhideWhenUsed/>
    <w:rsid w:val="00FC53FA"/>
    <w:rPr>
      <w:rFonts w:asciiTheme="minorHAnsi" w:hAnsiTheme="minorHAnsi"/>
      <w:sz w:val="22"/>
      <w:szCs w:val="22"/>
    </w:rPr>
  </w:style>
  <w:style w:type="paragraph" w:styleId="TOC7">
    <w:name w:val="toc 7"/>
    <w:basedOn w:val="Normal"/>
    <w:next w:val="Normal"/>
    <w:autoRedefine/>
    <w:uiPriority w:val="39"/>
    <w:semiHidden/>
    <w:unhideWhenUsed/>
    <w:rsid w:val="00FC53FA"/>
    <w:rPr>
      <w:rFonts w:asciiTheme="minorHAnsi" w:hAnsiTheme="minorHAnsi"/>
      <w:sz w:val="22"/>
      <w:szCs w:val="22"/>
    </w:rPr>
  </w:style>
  <w:style w:type="paragraph" w:styleId="TOC8">
    <w:name w:val="toc 8"/>
    <w:basedOn w:val="Normal"/>
    <w:next w:val="Normal"/>
    <w:autoRedefine/>
    <w:uiPriority w:val="39"/>
    <w:semiHidden/>
    <w:unhideWhenUsed/>
    <w:rsid w:val="00FC53FA"/>
    <w:rPr>
      <w:rFonts w:asciiTheme="minorHAnsi" w:hAnsiTheme="minorHAnsi"/>
      <w:sz w:val="22"/>
      <w:szCs w:val="22"/>
    </w:rPr>
  </w:style>
  <w:style w:type="paragraph" w:styleId="TOC9">
    <w:name w:val="toc 9"/>
    <w:basedOn w:val="Normal"/>
    <w:next w:val="Normal"/>
    <w:autoRedefine/>
    <w:uiPriority w:val="39"/>
    <w:semiHidden/>
    <w:unhideWhenUsed/>
    <w:rsid w:val="00FC53FA"/>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46386">
      <w:bodyDiv w:val="1"/>
      <w:marLeft w:val="0"/>
      <w:marRight w:val="0"/>
      <w:marTop w:val="0"/>
      <w:marBottom w:val="0"/>
      <w:divBdr>
        <w:top w:val="none" w:sz="0" w:space="0" w:color="auto"/>
        <w:left w:val="none" w:sz="0" w:space="0" w:color="auto"/>
        <w:bottom w:val="none" w:sz="0" w:space="0" w:color="auto"/>
        <w:right w:val="none" w:sz="0" w:space="0" w:color="auto"/>
      </w:divBdr>
      <w:divsChild>
        <w:div w:id="792821447">
          <w:marLeft w:val="0"/>
          <w:marRight w:val="0"/>
          <w:marTop w:val="120"/>
          <w:marBottom w:val="0"/>
          <w:divBdr>
            <w:top w:val="single" w:sz="6" w:space="6" w:color="CCCCCC"/>
            <w:left w:val="single" w:sz="6" w:space="6" w:color="CCCCCC"/>
            <w:bottom w:val="single" w:sz="6" w:space="6" w:color="CCCCCC"/>
            <w:right w:val="single" w:sz="6" w:space="6" w:color="CCCCCC"/>
          </w:divBdr>
        </w:div>
        <w:div w:id="1206136410">
          <w:marLeft w:val="0"/>
          <w:marRight w:val="0"/>
          <w:marTop w:val="120"/>
          <w:marBottom w:val="0"/>
          <w:divBdr>
            <w:top w:val="single" w:sz="6" w:space="6" w:color="CCCCCC"/>
            <w:left w:val="single" w:sz="6" w:space="6" w:color="CCCCCC"/>
            <w:bottom w:val="single" w:sz="6" w:space="6" w:color="CCCCCC"/>
            <w:right w:val="single" w:sz="6" w:space="6" w:color="CCCCCC"/>
          </w:divBdr>
        </w:div>
      </w:divsChild>
    </w:div>
    <w:div w:id="210961290">
      <w:bodyDiv w:val="1"/>
      <w:marLeft w:val="0"/>
      <w:marRight w:val="0"/>
      <w:marTop w:val="0"/>
      <w:marBottom w:val="0"/>
      <w:divBdr>
        <w:top w:val="none" w:sz="0" w:space="0" w:color="auto"/>
        <w:left w:val="none" w:sz="0" w:space="0" w:color="auto"/>
        <w:bottom w:val="none" w:sz="0" w:space="0" w:color="auto"/>
        <w:right w:val="none" w:sz="0" w:space="0" w:color="auto"/>
      </w:divBdr>
    </w:div>
    <w:div w:id="231354486">
      <w:bodyDiv w:val="1"/>
      <w:marLeft w:val="0"/>
      <w:marRight w:val="0"/>
      <w:marTop w:val="0"/>
      <w:marBottom w:val="0"/>
      <w:divBdr>
        <w:top w:val="none" w:sz="0" w:space="0" w:color="auto"/>
        <w:left w:val="none" w:sz="0" w:space="0" w:color="auto"/>
        <w:bottom w:val="none" w:sz="0" w:space="0" w:color="auto"/>
        <w:right w:val="none" w:sz="0" w:space="0" w:color="auto"/>
      </w:divBdr>
    </w:div>
    <w:div w:id="275408684">
      <w:bodyDiv w:val="1"/>
      <w:marLeft w:val="0"/>
      <w:marRight w:val="0"/>
      <w:marTop w:val="0"/>
      <w:marBottom w:val="0"/>
      <w:divBdr>
        <w:top w:val="none" w:sz="0" w:space="0" w:color="auto"/>
        <w:left w:val="none" w:sz="0" w:space="0" w:color="auto"/>
        <w:bottom w:val="none" w:sz="0" w:space="0" w:color="auto"/>
        <w:right w:val="none" w:sz="0" w:space="0" w:color="auto"/>
      </w:divBdr>
      <w:divsChild>
        <w:div w:id="878974423">
          <w:marLeft w:val="0"/>
          <w:marRight w:val="0"/>
          <w:marTop w:val="120"/>
          <w:marBottom w:val="0"/>
          <w:divBdr>
            <w:top w:val="single" w:sz="6" w:space="6" w:color="CCCCCC"/>
            <w:left w:val="single" w:sz="6" w:space="6" w:color="CCCCCC"/>
            <w:bottom w:val="single" w:sz="6" w:space="6" w:color="CCCCCC"/>
            <w:right w:val="single" w:sz="6" w:space="6" w:color="CCCCCC"/>
          </w:divBdr>
        </w:div>
        <w:div w:id="1765029041">
          <w:marLeft w:val="0"/>
          <w:marRight w:val="0"/>
          <w:marTop w:val="120"/>
          <w:marBottom w:val="0"/>
          <w:divBdr>
            <w:top w:val="single" w:sz="6" w:space="6" w:color="CCCCCC"/>
            <w:left w:val="single" w:sz="6" w:space="6" w:color="CCCCCC"/>
            <w:bottom w:val="single" w:sz="6" w:space="6" w:color="CCCCCC"/>
            <w:right w:val="single" w:sz="6" w:space="6" w:color="CCCCCC"/>
          </w:divBdr>
        </w:div>
      </w:divsChild>
    </w:div>
    <w:div w:id="277030319">
      <w:bodyDiv w:val="1"/>
      <w:marLeft w:val="0"/>
      <w:marRight w:val="0"/>
      <w:marTop w:val="0"/>
      <w:marBottom w:val="0"/>
      <w:divBdr>
        <w:top w:val="none" w:sz="0" w:space="0" w:color="auto"/>
        <w:left w:val="none" w:sz="0" w:space="0" w:color="auto"/>
        <w:bottom w:val="none" w:sz="0" w:space="0" w:color="auto"/>
        <w:right w:val="none" w:sz="0" w:space="0" w:color="auto"/>
      </w:divBdr>
    </w:div>
    <w:div w:id="315688895">
      <w:bodyDiv w:val="1"/>
      <w:marLeft w:val="0"/>
      <w:marRight w:val="0"/>
      <w:marTop w:val="0"/>
      <w:marBottom w:val="0"/>
      <w:divBdr>
        <w:top w:val="none" w:sz="0" w:space="0" w:color="auto"/>
        <w:left w:val="none" w:sz="0" w:space="0" w:color="auto"/>
        <w:bottom w:val="none" w:sz="0" w:space="0" w:color="auto"/>
        <w:right w:val="none" w:sz="0" w:space="0" w:color="auto"/>
      </w:divBdr>
    </w:div>
    <w:div w:id="404454701">
      <w:bodyDiv w:val="1"/>
      <w:marLeft w:val="0"/>
      <w:marRight w:val="0"/>
      <w:marTop w:val="0"/>
      <w:marBottom w:val="0"/>
      <w:divBdr>
        <w:top w:val="none" w:sz="0" w:space="0" w:color="auto"/>
        <w:left w:val="none" w:sz="0" w:space="0" w:color="auto"/>
        <w:bottom w:val="none" w:sz="0" w:space="0" w:color="auto"/>
        <w:right w:val="none" w:sz="0" w:space="0" w:color="auto"/>
      </w:divBdr>
    </w:div>
    <w:div w:id="437144740">
      <w:bodyDiv w:val="1"/>
      <w:marLeft w:val="0"/>
      <w:marRight w:val="0"/>
      <w:marTop w:val="0"/>
      <w:marBottom w:val="0"/>
      <w:divBdr>
        <w:top w:val="none" w:sz="0" w:space="0" w:color="auto"/>
        <w:left w:val="none" w:sz="0" w:space="0" w:color="auto"/>
        <w:bottom w:val="none" w:sz="0" w:space="0" w:color="auto"/>
        <w:right w:val="none" w:sz="0" w:space="0" w:color="auto"/>
      </w:divBdr>
    </w:div>
    <w:div w:id="549079379">
      <w:bodyDiv w:val="1"/>
      <w:marLeft w:val="0"/>
      <w:marRight w:val="0"/>
      <w:marTop w:val="0"/>
      <w:marBottom w:val="0"/>
      <w:divBdr>
        <w:top w:val="none" w:sz="0" w:space="0" w:color="auto"/>
        <w:left w:val="none" w:sz="0" w:space="0" w:color="auto"/>
        <w:bottom w:val="none" w:sz="0" w:space="0" w:color="auto"/>
        <w:right w:val="none" w:sz="0" w:space="0" w:color="auto"/>
      </w:divBdr>
    </w:div>
    <w:div w:id="779028585">
      <w:bodyDiv w:val="1"/>
      <w:marLeft w:val="0"/>
      <w:marRight w:val="0"/>
      <w:marTop w:val="0"/>
      <w:marBottom w:val="0"/>
      <w:divBdr>
        <w:top w:val="none" w:sz="0" w:space="0" w:color="auto"/>
        <w:left w:val="none" w:sz="0" w:space="0" w:color="auto"/>
        <w:bottom w:val="none" w:sz="0" w:space="0" w:color="auto"/>
        <w:right w:val="none" w:sz="0" w:space="0" w:color="auto"/>
      </w:divBdr>
    </w:div>
    <w:div w:id="798230999">
      <w:bodyDiv w:val="1"/>
      <w:marLeft w:val="0"/>
      <w:marRight w:val="0"/>
      <w:marTop w:val="0"/>
      <w:marBottom w:val="0"/>
      <w:divBdr>
        <w:top w:val="none" w:sz="0" w:space="0" w:color="auto"/>
        <w:left w:val="none" w:sz="0" w:space="0" w:color="auto"/>
        <w:bottom w:val="none" w:sz="0" w:space="0" w:color="auto"/>
        <w:right w:val="none" w:sz="0" w:space="0" w:color="auto"/>
      </w:divBdr>
    </w:div>
    <w:div w:id="817112319">
      <w:bodyDiv w:val="1"/>
      <w:marLeft w:val="0"/>
      <w:marRight w:val="0"/>
      <w:marTop w:val="0"/>
      <w:marBottom w:val="0"/>
      <w:divBdr>
        <w:top w:val="none" w:sz="0" w:space="0" w:color="auto"/>
        <w:left w:val="none" w:sz="0" w:space="0" w:color="auto"/>
        <w:bottom w:val="none" w:sz="0" w:space="0" w:color="auto"/>
        <w:right w:val="none" w:sz="0" w:space="0" w:color="auto"/>
      </w:divBdr>
      <w:divsChild>
        <w:div w:id="1608003322">
          <w:marLeft w:val="0"/>
          <w:marRight w:val="0"/>
          <w:marTop w:val="0"/>
          <w:marBottom w:val="0"/>
          <w:divBdr>
            <w:top w:val="none" w:sz="0" w:space="0" w:color="auto"/>
            <w:left w:val="none" w:sz="0" w:space="0" w:color="auto"/>
            <w:bottom w:val="none" w:sz="0" w:space="0" w:color="auto"/>
            <w:right w:val="none" w:sz="0" w:space="0" w:color="auto"/>
          </w:divBdr>
          <w:divsChild>
            <w:div w:id="1998026780">
              <w:marLeft w:val="0"/>
              <w:marRight w:val="0"/>
              <w:marTop w:val="0"/>
              <w:marBottom w:val="0"/>
              <w:divBdr>
                <w:top w:val="none" w:sz="0" w:space="0" w:color="auto"/>
                <w:left w:val="none" w:sz="0" w:space="0" w:color="auto"/>
                <w:bottom w:val="none" w:sz="0" w:space="0" w:color="auto"/>
                <w:right w:val="none" w:sz="0" w:space="0" w:color="auto"/>
              </w:divBdr>
              <w:divsChild>
                <w:div w:id="1174758745">
                  <w:marLeft w:val="0"/>
                  <w:marRight w:val="0"/>
                  <w:marTop w:val="0"/>
                  <w:marBottom w:val="0"/>
                  <w:divBdr>
                    <w:top w:val="none" w:sz="0" w:space="0" w:color="auto"/>
                    <w:left w:val="none" w:sz="0" w:space="0" w:color="auto"/>
                    <w:bottom w:val="none" w:sz="0" w:space="0" w:color="auto"/>
                    <w:right w:val="none" w:sz="0" w:space="0" w:color="auto"/>
                  </w:divBdr>
                </w:div>
                <w:div w:id="988292899">
                  <w:marLeft w:val="0"/>
                  <w:marRight w:val="0"/>
                  <w:marTop w:val="0"/>
                  <w:marBottom w:val="0"/>
                  <w:divBdr>
                    <w:top w:val="none" w:sz="0" w:space="0" w:color="auto"/>
                    <w:left w:val="none" w:sz="0" w:space="0" w:color="auto"/>
                    <w:bottom w:val="none" w:sz="0" w:space="0" w:color="auto"/>
                    <w:right w:val="none" w:sz="0" w:space="0" w:color="auto"/>
                  </w:divBdr>
                </w:div>
              </w:divsChild>
            </w:div>
            <w:div w:id="531190352">
              <w:marLeft w:val="0"/>
              <w:marRight w:val="0"/>
              <w:marTop w:val="0"/>
              <w:marBottom w:val="0"/>
              <w:divBdr>
                <w:top w:val="none" w:sz="0" w:space="0" w:color="auto"/>
                <w:left w:val="none" w:sz="0" w:space="0" w:color="auto"/>
                <w:bottom w:val="none" w:sz="0" w:space="0" w:color="auto"/>
                <w:right w:val="none" w:sz="0" w:space="0" w:color="auto"/>
              </w:divBdr>
              <w:divsChild>
                <w:div w:id="1811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35294">
      <w:bodyDiv w:val="1"/>
      <w:marLeft w:val="0"/>
      <w:marRight w:val="0"/>
      <w:marTop w:val="0"/>
      <w:marBottom w:val="0"/>
      <w:divBdr>
        <w:top w:val="none" w:sz="0" w:space="0" w:color="auto"/>
        <w:left w:val="none" w:sz="0" w:space="0" w:color="auto"/>
        <w:bottom w:val="none" w:sz="0" w:space="0" w:color="auto"/>
        <w:right w:val="none" w:sz="0" w:space="0" w:color="auto"/>
      </w:divBdr>
    </w:div>
    <w:div w:id="966471390">
      <w:bodyDiv w:val="1"/>
      <w:marLeft w:val="0"/>
      <w:marRight w:val="0"/>
      <w:marTop w:val="0"/>
      <w:marBottom w:val="0"/>
      <w:divBdr>
        <w:top w:val="none" w:sz="0" w:space="0" w:color="auto"/>
        <w:left w:val="none" w:sz="0" w:space="0" w:color="auto"/>
        <w:bottom w:val="none" w:sz="0" w:space="0" w:color="auto"/>
        <w:right w:val="none" w:sz="0" w:space="0" w:color="auto"/>
      </w:divBdr>
      <w:divsChild>
        <w:div w:id="172767391">
          <w:marLeft w:val="0"/>
          <w:marRight w:val="0"/>
          <w:marTop w:val="0"/>
          <w:marBottom w:val="0"/>
          <w:divBdr>
            <w:top w:val="none" w:sz="0" w:space="0" w:color="auto"/>
            <w:left w:val="none" w:sz="0" w:space="0" w:color="auto"/>
            <w:bottom w:val="none" w:sz="0" w:space="0" w:color="auto"/>
            <w:right w:val="none" w:sz="0" w:space="0" w:color="auto"/>
          </w:divBdr>
          <w:divsChild>
            <w:div w:id="1746143700">
              <w:marLeft w:val="0"/>
              <w:marRight w:val="0"/>
              <w:marTop w:val="0"/>
              <w:marBottom w:val="0"/>
              <w:divBdr>
                <w:top w:val="none" w:sz="0" w:space="0" w:color="auto"/>
                <w:left w:val="none" w:sz="0" w:space="0" w:color="auto"/>
                <w:bottom w:val="none" w:sz="0" w:space="0" w:color="auto"/>
                <w:right w:val="none" w:sz="0" w:space="0" w:color="auto"/>
              </w:divBdr>
              <w:divsChild>
                <w:div w:id="8525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48883">
      <w:bodyDiv w:val="1"/>
      <w:marLeft w:val="0"/>
      <w:marRight w:val="0"/>
      <w:marTop w:val="0"/>
      <w:marBottom w:val="0"/>
      <w:divBdr>
        <w:top w:val="none" w:sz="0" w:space="0" w:color="auto"/>
        <w:left w:val="none" w:sz="0" w:space="0" w:color="auto"/>
        <w:bottom w:val="none" w:sz="0" w:space="0" w:color="auto"/>
        <w:right w:val="none" w:sz="0" w:space="0" w:color="auto"/>
      </w:divBdr>
    </w:div>
    <w:div w:id="1053115568">
      <w:bodyDiv w:val="1"/>
      <w:marLeft w:val="0"/>
      <w:marRight w:val="0"/>
      <w:marTop w:val="0"/>
      <w:marBottom w:val="0"/>
      <w:divBdr>
        <w:top w:val="none" w:sz="0" w:space="0" w:color="auto"/>
        <w:left w:val="none" w:sz="0" w:space="0" w:color="auto"/>
        <w:bottom w:val="none" w:sz="0" w:space="0" w:color="auto"/>
        <w:right w:val="none" w:sz="0" w:space="0" w:color="auto"/>
      </w:divBdr>
      <w:divsChild>
        <w:div w:id="1672024004">
          <w:marLeft w:val="0"/>
          <w:marRight w:val="0"/>
          <w:marTop w:val="120"/>
          <w:marBottom w:val="0"/>
          <w:divBdr>
            <w:top w:val="single" w:sz="6" w:space="6" w:color="CCCCCC"/>
            <w:left w:val="single" w:sz="6" w:space="6" w:color="CCCCCC"/>
            <w:bottom w:val="single" w:sz="6" w:space="6" w:color="CCCCCC"/>
            <w:right w:val="single" w:sz="6" w:space="6" w:color="CCCCCC"/>
          </w:divBdr>
        </w:div>
        <w:div w:id="1273322833">
          <w:marLeft w:val="0"/>
          <w:marRight w:val="0"/>
          <w:marTop w:val="120"/>
          <w:marBottom w:val="0"/>
          <w:divBdr>
            <w:top w:val="single" w:sz="6" w:space="6" w:color="CCCCCC"/>
            <w:left w:val="single" w:sz="6" w:space="6" w:color="CCCCCC"/>
            <w:bottom w:val="single" w:sz="6" w:space="6" w:color="CCCCCC"/>
            <w:right w:val="single" w:sz="6" w:space="6" w:color="CCCCCC"/>
          </w:divBdr>
        </w:div>
      </w:divsChild>
    </w:div>
    <w:div w:id="1060128651">
      <w:bodyDiv w:val="1"/>
      <w:marLeft w:val="0"/>
      <w:marRight w:val="0"/>
      <w:marTop w:val="0"/>
      <w:marBottom w:val="0"/>
      <w:divBdr>
        <w:top w:val="none" w:sz="0" w:space="0" w:color="auto"/>
        <w:left w:val="none" w:sz="0" w:space="0" w:color="auto"/>
        <w:bottom w:val="none" w:sz="0" w:space="0" w:color="auto"/>
        <w:right w:val="none" w:sz="0" w:space="0" w:color="auto"/>
      </w:divBdr>
    </w:div>
    <w:div w:id="1203320685">
      <w:bodyDiv w:val="1"/>
      <w:marLeft w:val="0"/>
      <w:marRight w:val="0"/>
      <w:marTop w:val="0"/>
      <w:marBottom w:val="0"/>
      <w:divBdr>
        <w:top w:val="none" w:sz="0" w:space="0" w:color="auto"/>
        <w:left w:val="none" w:sz="0" w:space="0" w:color="auto"/>
        <w:bottom w:val="none" w:sz="0" w:space="0" w:color="auto"/>
        <w:right w:val="none" w:sz="0" w:space="0" w:color="auto"/>
      </w:divBdr>
    </w:div>
    <w:div w:id="1238982338">
      <w:bodyDiv w:val="1"/>
      <w:marLeft w:val="0"/>
      <w:marRight w:val="0"/>
      <w:marTop w:val="0"/>
      <w:marBottom w:val="0"/>
      <w:divBdr>
        <w:top w:val="none" w:sz="0" w:space="0" w:color="auto"/>
        <w:left w:val="none" w:sz="0" w:space="0" w:color="auto"/>
        <w:bottom w:val="none" w:sz="0" w:space="0" w:color="auto"/>
        <w:right w:val="none" w:sz="0" w:space="0" w:color="auto"/>
      </w:divBdr>
    </w:div>
    <w:div w:id="1304432012">
      <w:bodyDiv w:val="1"/>
      <w:marLeft w:val="0"/>
      <w:marRight w:val="0"/>
      <w:marTop w:val="0"/>
      <w:marBottom w:val="0"/>
      <w:divBdr>
        <w:top w:val="none" w:sz="0" w:space="0" w:color="auto"/>
        <w:left w:val="none" w:sz="0" w:space="0" w:color="auto"/>
        <w:bottom w:val="none" w:sz="0" w:space="0" w:color="auto"/>
        <w:right w:val="none" w:sz="0" w:space="0" w:color="auto"/>
      </w:divBdr>
    </w:div>
    <w:div w:id="1337883473">
      <w:bodyDiv w:val="1"/>
      <w:marLeft w:val="0"/>
      <w:marRight w:val="0"/>
      <w:marTop w:val="0"/>
      <w:marBottom w:val="0"/>
      <w:divBdr>
        <w:top w:val="none" w:sz="0" w:space="0" w:color="auto"/>
        <w:left w:val="none" w:sz="0" w:space="0" w:color="auto"/>
        <w:bottom w:val="none" w:sz="0" w:space="0" w:color="auto"/>
        <w:right w:val="none" w:sz="0" w:space="0" w:color="auto"/>
      </w:divBdr>
    </w:div>
    <w:div w:id="1367875541">
      <w:bodyDiv w:val="1"/>
      <w:marLeft w:val="0"/>
      <w:marRight w:val="0"/>
      <w:marTop w:val="0"/>
      <w:marBottom w:val="0"/>
      <w:divBdr>
        <w:top w:val="none" w:sz="0" w:space="0" w:color="auto"/>
        <w:left w:val="none" w:sz="0" w:space="0" w:color="auto"/>
        <w:bottom w:val="none" w:sz="0" w:space="0" w:color="auto"/>
        <w:right w:val="none" w:sz="0" w:space="0" w:color="auto"/>
      </w:divBdr>
    </w:div>
    <w:div w:id="1519655433">
      <w:bodyDiv w:val="1"/>
      <w:marLeft w:val="0"/>
      <w:marRight w:val="0"/>
      <w:marTop w:val="0"/>
      <w:marBottom w:val="0"/>
      <w:divBdr>
        <w:top w:val="none" w:sz="0" w:space="0" w:color="auto"/>
        <w:left w:val="none" w:sz="0" w:space="0" w:color="auto"/>
        <w:bottom w:val="none" w:sz="0" w:space="0" w:color="auto"/>
        <w:right w:val="none" w:sz="0" w:space="0" w:color="auto"/>
      </w:divBdr>
      <w:divsChild>
        <w:div w:id="1855143499">
          <w:marLeft w:val="0"/>
          <w:marRight w:val="0"/>
          <w:marTop w:val="0"/>
          <w:marBottom w:val="0"/>
          <w:divBdr>
            <w:top w:val="none" w:sz="0" w:space="0" w:color="auto"/>
            <w:left w:val="none" w:sz="0" w:space="0" w:color="auto"/>
            <w:bottom w:val="none" w:sz="0" w:space="0" w:color="auto"/>
            <w:right w:val="none" w:sz="0" w:space="0" w:color="auto"/>
          </w:divBdr>
          <w:divsChild>
            <w:div w:id="904417914">
              <w:marLeft w:val="0"/>
              <w:marRight w:val="0"/>
              <w:marTop w:val="0"/>
              <w:marBottom w:val="0"/>
              <w:divBdr>
                <w:top w:val="none" w:sz="0" w:space="0" w:color="auto"/>
                <w:left w:val="none" w:sz="0" w:space="0" w:color="auto"/>
                <w:bottom w:val="none" w:sz="0" w:space="0" w:color="auto"/>
                <w:right w:val="none" w:sz="0" w:space="0" w:color="auto"/>
              </w:divBdr>
              <w:divsChild>
                <w:div w:id="717632178">
                  <w:marLeft w:val="0"/>
                  <w:marRight w:val="0"/>
                  <w:marTop w:val="0"/>
                  <w:marBottom w:val="0"/>
                  <w:divBdr>
                    <w:top w:val="none" w:sz="0" w:space="0" w:color="auto"/>
                    <w:left w:val="none" w:sz="0" w:space="0" w:color="auto"/>
                    <w:bottom w:val="none" w:sz="0" w:space="0" w:color="auto"/>
                    <w:right w:val="none" w:sz="0" w:space="0" w:color="auto"/>
                  </w:divBdr>
                </w:div>
                <w:div w:id="1911647945">
                  <w:marLeft w:val="0"/>
                  <w:marRight w:val="0"/>
                  <w:marTop w:val="0"/>
                  <w:marBottom w:val="0"/>
                  <w:divBdr>
                    <w:top w:val="none" w:sz="0" w:space="0" w:color="auto"/>
                    <w:left w:val="none" w:sz="0" w:space="0" w:color="auto"/>
                    <w:bottom w:val="none" w:sz="0" w:space="0" w:color="auto"/>
                    <w:right w:val="none" w:sz="0" w:space="0" w:color="auto"/>
                  </w:divBdr>
                </w:div>
              </w:divsChild>
            </w:div>
            <w:div w:id="100875992">
              <w:marLeft w:val="0"/>
              <w:marRight w:val="0"/>
              <w:marTop w:val="0"/>
              <w:marBottom w:val="0"/>
              <w:divBdr>
                <w:top w:val="none" w:sz="0" w:space="0" w:color="auto"/>
                <w:left w:val="none" w:sz="0" w:space="0" w:color="auto"/>
                <w:bottom w:val="none" w:sz="0" w:space="0" w:color="auto"/>
                <w:right w:val="none" w:sz="0" w:space="0" w:color="auto"/>
              </w:divBdr>
              <w:divsChild>
                <w:div w:id="5810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3457">
      <w:bodyDiv w:val="1"/>
      <w:marLeft w:val="0"/>
      <w:marRight w:val="0"/>
      <w:marTop w:val="0"/>
      <w:marBottom w:val="0"/>
      <w:divBdr>
        <w:top w:val="none" w:sz="0" w:space="0" w:color="auto"/>
        <w:left w:val="none" w:sz="0" w:space="0" w:color="auto"/>
        <w:bottom w:val="none" w:sz="0" w:space="0" w:color="auto"/>
        <w:right w:val="none" w:sz="0" w:space="0" w:color="auto"/>
      </w:divBdr>
    </w:div>
    <w:div w:id="1663512021">
      <w:bodyDiv w:val="1"/>
      <w:marLeft w:val="0"/>
      <w:marRight w:val="0"/>
      <w:marTop w:val="0"/>
      <w:marBottom w:val="0"/>
      <w:divBdr>
        <w:top w:val="none" w:sz="0" w:space="0" w:color="auto"/>
        <w:left w:val="none" w:sz="0" w:space="0" w:color="auto"/>
        <w:bottom w:val="none" w:sz="0" w:space="0" w:color="auto"/>
        <w:right w:val="none" w:sz="0" w:space="0" w:color="auto"/>
      </w:divBdr>
    </w:div>
    <w:div w:id="1705054267">
      <w:bodyDiv w:val="1"/>
      <w:marLeft w:val="0"/>
      <w:marRight w:val="0"/>
      <w:marTop w:val="0"/>
      <w:marBottom w:val="0"/>
      <w:divBdr>
        <w:top w:val="none" w:sz="0" w:space="0" w:color="auto"/>
        <w:left w:val="none" w:sz="0" w:space="0" w:color="auto"/>
        <w:bottom w:val="none" w:sz="0" w:space="0" w:color="auto"/>
        <w:right w:val="none" w:sz="0" w:space="0" w:color="auto"/>
      </w:divBdr>
    </w:div>
    <w:div w:id="1718356952">
      <w:bodyDiv w:val="1"/>
      <w:marLeft w:val="0"/>
      <w:marRight w:val="0"/>
      <w:marTop w:val="0"/>
      <w:marBottom w:val="0"/>
      <w:divBdr>
        <w:top w:val="none" w:sz="0" w:space="0" w:color="auto"/>
        <w:left w:val="none" w:sz="0" w:space="0" w:color="auto"/>
        <w:bottom w:val="none" w:sz="0" w:space="0" w:color="auto"/>
        <w:right w:val="none" w:sz="0" w:space="0" w:color="auto"/>
      </w:divBdr>
    </w:div>
    <w:div w:id="1729915676">
      <w:bodyDiv w:val="1"/>
      <w:marLeft w:val="0"/>
      <w:marRight w:val="0"/>
      <w:marTop w:val="0"/>
      <w:marBottom w:val="0"/>
      <w:divBdr>
        <w:top w:val="none" w:sz="0" w:space="0" w:color="auto"/>
        <w:left w:val="none" w:sz="0" w:space="0" w:color="auto"/>
        <w:bottom w:val="none" w:sz="0" w:space="0" w:color="auto"/>
        <w:right w:val="none" w:sz="0" w:space="0" w:color="auto"/>
      </w:divBdr>
      <w:divsChild>
        <w:div w:id="1833793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409047">
      <w:bodyDiv w:val="1"/>
      <w:marLeft w:val="0"/>
      <w:marRight w:val="0"/>
      <w:marTop w:val="0"/>
      <w:marBottom w:val="0"/>
      <w:divBdr>
        <w:top w:val="none" w:sz="0" w:space="0" w:color="auto"/>
        <w:left w:val="none" w:sz="0" w:space="0" w:color="auto"/>
        <w:bottom w:val="none" w:sz="0" w:space="0" w:color="auto"/>
        <w:right w:val="none" w:sz="0" w:space="0" w:color="auto"/>
      </w:divBdr>
    </w:div>
    <w:div w:id="1821190961">
      <w:bodyDiv w:val="1"/>
      <w:marLeft w:val="0"/>
      <w:marRight w:val="0"/>
      <w:marTop w:val="0"/>
      <w:marBottom w:val="0"/>
      <w:divBdr>
        <w:top w:val="none" w:sz="0" w:space="0" w:color="auto"/>
        <w:left w:val="none" w:sz="0" w:space="0" w:color="auto"/>
        <w:bottom w:val="none" w:sz="0" w:space="0" w:color="auto"/>
        <w:right w:val="none" w:sz="0" w:space="0" w:color="auto"/>
      </w:divBdr>
    </w:div>
    <w:div w:id="1913001179">
      <w:bodyDiv w:val="1"/>
      <w:marLeft w:val="0"/>
      <w:marRight w:val="0"/>
      <w:marTop w:val="0"/>
      <w:marBottom w:val="0"/>
      <w:divBdr>
        <w:top w:val="none" w:sz="0" w:space="0" w:color="auto"/>
        <w:left w:val="none" w:sz="0" w:space="0" w:color="auto"/>
        <w:bottom w:val="none" w:sz="0" w:space="0" w:color="auto"/>
        <w:right w:val="none" w:sz="0" w:space="0" w:color="auto"/>
      </w:divBdr>
    </w:div>
    <w:div w:id="1991706950">
      <w:bodyDiv w:val="1"/>
      <w:marLeft w:val="0"/>
      <w:marRight w:val="0"/>
      <w:marTop w:val="0"/>
      <w:marBottom w:val="0"/>
      <w:divBdr>
        <w:top w:val="none" w:sz="0" w:space="0" w:color="auto"/>
        <w:left w:val="none" w:sz="0" w:space="0" w:color="auto"/>
        <w:bottom w:val="none" w:sz="0" w:space="0" w:color="auto"/>
        <w:right w:val="none" w:sz="0" w:space="0" w:color="auto"/>
      </w:divBdr>
    </w:div>
    <w:div w:id="212017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vassarstats.net/" TargetMode="External"/><Relationship Id="rId2" Type="http://schemas.openxmlformats.org/officeDocument/2006/relationships/numbering" Target="numbering.xml"/><Relationship Id="rId16" Type="http://schemas.openxmlformats.org/officeDocument/2006/relationships/hyperlink" Target="https://en.m.wikipedia.org/wiki/Special:BookSources/0-471-2637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m.wikipedia.org/wiki/International_Standard_Book_Numb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BE53B-7E35-EE47-8190-746D2F32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24</Pages>
  <Words>5795</Words>
  <Characters>33035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McCormick</dc:creator>
  <cp:keywords/>
  <dc:description/>
  <cp:lastModifiedBy>Timothy McCormick</cp:lastModifiedBy>
  <cp:revision>14</cp:revision>
  <dcterms:created xsi:type="dcterms:W3CDTF">2019-02-07T16:38:00Z</dcterms:created>
  <dcterms:modified xsi:type="dcterms:W3CDTF">2019-02-20T21:00:00Z</dcterms:modified>
</cp:coreProperties>
</file>