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xtended-data"/>
    <w:p>
      <w:pPr>
        <w:pStyle w:val="Heading1"/>
        <w:spacing w:lineRule="auto" w:line="360"/>
      </w:pPr>
      <w:r>
        <w:rPr>
          <w:rFonts w:ascii="Arial" w:hAnsi="Arial"/>
        </w:rPr>
        <w:t xml:space="preserve">Extended Data</w:t>
      </w:r>
    </w:p>
    <w:bookmarkStart w:id="29" w:name="extended-data-figures"/>
    <w:p>
      <w:pPr>
        <w:pStyle w:val="Heading2"/>
        <w:spacing w:lineRule="auto" w:line="360"/>
      </w:pPr>
      <w:r>
        <w:rPr>
          <w:rFonts w:ascii="Arial" w:hAnsi="Arial"/>
        </w:rPr>
        <w:t xml:space="preserve">Extended Data Figures</w:t>
      </w:r>
    </w:p>
    <w:bookmarkStart w:id="12" w:name="Xa8429fe032860cdc7ba0a9601ee117c81d64189"/>
    <w:p>
      <w:pPr>
        <w:pStyle w:val="Heading3"/>
        <w:spacing w:lineRule="auto" w:line="360"/>
      </w:pPr>
      <w:r>
        <w:rPr>
          <w:rFonts w:ascii="Arial" w:hAnsi="Arial"/>
        </w:rPr>
        <w:t xml:space="preserve">Extended Data Fig. 1: Geographic split map (EPA regions by train/val/test)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Map of the contiguous United States showing the geographic stratification used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all benchmark tasks. The 10 EPA regions are partitioned into training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(Regions 1, 3, 4, 5, 6; blue), validation (Regions 2, 7; amber), and test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(Regions 8, 9, 10; orange) sets, maintaining a 60/15/25 ratio. Split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membership is derived from the PWSID state prefix.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1,818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are excluded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this map only, not from the benchmark: their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geocoded coordinate falls inside a state belonging to a different EPA 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their PWSID prefix, which marks a wrong-ZIP geocoding artifact when judged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against US Census state boundary polygons (Supplementary S7b).</w:t>
      </w:r>
    </w:p>
    <w:p>
      <w:pPr>
        <w:pStyle w:val="CaptionedFigure"/>
        <w:spacing w:lineRule="auto" w:line="360"/>
      </w:pPr>
      <w:r>
        <w:rPr>
          <w:rFonts w:ascii="Arial" w:hAnsi="Arial"/>
        </w:rPr>
        <w:drawing>
          <wp:inline>
            <wp:extent cx="5943600" cy="3379638"/>
            <wp:effectExtent b="0" l="0" r="0" t="0"/>
            <wp:docPr descr="Extended Data Fig. 1" title="" id="10" name="Picture"/>
            <a:graphic>
              <a:graphicData uri="http://schemas.openxmlformats.org/drawingml/2006/picture">
                <pic:pic>
                  <pic:nvPicPr>
                    <pic:cNvPr descr="C:\Users\tnewton\git\aquacontam\paper\figures\fig_ext3_geographic_spli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</w:pPr>
      <w:r>
        <w:rPr>
          <w:rFonts w:ascii="Arial" w:hAnsi="Arial"/>
        </w:rPr>
        <w:t xml:space="preserve">Extended Data Fig. 1</w:t>
      </w:r>
    </w:p>
    <w:bookmarkEnd w:id="12"/>
    <w:bookmarkStart w:id="16" w:name="X6cbd22b4765b6e96abf3d7c326431209ef87569"/>
    <w:p>
      <w:pPr>
        <w:pStyle w:val="Heading3"/>
        <w:spacing w:lineRule="auto" w:line="360"/>
      </w:pPr>
      <w:r>
        <w:rPr>
          <w:rFonts w:ascii="Arial" w:hAnsi="Arial"/>
        </w:rPr>
        <w:t xml:space="preserve">Extended Data Fig. 2: SHAP vs DML adjusted association comparison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Horizontal twin-bar chart comparing SHAP importance (correlational) and DML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adjusted effects (standardized, per 1-s.d.) for the top 12 features in the T1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XGBoost model. The aggregate rank correlation between DML-adjusted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correlational feature rankings is modest but significant (Spearman ρ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0.24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0.032</w:t>
      </w:r>
      <w:r>
        <w:rPr>
          <w:rFonts w:ascii="Arial" w:hAnsi="Arial"/>
        </w:rPr>
        <w:t xml:space="preserve">, 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80</w:t>
      </w:r>
      <w:r>
        <w:rPr>
          <w:rFonts w:ascii="Arial" w:hAnsi="Arial"/>
        </w:rPr>
        <w:t xml:space="preserve">), and a grouped permutation test finds no feature category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displacing more than chance (Supplementary S14). Individual features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nonetheless reorder substantially: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69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130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FDR-corrected DML coefficients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significant, and the largest displacements are environmental rather than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demographic (</w:t>
      </w:r>
      <w:r>
        <w:rPr>
          <w:rStyle w:val="VerbatimChar"/>
          <w:rFonts w:ascii="Arial" w:hAnsi="Arial"/>
        </w:rPr>
        <w:t xml:space="preserve">pct_wetland_5km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falls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positions). Among demographics,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pct_less_hs_education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pct_people_of_color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both retain significant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adjusted associations once monitoring confounders are adjusted for (education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SHAP rank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76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 DML rank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39</w:t>
      </w:r>
      <w:r>
        <w:rPr>
          <w:rFonts w:ascii="Arial" w:hAnsi="Arial"/>
        </w:rPr>
        <w:t xml:space="preserve">; people-of-color standardized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+</w:t>
      </w:r>
      <w:r>
        <w:rPr>
          <w:rFonts w:ascii="Arial" w:hAnsi="Arial"/>
        </w:rPr>
        <w:t xml:space="preserve">0.022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 1-s.d., p_FDR &lt; 0.001), whereas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pct_low_income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does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(p_FDR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0.54</w:t>
      </w:r>
      <w:r>
        <w:rPr>
          <w:rFonts w:ascii="Arial" w:hAnsi="Arial"/>
        </w:rPr>
        <w:t xml:space="preserve">), consistent with its correlational signal being largely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monitoring-mediated. Monitoring intensity shows the opposite pattern: high SHAP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but smaller adjusted effects, consistent with confounding. Industrial-proximity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Superfund-proximity features retain the strongest adjusted effects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(p_FDR &lt; 0.001), with airport, landfill, and WWTP distances also significant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(p_FDR &lt; 0.05), supporting mechanistic relevance.</w:t>
      </w:r>
    </w:p>
    <w:p>
      <w:pPr>
        <w:pStyle w:val="CaptionedFigure"/>
        <w:spacing w:lineRule="auto" w:line="360"/>
      </w:pPr>
      <w:r>
        <w:rPr>
          <w:rFonts w:ascii="Arial" w:hAnsi="Arial"/>
        </w:rPr>
        <w:drawing>
          <wp:inline>
            <wp:extent cx="5943600" cy="4155386"/>
            <wp:effectExtent b="0" l="0" r="0" t="0"/>
            <wp:docPr descr="Extended Data Fig. 2" title="" id="14" name="Picture"/>
            <a:graphic>
              <a:graphicData uri="http://schemas.openxmlformats.org/drawingml/2006/picture">
                <pic:pic>
                  <pic:nvPicPr>
                    <pic:cNvPr descr="C:\Users\tnewton\git\aquacontam\paper\figures\fig_ext8_causal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5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</w:pPr>
      <w:r>
        <w:rPr>
          <w:rFonts w:ascii="Arial" w:hAnsi="Arial"/>
        </w:rPr>
        <w:t xml:space="preserve">Extended Data Fig. 2</w:t>
      </w:r>
    </w:p>
    <w:bookmarkEnd w:id="16"/>
    <w:bookmarkStart w:id="20" w:name="Xa91d05870b349f1dbe883c36d58190e0b4d86e0"/>
    <w:p>
      <w:pPr>
        <w:pStyle w:val="Heading3"/>
        <w:spacing w:lineRule="auto" w:line="360"/>
      </w:pPr>
      <w:r>
        <w:rPr>
          <w:rFonts w:ascii="Arial" w:hAnsi="Arial"/>
        </w:rPr>
        <w:t xml:space="preserve">Extended Data Fig. 3: Conformal prediction per-region coverage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Per-EPA-region coverage of split conformal prediction sets at α = 0.05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(target 95%). Marginal coverage over the pooled test set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0.910</w:t>
      </w:r>
      <w:r>
        <w:rPr>
          <w:rFonts w:ascii="Arial" w:hAnsi="Arial"/>
        </w:rPr>
        <w:t xml:space="preserve">; per-region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coverage varies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0.878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(Region 9, 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2,410</w:t>
      </w:r>
      <w:r>
        <w:rPr>
          <w:rFonts w:ascii="Arial" w:hAnsi="Arial"/>
        </w:rPr>
        <w:t xml:space="preserve">)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0.967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(Region 8,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538</w:t>
      </w:r>
      <w:r>
        <w:rPr>
          <w:rFonts w:ascii="Arial" w:hAnsi="Arial"/>
        </w:rPr>
        <w:t xml:space="preserve">). Because calibration data come from the validation regions, coverage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guaranteed only marginally; per-region distribution-free guarantees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claimed, and Region 9 under-covers at every significance level examined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S6).</w:t>
      </w:r>
    </w:p>
    <w:p>
      <w:pPr>
        <w:pStyle w:val="CaptionedFigure"/>
        <w:spacing w:lineRule="auto" w:line="360"/>
      </w:pPr>
      <w:r>
        <w:rPr>
          <w:rFonts w:ascii="Arial" w:hAnsi="Arial"/>
        </w:rPr>
        <w:drawing>
          <wp:inline>
            <wp:extent cx="5943600" cy="2874831"/>
            <wp:effectExtent b="0" l="0" r="0" t="0"/>
            <wp:docPr descr="Extended Data Fig. 3" title="" id="18" name="Picture"/>
            <a:graphic>
              <a:graphicData uri="http://schemas.openxmlformats.org/drawingml/2006/picture">
                <pic:pic>
                  <pic:nvPicPr>
                    <pic:cNvPr descr="C:\Users\tnewton\git\aquacontam\paper\figures\fig_ext9_group_conform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</w:pPr>
      <w:r>
        <w:rPr>
          <w:rFonts w:ascii="Arial" w:hAnsi="Arial"/>
        </w:rPr>
        <w:t xml:space="preserve">Extended Data Fig. 3</w:t>
      </w:r>
    </w:p>
    <w:bookmarkEnd w:id="20"/>
    <w:bookmarkStart w:id="24" w:name="X02cbdd53be3b416cd8b7f035f45995ce92da6eb"/>
    <w:p>
      <w:pPr>
        <w:pStyle w:val="Heading3"/>
        <w:spacing w:lineRule="auto" w:line="360"/>
      </w:pPr>
      <w:r>
        <w:rPr>
          <w:rFonts w:ascii="Arial" w:hAnsi="Arial"/>
        </w:rPr>
        <w:t xml:space="preserve">Extended Data Fig. 4: ICP training dynamics and metrics</w:t>
      </w:r>
    </w:p>
    <w:p>
      <w:pPr>
        <w:pStyle w:val="FirstParagraph"/>
        <w:spacing w:lineRule="auto" w:line="360"/>
      </w:pPr>
      <w:r>
        <w:rPr>
          <w:rFonts w:ascii="Arial" w:hAnsi="Arial"/>
          <w:b/>
          <w:bCs/>
        </w:rPr>
        <w:t xml:space="preserve">a</w:t>
      </w:r>
      <w:r>
        <w:rPr>
          <w:rFonts w:ascii="Arial" w:hAnsi="Arial"/>
        </w:rPr>
        <w:t xml:space="preserve">, Training dynamics of the Invariant Contamination Predictor showing task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loss, adversary (monitoring-head) loss, and the λ_adv schedule over epochs. This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training trace of the T1 ICP run captured through the canonical pipeline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(seed 42); the same run reproduces the panel-b test AUROC, so panel a is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history of the panel-b model rather than a separate re-fit. Task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loss decreases steadily. After the warmup period λ_adv ramps to its maximum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adversary’s monitoring-prediction loss remains high and approximately flat,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indicating the representation does not encode the targeted confounders.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held-out probe confirms that data-source provenance is also suppressed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S17).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b</w:t>
      </w:r>
      <w:r>
        <w:rPr>
          <w:rFonts w:ascii="Arial" w:hAnsi="Arial"/>
        </w:rPr>
        <w:t xml:space="preserve">, ICP classification performance (AUROC, AUPRC) across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benchmark tasks (T1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0.731</w:t>
      </w:r>
      <w:r>
        <w:rPr>
          <w:rFonts w:ascii="Arial" w:hAnsi="Arial"/>
        </w:rPr>
        <w:t xml:space="preserve">). See Table 3 for the full monitoring-invariance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decomposition.</w:t>
      </w:r>
    </w:p>
    <w:p>
      <w:pPr>
        <w:pStyle w:val="CaptionedFigure"/>
        <w:spacing w:lineRule="auto" w:line="360"/>
      </w:pPr>
      <w:r>
        <w:rPr>
          <w:rFonts w:ascii="Arial" w:hAnsi="Arial"/>
        </w:rPr>
        <w:drawing>
          <wp:inline>
            <wp:extent cx="5943600" cy="2874831"/>
            <wp:effectExtent b="0" l="0" r="0" t="0"/>
            <wp:docPr descr="Extended Data Fig. 4" title="" id="22" name="Picture"/>
            <a:graphic>
              <a:graphicData uri="http://schemas.openxmlformats.org/drawingml/2006/picture">
                <pic:pic>
                  <pic:nvPicPr>
                    <pic:cNvPr descr="C:\Users\tnewton\git\aquacontam\paper\figures\fig_ext10_icp_analysi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</w:pPr>
      <w:r>
        <w:rPr>
          <w:rFonts w:ascii="Arial" w:hAnsi="Arial"/>
        </w:rPr>
        <w:t xml:space="preserve">Extended Data Fig. 4</w:t>
      </w:r>
    </w:p>
    <w:bookmarkEnd w:id="24"/>
    <w:bookmarkStart w:id="28" w:name="X087f2c7178db53097f26e0111f05e52b64f149f"/>
    <w:p>
      <w:pPr>
        <w:pStyle w:val="Heading3"/>
        <w:spacing w:lineRule="auto" w:line="360"/>
      </w:pPr>
      <w:r>
        <w:rPr>
          <w:rFonts w:ascii="Arial" w:hAnsi="Arial"/>
        </w:rPr>
        <w:t xml:space="preserve">Extended Data Fig. 5: Benchmark performance overview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Test-set AUROC and AUPRC for the condensed model set on T1 (PFAS detection)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T4 (lead action-level exceedance) under geographic stratification,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95% bootstrap confidence intervals. Companion visualization to Table 2; T4’s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nominally strong performance is monitoring-confounded (see Fig. 2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Table 3).</w:t>
      </w:r>
    </w:p>
    <w:p>
      <w:pPr>
        <w:pStyle w:val="CaptionedFigure"/>
        <w:spacing w:lineRule="auto" w:line="360"/>
      </w:pPr>
      <w:r>
        <w:rPr>
          <w:rFonts w:ascii="Arial" w:hAnsi="Arial"/>
        </w:rPr>
        <w:drawing>
          <wp:inline>
            <wp:extent cx="5943600" cy="2874831"/>
            <wp:effectExtent b="0" l="0" r="0" t="0"/>
            <wp:docPr descr="Extended Data Fig. 5" title="" id="26" name="Picture"/>
            <a:graphic>
              <a:graphicData uri="http://schemas.openxmlformats.org/drawingml/2006/picture">
                <pic:pic>
                  <pic:nvPicPr>
                    <pic:cNvPr descr="C:\Users\tnewton\git\aquacontam\paper\figures\fig_ext11_benchmark_resul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Rule="auto" w:line="360"/>
      </w:pPr>
      <w:r>
        <w:rPr>
          <w:rFonts w:ascii="Arial" w:hAnsi="Arial"/>
        </w:rPr>
        <w:t xml:space="preserve">Extended Data Fig. 5</w:t>
      </w:r>
    </w:p>
    <w:bookmarkEnd w:id="28"/>
    <w:bookmarkEnd w:id="29"/>
    <w:bookmarkStart w:id="35" w:name="extended-data-tables"/>
    <w:p>
      <w:pPr>
        <w:pStyle w:val="Heading2"/>
        <w:spacing w:lineRule="auto" w:line="360"/>
      </w:pPr>
      <w:r>
        <w:rPr>
          <w:rFonts w:ascii="Arial" w:hAnsi="Arial"/>
        </w:rPr>
        <w:t xml:space="preserve">Extended Data Tables</w:t>
      </w:r>
    </w:p>
    <w:bookmarkStart w:id="30" w:name="X4ce0ef9d3236f7c6c2b63d5b475139ee21fcc0d"/>
    <w:p>
      <w:pPr>
        <w:pStyle w:val="Heading3"/>
        <w:spacing w:lineRule="auto" w:line="360"/>
      </w:pPr>
      <w:r>
        <w:rPr>
          <w:rFonts w:ascii="Arial" w:hAnsi="Arial"/>
        </w:rPr>
        <w:t xml:space="preserve">Extended Data Table 1: Feature category ablation results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Drop-one-category ablation study for T1 (PFAS detection) and T4 (heavy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metal action level) using XGBoost with train-only imputation. For each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 category, the number of features removed, baseline and ablated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AUPRC, performance delta, and paired bootstrap p-value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Benjamini-Hochberg FDR correction (n = 1,000; T4 uses concatenated LORO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out-of-fold predictions) are reported. On the small T1 geographic test set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monitoring-intensity ablation reduces AUPRC on both tasks, with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substantially larger and more robust effect for T4 once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target-leakage artifact inflating the T4 baseline is removed.</w:t>
      </w:r>
    </w:p>
    <w:p>
      <w:pPr>
        <w:pStyle w:val="BodyText"/>
        <w:spacing w:lineRule="auto" w:line="360"/>
      </w:pPr>
      <w:r>
        <w:rPr>
          <w:rFonts w:ascii="Arial" w:hAnsi="Arial"/>
          <w:i/>
          <w:iCs/>
        </w:rPr>
        <w:t xml:space="preserve">See</w:t>
      </w:r>
      <w:r>
        <w:rPr>
          <w:rFonts w:ascii="Arial" w:hAnsi="Arial"/>
          <w:i/>
          <w:iCs/>
        </w:rPr>
        <w:t xml:space="preserve"> </w:t>
      </w:r>
      <w:r>
        <w:rPr>
          <w:rStyle w:val="VerbatimChar"/>
          <w:rFonts w:ascii="Arial" w:hAnsi="Arial"/>
          <w:i/>
          <w:iCs/>
        </w:rPr>
        <w:t xml:space="preserve">paper/tables/table_ext3_ablation.csv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for full results.</w:t>
      </w:r>
    </w:p>
    <w:bookmarkEnd w:id="30"/>
    <w:bookmarkStart w:id="31" w:name="X07b99f90367b97763da39ff66270f8e3ef95e9a"/>
    <w:p>
      <w:pPr>
        <w:pStyle w:val="Heading3"/>
        <w:spacing w:lineRule="auto" w:line="360"/>
      </w:pPr>
      <w:r>
        <w:rPr>
          <w:rFonts w:ascii="Arial" w:hAnsi="Arial"/>
        </w:rPr>
        <w:t xml:space="preserve">Extended Data Table 2: Equity analysis summary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Environmental justice burden ratios across three evaluable demographic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dimensions (percent people of color, percent low income, education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attainment). Linguistic isolation was excluded because no test-set systems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fell below the 50th percentile (an empty reference group precludes burden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ratio computation). The PFAS detection burden ratio along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percent-people-of-color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geographically stratified test 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(EPA Regions 8, 9, 10; n_high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618</w:t>
      </w:r>
      <w:r>
        <w:rPr>
          <w:rFonts w:ascii="Arial" w:hAnsi="Arial"/>
        </w:rPr>
        <w:t xml:space="preserve">, n_ref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1,544</w:t>
      </w:r>
      <w:r>
        <w:rPr>
          <w:rFonts w:ascii="Arial" w:hAnsi="Arial"/>
        </w:rPr>
        <w:t xml:space="preserve">). Across the test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set, inverse-propensity-of-monitoring weighting attenuates the people-of-color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burden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1.62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(still significant, permutation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 &lt; 0.001), so the disparity is not an ascertainment artifact;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LORO-weighted national mean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1.48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Table 20). Permutation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 p-values with Benjamini-Hochberg FDR correction. Per-group AUROC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similar across groups (</w:t>
      </w:r>
      <w:r>
        <w:rPr>
          <w:rFonts w:ascii="Arial" w:hAnsi="Arial"/>
        </w:rPr>
        <w:t xml:space="preserve">0.799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high-burden 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reference).</w:t>
      </w:r>
    </w:p>
    <w:p>
      <w:pPr>
        <w:pStyle w:val="BodyText"/>
        <w:spacing w:lineRule="auto" w:line="360"/>
      </w:pPr>
      <w:r>
        <w:rPr>
          <w:rFonts w:ascii="Arial" w:hAnsi="Arial"/>
          <w:i/>
          <w:iCs/>
        </w:rPr>
        <w:t xml:space="preserve">See</w:t>
      </w:r>
      <w:r>
        <w:rPr>
          <w:rFonts w:ascii="Arial" w:hAnsi="Arial"/>
          <w:i/>
          <w:iCs/>
        </w:rPr>
        <w:t xml:space="preserve"> </w:t>
      </w:r>
      <w:r>
        <w:rPr>
          <w:rStyle w:val="VerbatimChar"/>
          <w:rFonts w:ascii="Arial" w:hAnsi="Arial"/>
          <w:i/>
          <w:iCs/>
        </w:rPr>
        <w:t xml:space="preserve">paper/tables/table_ext4_equity_summary.csv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for full results.</w:t>
      </w:r>
    </w:p>
    <w:bookmarkEnd w:id="31"/>
    <w:bookmarkStart w:id="32" w:name="X2ba574511e7ff49a2b3ba2ee345034951d4b48f"/>
    <w:p>
      <w:pPr>
        <w:pStyle w:val="Heading3"/>
        <w:spacing w:lineRule="auto" w:line="360"/>
      </w:pPr>
      <w:r>
        <w:rPr>
          <w:rFonts w:ascii="Arial" w:hAnsi="Arial"/>
        </w:rPr>
        <w:t xml:space="preserve">Extended Data Table 3: Literature comparison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Comparison of AquaContam (XGBoost, controlled configuration) with prior 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studies for water contamination prediction. Prior studies report high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 random cross-validation without geographic holdout. In our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controlled comparison the same XGBoost configuration (baseline feature set)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yields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 random splitting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 geographic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stratification. A size-matched random control (training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 subsampled to the geographic training-set size) reproduces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random-split result, so the drop reflects the evaluation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protocol rather than model, feature, or training-set-size differences.</w:t>
      </w:r>
    </w:p>
    <w:p>
      <w:pPr>
        <w:pStyle w:val="BodyText"/>
        <w:spacing w:lineRule="auto" w:line="360"/>
      </w:pPr>
      <w:r>
        <w:rPr>
          <w:rFonts w:ascii="Arial" w:hAnsi="Arial"/>
          <w:i/>
          <w:iCs/>
        </w:rPr>
        <w:t xml:space="preserve">See</w:t>
      </w:r>
      <w:r>
        <w:rPr>
          <w:rFonts w:ascii="Arial" w:hAnsi="Arial"/>
          <w:i/>
          <w:iCs/>
        </w:rPr>
        <w:t xml:space="preserve"> </w:t>
      </w:r>
      <w:r>
        <w:rPr>
          <w:rStyle w:val="VerbatimChar"/>
          <w:rFonts w:ascii="Arial" w:hAnsi="Arial"/>
          <w:i/>
          <w:iCs/>
        </w:rPr>
        <w:t xml:space="preserve">paper/tables/table_ext5_literature_comparison.csv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for full results.</w:t>
      </w:r>
    </w:p>
    <w:bookmarkEnd w:id="32"/>
    <w:bookmarkStart w:id="33" w:name="X533022b46504699726630d12c9963ce58e5e95e"/>
    <w:p>
      <w:pPr>
        <w:pStyle w:val="Heading3"/>
        <w:spacing w:lineRule="auto" w:line="360"/>
      </w:pPr>
      <w:r>
        <w:rPr>
          <w:rFonts w:ascii="Arial" w:hAnsi="Arial"/>
        </w:rPr>
        <w:t xml:space="preserve">Extended Data Table 4: Random versus geographic split comparison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Controlled three-model × three-feature-set comparison (XGBoost, Random Forest,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Logistic Regression × baseline, literature-equivalent, and full feature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sets; 14,405 systems) of performance under random versus geographically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stratified splits for T1 (PFAS detection). AUPRC inflation under random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splitting reaches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58</w:t>
      </w:r>
      <w:r>
        <w:rPr>
          <w:rFonts w:ascii="Arial" w:hAnsi="Arial"/>
        </w:rPr>
        <w:t xml:space="preserve">%, largest for logistic regression with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full feature set (</w:t>
      </w:r>
      <w:r>
        <w:rPr>
          <w:rFonts w:ascii="Arial" w:hAnsi="Arial"/>
        </w:rPr>
        <w:t xml:space="preserve">0.723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random 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0.457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geographic); the benchmark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XGBoost/baseline cell inflates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40</w:t>
      </w:r>
      <w:r>
        <w:rPr>
          <w:rFonts w:ascii="Arial" w:hAnsi="Arial"/>
        </w:rPr>
        <w:t xml:space="preserve">% (</w:t>
      </w:r>
      <w:r>
        <w:rPr>
          <w:rFonts w:ascii="Arial" w:hAnsi="Arial"/>
        </w:rPr>
        <w:t xml:space="preserve">0.744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0.532</w:t>
      </w:r>
      <w:r>
        <w:rPr>
          <w:rFonts w:ascii="Arial" w:hAnsi="Arial"/>
        </w:rPr>
        <w:t xml:space="preserve">). A size-matched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random control preserves inflation of a similar magnitude (Supplementary Table 1), ruling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out training-set size as the driver. The DeLong column reports a paired test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Full-feature versus Baseline-feature AUROC on the shared geographic test set,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shown on the geographic/Full rows, together with the signed difference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(ΔAUROC = Full minus Baseline). That difference is negative for logistic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regression, whose Full-feature model performs significantly worse.</w:t>
      </w:r>
    </w:p>
    <w:p>
      <w:pPr>
        <w:pStyle w:val="BodyText"/>
        <w:spacing w:lineRule="auto" w:line="360"/>
      </w:pPr>
      <w:r>
        <w:rPr>
          <w:rFonts w:ascii="Arial" w:hAnsi="Arial"/>
          <w:i/>
          <w:iCs/>
        </w:rPr>
        <w:t xml:space="preserve">See</w:t>
      </w:r>
      <w:r>
        <w:rPr>
          <w:rFonts w:ascii="Arial" w:hAnsi="Arial"/>
          <w:i/>
          <w:iCs/>
        </w:rPr>
        <w:t xml:space="preserve"> </w:t>
      </w:r>
      <w:r>
        <w:rPr>
          <w:rStyle w:val="VerbatimChar"/>
          <w:rFonts w:ascii="Arial" w:hAnsi="Arial"/>
          <w:i/>
          <w:iCs/>
        </w:rPr>
        <w:t xml:space="preserve">paper/tables/table_brennan_comparison.csv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for full results.</w:t>
      </w:r>
    </w:p>
    <w:bookmarkEnd w:id="33"/>
    <w:bookmarkStart w:id="34" w:name="X9ad05b510d2fe0e564d99a78e50bbd6917e4f74"/>
    <w:p>
      <w:pPr>
        <w:pStyle w:val="Heading3"/>
        <w:spacing w:lineRule="auto" w:line="360"/>
      </w:pPr>
      <w:r>
        <w:rPr>
          <w:rFonts w:ascii="Arial" w:hAnsi="Arial"/>
        </w:rPr>
        <w:t xml:space="preserve">Extended Data Table 5: Cross-source and geographic external validation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T1 (PFAS detection) model performance evaluated on independent state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databases. The fitted XGBoost model (trained on UCMR5/UCMR3 with geographic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stratification) is applied to each state database separately. 95% bootstrap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CIs (1,000 iterations) are reported for AUROC. For states whose EPA 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overlaps the training set, overlapping PWSIDs are excluded.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Panel A: Cross-source validation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(independent PWS databases within validation-region geography):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049"/>
        <w:gridCol w:w="1145"/>
        <w:gridCol w:w="1049"/>
        <w:gridCol w:w="1526"/>
        <w:gridCol w:w="667"/>
        <w:gridCol w:w="1526"/>
      </w:tblGrid>
      <w:tr>
        <w:trPr>
          <w:tblHeader w:val="on"/>
        </w:trP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State DB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EPA Region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Split Role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n Systems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AUROC [95% CI]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AUPRC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Detection Rate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NJ DEP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R2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val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1,310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0.789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[</w:t>
            </w:r>
            <w:r>
              <w:rPr>
                <w:rFonts w:ascii="Arial" w:hAnsi="Arial"/>
              </w:rPr>
              <w:t xml:space="preserve">0.765</w:t>
            </w:r>
            <w:r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</w:rPr>
              <w:t xml:space="preserve">0.812</w:t>
            </w:r>
            <w:r>
              <w:rPr>
                <w:rFonts w:ascii="Arial" w:hAnsi="Arial"/>
              </w:rPr>
              <w:t xml:space="preserve">]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0.792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0.473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MO DNR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R7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val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1,208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0.829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[</w:t>
            </w:r>
            <w:r>
              <w:rPr>
                <w:rFonts w:ascii="Arial" w:hAnsi="Arial"/>
              </w:rPr>
              <w:t xml:space="preserve">0.767</w:t>
            </w:r>
            <w:r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</w:rPr>
              <w:t xml:space="preserve">0.885</w:t>
            </w:r>
            <w:r>
              <w:rPr>
                <w:rFonts w:ascii="Arial" w:hAnsi="Arial"/>
              </w:rPr>
              <w:t xml:space="preserve">]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0.281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0.052</w:t>
            </w:r>
          </w:p>
        </w:tc>
      </w:tr>
    </w:tbl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Panel B: Geographic external validation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(test-region geography, non-PWS monitoring domain):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049"/>
        <w:gridCol w:w="1145"/>
        <w:gridCol w:w="1049"/>
        <w:gridCol w:w="1526"/>
        <w:gridCol w:w="667"/>
        <w:gridCol w:w="1526"/>
      </w:tblGrid>
      <w:tr>
        <w:trPr>
          <w:tblHeader w:val="on"/>
        </w:trP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State DB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EPA Region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Split Role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n Systems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AUROC [95% CI]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AUPRC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Detection Rate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CA GeoTracker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R9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test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1,421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0.813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0.707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0.297</w:t>
            </w:r>
          </w:p>
        </w:tc>
      </w:tr>
    </w:tbl>
    <w:p>
      <w:pPr>
        <w:pStyle w:val="BodyText"/>
        <w:spacing w:lineRule="auto" w:line="360"/>
      </w:pPr>
      <w:r>
        <w:rPr>
          <w:rFonts w:ascii="Arial" w:hAnsi="Arial"/>
        </w:rPr>
        <w:t xml:space="preserve">†On the larger external sample the model performs above chance (DeLong test vs.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AUROC = 0.5: p &lt; 0.001).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Panel C: Detection-only databases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(single-class data precludes AUROC).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Two detection-only sources are retained for validation (MI MPART, WA DOH);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Ohio EPA is excluded because its PWSIDs overlap SDWIS, and NC DEQ provides 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usable records: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177"/>
        <w:gridCol w:w="1284"/>
        <w:gridCol w:w="1177"/>
        <w:gridCol w:w="749"/>
        <w:gridCol w:w="749"/>
        <w:gridCol w:w="1712"/>
      </w:tblGrid>
      <w:tr>
        <w:trPr>
          <w:tblHeader w:val="on"/>
        </w:trP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State DB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EPA Region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Split Role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n Systems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AUROC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AUPRC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Detection Rate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MI MPART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R5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train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153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100% (single-class)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WA DOH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R10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test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256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100% (single-class)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OH EPA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R5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Excluded (SDWIS PWSID overlap)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NC DEQ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R4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—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Unavailable</w:t>
            </w:r>
          </w:p>
        </w:tc>
      </w:tr>
    </w:tbl>
    <w:bookmarkEnd w:id="34"/>
    <w:bookmarkEnd w:id="35"/>
    <w:bookmarkEnd w:id="36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9" Type="http://schemas.openxmlformats.org/officeDocument/2006/relationships/image" Target="media/rId9.png"/><Relationship Id="rId13" Type="http://schemas.openxmlformats.org/officeDocument/2006/relationships/image" Target="media/rId13.png"/><Relationship Id="rId17" Type="http://schemas.openxmlformats.org/officeDocument/2006/relationships/image" Target="media/rId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2026-08-05T18:21:35Z</dcterms:created>
  <dcterms:modified xsi:type="dcterms:W3CDTF">2026-08-05T18:21:35Z</dcterms:modified>
  <dc:description>aquacontam-provenance source_sha256=bfa50dd31aa4f74189851e3d7c80cbbee89175d5f31e919767ea02d9a79b807e git=f9cbc3bbd569d60e4788fe0ec5ef1d4cd2630f50 generated=2026-08-05T18:21:36Z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