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7b28113e00839612c8d00dba6908ccffc35b0b"/>
    <w:p>
      <w:pPr>
        <w:pStyle w:val="Heading1"/>
        <w:spacing w:lineRule="auto" w:line="360"/>
      </w:pPr>
      <w:r>
        <w:rPr>
          <w:rFonts w:ascii="Arial" w:hAnsi="Arial"/>
        </w:rPr>
        <w:t xml:space="preserve">AquaContam: machine-learning models of drinking-water contamination learn who is monitored as much as where contamination occurs</w:t>
      </w:r>
    </w:p>
    <w:p>
      <w:pPr>
        <w:pStyle w:val="FirstParagraph"/>
        <w:spacing w:lineRule="auto" w:line="360"/>
      </w:pPr>
      <w:r>
        <w:rPr>
          <w:rFonts w:ascii="Arial" w:hAnsi="Arial"/>
          <w:i/>
          <w:iCs/>
        </w:rPr>
        <w:t xml:space="preserve">Tyler J. Newton (ORCID: 0000-0002-4304-0103)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Independent Researcher</w:t>
      </w:r>
    </w:p>
    <w:p>
      <w:pPr>
        <w:pStyle w:val="BodyText"/>
        <w:spacing w:lineRule="auto" w:line="360"/>
      </w:pPr>
      <w:r>
        <w:rPr>
          <w:rFonts w:ascii="Arial" w:hAnsi="Arial"/>
          <w:i/>
          <w:iCs/>
        </w:rPr>
        <w:t xml:space="preserve">Corresponding author: Tyler J. Newton (tyler.j.newton@gmail.com)</w:t>
      </w:r>
    </w:p>
    <w:bookmarkStart w:id="9" w:name="abstract"/>
    <w:p>
      <w:pPr>
        <w:pStyle w:val="Heading2"/>
        <w:spacing w:lineRule="auto" w:line="360"/>
      </w:pPr>
      <w:r>
        <w:rPr>
          <w:rFonts w:ascii="Arial" w:hAnsi="Arial"/>
        </w:rPr>
        <w:t xml:space="preserve">Abstract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Machine learning informs drinking-water monitoring, yet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administrative data record the monitoring process as much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contamination. Using AquaContam (over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 million samples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95,223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U.S. water systems and ambient monitoring locations), we find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provenance proxies dominate feature attributions, and an apparent lead-model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AUROC of 0.962 is largely a target-leakage artifact (corrected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skill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0.699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without provenance). A provenance-reduced PFAS signal survives (in-region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0.785</w:t>
      </w:r>
      <w:r>
        <w:rPr>
          <w:rFonts w:ascii="Arial" w:hAnsi="Arial"/>
        </w:rPr>
        <w:t xml:space="preserve">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but transports modestly (AUROC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, 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0.769</w:t>
      </w:r>
      <w:r>
        <w:rPr>
          <w:rFonts w:ascii="Arial" w:hAnsi="Arial"/>
        </w:rPr>
        <w:t xml:space="preserve">), and spatial leakage separately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inflates baseline-feature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0.869</w:t>
      </w:r>
      <w:r>
        <w:rPr>
          <w:rFonts w:ascii="Arial" w:hAnsi="Arial"/>
        </w:rPr>
        <w:t xml:space="preserve">. Monitoring is itself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inequitable: communities of color are sampled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× more intensively (attenuated but significant under source adjustment),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heterogeneous detection burden (</w:t>
      </w:r>
      <w:r>
        <w:rPr>
          <w:rFonts w:ascii="Arial" w:hAnsi="Arial"/>
        </w:rPr>
        <w:t xml:space="preserve">1.48</w:t>
      </w:r>
      <w:r>
        <w:rPr>
          <w:rFonts w:ascii="Arial" w:hAnsi="Arial"/>
        </w:rPr>
        <w:t xml:space="preserve">, 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1.24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1.88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significant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10 regions under a spatially-aware null), whereas low-income communities are under-sampled (</w:t>
      </w:r>
      <w:r>
        <w:rPr>
          <w:rFonts w:ascii="Arial" w:hAnsi="Arial"/>
        </w:rPr>
        <w:t xml:space="preserve">0.78</w:t>
      </w:r>
      <w:r>
        <w:rPr>
          <w:rFonts w:ascii="Arial" w:hAnsi="Arial"/>
        </w:rPr>
        <w:t xml:space="preserve">×).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Although the group false-negative gap (</w:t>
      </w:r>
      <w:r>
        <w:rPr>
          <w:rFonts w:ascii="Arial" w:hAnsi="Arial"/>
        </w:rPr>
        <w:t xml:space="preserve">0.50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0.44</w:t>
      </w:r>
      <w:r>
        <w:rPr>
          <w:rFonts w:ascii="Arial" w:hAnsi="Arial"/>
        </w:rPr>
        <w:t xml:space="preserve">) is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significant, the model is worse-calibrated for high-people-of-color systems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(calibration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0.06</w:t>
      </w:r>
      <w:r>
        <w:rPr>
          <w:rFonts w:ascii="Arial" w:hAnsi="Arial"/>
        </w:rPr>
        <w:t xml:space="preserve">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AquaContam provides a reproducible two-confound protocol with one converged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detection task and documented boundary tasks.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Drinking water contamination is a pervasive U.S. public health challenge. More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200 million Americans are estimated to be served by systems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per- and polyfluoroalkyl substances (PFAS) at or above 1 ng/L (a modeled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estimate predating UCMR5)</w:t>
      </w:r>
      <w:r>
        <w:rPr>
          <w:rFonts w:ascii="Arial" w:hAnsi="Arial"/>
          <w:vertAlign w:val="superscript"/>
        </w:rPr>
        <w:t xml:space="preserve">1</w:t>
      </w:r>
      <w:r>
        <w:rPr>
          <w:rFonts w:ascii="Arial" w:hAnsi="Arial"/>
        </w:rPr>
        <w:t xml:space="preserve">. Lead service lines (exemplified by the Flint,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Michigan crisis</w:t>
      </w:r>
      <w:r>
        <w:rPr>
          <w:rFonts w:ascii="Arial" w:hAnsi="Arial"/>
          <w:vertAlign w:val="superscript"/>
        </w:rPr>
        <w:t xml:space="preserve">2</w:t>
      </w:r>
      <w:r>
        <w:rPr>
          <w:rFonts w:ascii="Arial" w:hAnsi="Arial"/>
        </w:rPr>
        <w:t xml:space="preserve">) deliver unsafe heavy-metal concentrations to millions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households</w:t>
      </w:r>
      <w:r>
        <w:rPr>
          <w:rFonts w:ascii="Arial" w:hAnsi="Arial"/>
          <w:vertAlign w:val="superscript"/>
        </w:rPr>
        <w:t xml:space="preserve">3</w:t>
      </w:r>
      <w:r>
        <w:rPr>
          <w:rFonts w:ascii="Arial" w:hAnsi="Arial"/>
        </w:rPr>
        <w:t xml:space="preserve">. PFAS exposure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linked to cancer, thyroid disease, and immune suppression</w:t>
      </w:r>
      <w:r>
        <w:rPr>
          <w:rFonts w:ascii="Arial" w:hAnsi="Arial"/>
          <w:vertAlign w:val="superscript"/>
        </w:rPr>
        <w:t xml:space="preserve">4,5</w:t>
      </w:r>
      <w:r>
        <w:rPr>
          <w:rFonts w:ascii="Arial" w:hAnsi="Arial"/>
        </w:rPr>
        <w:t xml:space="preserve">, and chronic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lead exposure causes irreversible neurodevelopmental damage</w:t>
      </w:r>
      <w:r>
        <w:rPr>
          <w:rFonts w:ascii="Arial" w:hAnsi="Arial"/>
          <w:vertAlign w:val="superscript"/>
        </w:rPr>
        <w:t xml:space="preserve">6</w:t>
      </w:r>
      <w:r>
        <w:rPr>
          <w:rFonts w:ascii="Arial" w:hAnsi="Arial"/>
        </w:rPr>
        <w:t xml:space="preserve">. In April 2024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EPA established the first enforceable maximum contaminant levels for PFAS,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five individual limits plus a Hazard Index for mixtures</w:t>
      </w:r>
      <w:r>
        <w:rPr>
          <w:rFonts w:ascii="Arial" w:hAnsi="Arial"/>
          <w:vertAlign w:val="superscript"/>
        </w:rPr>
        <w:t xml:space="preserve">7</w:t>
      </w:r>
      <w:r>
        <w:rPr>
          <w:rFonts w:ascii="Arial" w:hAnsi="Arial"/>
        </w:rPr>
        <w:t xml:space="preserve">. These limits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intensify demand for predictive models that can prioritize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resources across the nation’s more than 150,000 public water systems</w:t>
      </w:r>
      <w:r>
        <w:rPr>
          <w:rFonts w:ascii="Arial" w:hAnsi="Arial"/>
          <w:vertAlign w:val="superscript"/>
        </w:rPr>
        <w:t xml:space="preserve">8</w:t>
      </w:r>
      <w:r>
        <w:rPr>
          <w:rFonts w:ascii="Arial" w:hAnsi="Arial"/>
        </w:rPr>
        <w:t xml:space="preserve">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Machine learning models are increasingly used to predict contamination risk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environmental and geospatial features, with results directly informing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regulatory decisions. Spatial regression has linked PFAS detection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industrial sites, military fire training areas, and wastewater treatment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plants</w:t>
      </w:r>
      <w:r>
        <w:rPr>
          <w:rFonts w:ascii="Arial" w:hAnsi="Arial"/>
          <w:vertAlign w:val="superscript"/>
        </w:rPr>
        <w:t xml:space="preserve">9</w:t>
      </w:r>
      <w:r>
        <w:rPr>
          <w:rFonts w:ascii="Arial" w:hAnsi="Arial"/>
        </w:rPr>
        <w:t xml:space="preserve">; gradient-boosted models predict PFAS in private wells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groundwater geochemistry</w:t>
      </w:r>
      <w:r>
        <w:rPr>
          <w:rFonts w:ascii="Arial" w:hAnsi="Arial"/>
          <w:vertAlign w:val="superscript"/>
        </w:rPr>
        <w:t xml:space="preserve">10</w:t>
      </w:r>
      <w:r>
        <w:rPr>
          <w:rFonts w:ascii="Arial" w:hAnsi="Arial"/>
        </w:rPr>
        <w:t xml:space="preserve">; and tree-based models on state drinking-water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 report AUROC (the probability a model ranks a detected system above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non-detected one) &gt;0.90 under random cross-validation</w:t>
      </w:r>
      <w:r>
        <w:rPr>
          <w:rFonts w:ascii="Arial" w:hAnsi="Arial"/>
          <w:vertAlign w:val="superscript"/>
        </w:rPr>
        <w:t xml:space="preserve">11</w:t>
      </w:r>
      <w:r>
        <w:rPr>
          <w:rFonts w:ascii="Arial" w:hAnsi="Arial"/>
        </w:rPr>
        <w:t xml:space="preserve">. PFAS occurrence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groundwater-sourced drinking water has been characterized across the eastern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United States</w:t>
      </w:r>
      <w:r>
        <w:rPr>
          <w:rFonts w:ascii="Arial" w:hAnsi="Arial"/>
          <w:vertAlign w:val="superscript"/>
        </w:rPr>
        <w:t xml:space="preserve">12</w:t>
      </w:r>
      <w:r>
        <w:rPr>
          <w:rFonts w:ascii="Arial" w:hAnsi="Arial"/>
        </w:rPr>
        <w:t xml:space="preserve">. Extended Data Table 3 summarizes these and other prior 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approaches, none of which uses a geographic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holdout. These studies share an under-examined property of their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data: contamination records are generated by an administrative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process that decides which systems are sampled, how often,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what detection limits, and which results are reported. A model trained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such data can achieve high apparent skill by learning the monitoring process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(who is monitored) rather than the environmental drivers of where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occurs.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Two distinct confounds follow. First, random train-test splits allow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geographically proximate systems to appear in both training and test sets: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form of spatial leakage, documented in ecology and species distribution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modeling</w:t>
      </w:r>
      <w:r>
        <w:rPr>
          <w:rFonts w:ascii="Arial" w:hAnsi="Arial"/>
          <w:vertAlign w:val="superscript"/>
        </w:rPr>
        <w:t xml:space="preserve">13,14,15,16,17,18</w:t>
      </w:r>
      <w:r>
        <w:rPr>
          <w:rFonts w:ascii="Arial" w:hAnsi="Arial"/>
        </w:rPr>
        <w:t xml:space="preserve">, in which nearby systems share confounders (land use, aquifer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type, industrial proximity) that inflate apparent generalization. Second,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ascertainment confounding: monitoring intensity, detection limits, reporting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practices, and data-source provenance differ systematically across systems,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these signatures predict recorded detection outcomes without any environmental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information. This confound is long recognized as sample-selection bias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presence-only species-distribution modeling</w:t>
      </w:r>
      <w:r>
        <w:rPr>
          <w:rFonts w:ascii="Arial" w:hAnsi="Arial"/>
          <w:vertAlign w:val="superscript"/>
        </w:rPr>
        <w:t xml:space="preserve">19,20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as surveillance bias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epidemiology</w:t>
      </w:r>
      <w:r>
        <w:rPr>
          <w:rFonts w:ascii="Arial" w:hAnsi="Arial"/>
          <w:vertAlign w:val="superscript"/>
        </w:rPr>
        <w:t xml:space="preserve">21</w:t>
      </w:r>
      <w:r>
        <w:rPr>
          <w:rFonts w:ascii="Arial" w:hAnsi="Arial"/>
        </w:rPr>
        <w:t xml:space="preserve">. We translate this known confound to administratively generated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drinking-water data rather than claim it as new. Published performance estimates inform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EPA monitoring prioritization and state regulatory decisions; estimates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inflated by either confound will fail precisely where the models are most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needed: in unmonitored or newly monitored systems and regions. Despite this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risk, no standardized benchmark enforces evaluation that controls for either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confound. Domain-specific ML benchmarks (GEO-Bench</w:t>
      </w:r>
      <w:r>
        <w:rPr>
          <w:rFonts w:ascii="Arial" w:hAnsi="Arial"/>
          <w:vertAlign w:val="superscript"/>
        </w:rPr>
        <w:t xml:space="preserve">22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Earth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observation, SustainBench</w:t>
      </w:r>
      <w:r>
        <w:rPr>
          <w:rFonts w:ascii="Arial" w:hAnsi="Arial"/>
          <w:vertAlign w:val="superscript"/>
        </w:rPr>
        <w:t xml:space="preserve">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sustainability, ClimateBench</w:t>
      </w:r>
      <w:r>
        <w:rPr>
          <w:rFonts w:ascii="Arial" w:hAnsi="Arial"/>
          <w:vertAlign w:val="superscript"/>
        </w:rPr>
        <w:t xml:space="preserve">24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climate science) have accelerated progress in their respective fields. 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equivalent exists for water quality, where extreme class imbalance (97%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censoring), spatial autocorrelation, and left-censored measurements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(concentrations known only to lie below a laboratory reporting limit) create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unique challenges.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Here we introduce AquaContam, an open benchmark that addresses this gap.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integrating fifteen federal and state data sources into over 4 million 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quality samples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95,223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(</w:t>
      </w:r>
      <w:r>
        <w:rPr>
          <w:rFonts w:ascii="Arial" w:hAnsi="Arial"/>
        </w:rPr>
        <w:t xml:space="preserve">87,450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geocoded) and enforcing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 stratification by EPA region, we demonstrate four things.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First, two compounding confounds inflate reported skill. Spatial leakage raises AUPRC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58</w:t>
      </w:r>
      <w:r>
        <w:rPr>
          <w:rFonts w:ascii="Arial" w:hAnsi="Arial"/>
        </w:rPr>
        <w:t xml:space="preserve">% (</w:t>
      </w:r>
      <w:r>
        <w:rPr>
          <w:rFonts w:ascii="Arial" w:hAnsi="Arial"/>
        </w:rPr>
        <w:t xml:space="preserve">0.723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vs. </w:t>
      </w:r>
      <w:r>
        <w:rPr>
          <w:rFonts w:ascii="Arial" w:hAnsi="Arial"/>
        </w:rPr>
        <w:t xml:space="preserve">0.457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logistic regression with the full feature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40</w:t>
      </w:r>
      <w:r>
        <w:rPr>
          <w:rFonts w:ascii="Arial" w:hAnsi="Arial"/>
        </w:rPr>
        <w:t xml:space="preserve">% for the benchmark gradient-boosted configuration). Ascertainment signatures account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part of the remainder on monitoring-sensitive tasks (corrected lead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action-level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without provenance features, after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target-leakage artifact inflating the apparent skill to 0.962 is removed).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Second, models learn the monitoring process: data-source provenance proxies dominate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SHAP attributions, and a monitoring-invariant predictor quantifies the genuinely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environmental signal (out-of-region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, 95% block-bootstrap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0.769</w:t>
      </w:r>
      <w:r>
        <w:rPr>
          <w:rFonts w:ascii="Arial" w:hAnsi="Arial"/>
        </w:rPr>
        <w:t xml:space="preserve">, for the provenance-reduced model).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Third, monitoring effort is itself inequitably allocated across demographic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lines (systems serving communities of color sampled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-fold more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intensively, attenuating under data-source adjustment; low-income systems sampled less), so differential ascertainment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biases both contamination estimates and the equity conclusions drawn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them (national detection-burden ratio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1.48</w:t>
      </w:r>
      <w:r>
        <w:rPr>
          <w:rFonts w:ascii="Arial" w:hAnsi="Arial"/>
        </w:rPr>
        <w:t xml:space="preserve">, regional maximum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2.57</w:t>
      </w:r>
      <w:r>
        <w:rPr>
          <w:rFonts w:ascii="Arial" w:hAnsi="Arial"/>
        </w:rPr>
        <w:t xml:space="preserve">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Fourth, seven benchmark tasks, 20 model families (29 model classes), reproducible pipelines,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public leaderboard provide a reproducible evaluation protocol and task suite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water contamination prediction. Unlike prior bespoke single-source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water-quality models, AquaContam standardizes the tasks, retains censoring-aware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targets, and adds a two-confound evaluation protocol.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Substantive evidence is concentrated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detection task (T1); several models do not converge on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sparser transfer and multilabel tasks (T3/T5/T7), which we report with explicit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non-convergence annotations rather than as a populated leaderboard. No new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learning method is introduced: the advance is the rigorous quantification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decomposition of these confounds, the monitoring-inequity finding,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reproducibility apparatus, at a moment of acute regulatory relevance.</w:t>
      </w:r>
    </w:p>
    <w:bookmarkEnd w:id="9"/>
    <w:bookmarkStart w:id="17" w:name="results"/>
    <w:p>
      <w:pPr>
        <w:pStyle w:val="Heading2"/>
        <w:spacing w:lineRule="auto" w:line="360"/>
      </w:pPr>
      <w:r>
        <w:rPr>
          <w:rFonts w:ascii="Arial" w:hAnsi="Arial"/>
        </w:rPr>
        <w:t xml:space="preserve">Results</w:t>
      </w:r>
    </w:p>
    <w:bookmarkStart w:id="10" w:name="X2fcd699fd95edd5d10d52bb63b9e1af93c3dcd7"/>
    <w:p>
      <w:pPr>
        <w:pStyle w:val="Heading3"/>
        <w:spacing w:lineRule="auto" w:line="360"/>
      </w:pPr>
      <w:r>
        <w:rPr>
          <w:rFonts w:ascii="Arial" w:hAnsi="Arial"/>
        </w:rPr>
        <w:t xml:space="preserve">National-scale data integration (Fig. 1, Table 1)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AquaContam integrates fifteen federal and state data sources (thirteen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contributing data, one excluded, one unavailable) into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harmonized water quality dataset. All are public records; all but Minnesota MDH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directly downloadable, Minnesota being obtained by written request under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 records act and redistributed only with the agency’s permission (Data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Availability). The two primary federal sources, UCMR5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(2023) and UCMR3 (2013–2015), contribute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1,928,117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1,069,174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analytical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respectively, covering 30 PFAS/lithium analytes and 38 contaminants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including 6 PFAS. SDWIS</w:t>
      </w:r>
      <w:r>
        <w:rPr>
          <w:rFonts w:ascii="Arial" w:hAnsi="Arial"/>
          <w:vertAlign w:val="superscript"/>
        </w:rPr>
        <w:t xml:space="preserve">25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adds lead and copper compliance monitoring (</w:t>
      </w:r>
      <w:r>
        <w:rPr>
          <w:rFonts w:ascii="Arial" w:hAnsi="Arial"/>
        </w:rPr>
        <w:t xml:space="preserve">916,899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Six state databases (Michigan, California, Washington, Missouri, New Jersey,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Minnesota) and the USGS/EPA Water Quality Portal (</w:t>
      </w:r>
      <w:r>
        <w:rPr>
          <w:rFonts w:ascii="Arial" w:hAnsi="Arial"/>
        </w:rPr>
        <w:t xml:space="preserve">35,528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PFAS records across 49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CONUS states) provide complementary regional coverage; Ohio EPA (</w:t>
      </w:r>
      <w:r>
        <w:rPr>
          <w:rFonts w:ascii="Arial" w:hAnsi="Arial"/>
        </w:rPr>
        <w:t xml:space="preserve">26,554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was excluded because its PWSIDs overlap SDWIS and it reports only detected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samples. Minnesota MDH (Table 1) adds a dense state compliance program to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in-split public-water-system population. It spans the 3M east-metro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plume, among the most intensively monitored PFAS landscapes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country, and supplies authoritative detection labels for the many Minnesota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that federal monitoring cycles sample only sparsely. Under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leave-region-5-out cross-validation, where the model trains on no Minnesota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system, it predicts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Minnesota detection at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(AUPRC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0.256</w:t>
      </w:r>
      <w:r>
        <w:rPr>
          <w:rFonts w:ascii="Arial" w:hAnsi="Arial"/>
        </w:rPr>
        <w:t xml:space="preserve">), generalizing to this monitoring-confounded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landscape without overfitting the plume. The paper’s central claims,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monitoring-confound decomposition and the inequity analysis, rest on the federal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UCMR and SDWIS records and do not depend on Minnesota. The Minnesota MDH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serve as a dense-monitoring corroboration, so the thesis stands if that 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cannot be redistributed.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All sources are harmonized to a common schema with standardized identifiers,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units in micrograms per liter, and left-censored non-detects retained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explicit flags, critical given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97.1</w:t>
      </w:r>
      <w:r>
        <w:rPr>
          <w:rFonts w:ascii="Arial" w:hAnsi="Arial"/>
        </w:rPr>
        <w:t xml:space="preserve">% of UCMR5 samples fall below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detection limits. ZIP-code geocoding via Census ZCTA centroids</w:t>
      </w:r>
      <w:r>
        <w:rPr>
          <w:rFonts w:ascii="Arial" w:hAnsi="Arial"/>
          <w:vertAlign w:val="superscript"/>
        </w:rPr>
        <w:t xml:space="preserve">26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87,450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for geospatial feature extraction (Extended Data Fig. 1), robust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geocoding imprecision (5-km noise: ΔAUROC −</w:t>
      </w:r>
      <w:r>
        <w:rPr>
          <w:rFonts w:ascii="Arial" w:hAnsi="Arial"/>
        </w:rPr>
        <w:t xml:space="preserve">0.007</w:t>
      </w:r>
      <w:r>
        <w:rPr>
          <w:rFonts w:ascii="Arial" w:hAnsi="Arial"/>
        </w:rPr>
        <w:t xml:space="preserve">; Supplementary S7b).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Predictions transfer across data sources. Cross-source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 on two independent state databases within validation-region geography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confirms this: NJ DEP (Region 2,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0.789</w:t>
      </w:r>
      <w:r>
        <w:rPr>
          <w:rFonts w:ascii="Arial" w:hAnsi="Arial"/>
        </w:rPr>
        <w:t xml:space="preserve">, 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1,310</w:t>
      </w:r>
      <w:r>
        <w:rPr>
          <w:rFonts w:ascii="Arial" w:hAnsi="Arial"/>
        </w:rPr>
        <w:t xml:space="preserve">) and MO DNR (Region 7,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0.829</w:t>
      </w:r>
      <w:r>
        <w:rPr>
          <w:rFonts w:ascii="Arial" w:hAnsi="Arial"/>
        </w:rPr>
        <w:t xml:space="preserve">, 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1,208</w:t>
      </w:r>
      <w:r>
        <w:rPr>
          <w:rFonts w:ascii="Arial" w:hAnsi="Arial"/>
        </w:rPr>
        <w:t xml:space="preserve">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(Extended Data Table 5). These databases share regional geography with training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 but use independent sampling and reporting pipelines, testing data-source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generalization rather than geographic generalization. The only geographically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test, CA GeoTracker (Region 9, test partition,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0.813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1,421</w:t>
      </w:r>
      <w:r>
        <w:rPr>
          <w:rFonts w:ascii="Arial" w:hAnsi="Arial"/>
        </w:rPr>
        <w:t xml:space="preserve">), monitors groundwater sites rather than public 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systems; on this larger sample the model now performs above chance (DeLong p &lt; 0.001).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Its monitoring domain differs structurally from the public water systems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benchmark targets, so geographic generalization to unseen regions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structurally different monitoring domains remains undemonstrated.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remaining state databases preclude AUROC computation in our modeling set: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 MPART and WA DOH are effectively single-class (near-complete detection after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coordinate backfill and aggregation), while NC DEQ and OH EPA lack usable in-split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data.</w:t>
      </w:r>
    </w:p>
    <w:bookmarkEnd w:id="10"/>
    <w:bookmarkStart w:id="11" w:name="Xdc5f724809002f35cf0a37116240b9c888d46a7"/>
    <w:p>
      <w:pPr>
        <w:pStyle w:val="Heading3"/>
        <w:spacing w:lineRule="auto" w:line="360"/>
      </w:pPr>
      <w:r>
        <w:rPr>
          <w:rFonts w:ascii="Arial" w:hAnsi="Arial"/>
        </w:rPr>
        <w:t xml:space="preserve">Two compounding confounds inflate reported skill (Fig. 2, Extended Data Table 4)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The first confound is spatial leakage. A controlled 3-model × 3-feature-set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comparison (14,405 systems) reveals AUPRC inflation of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58</w:t>
      </w:r>
      <w:r>
        <w:rPr>
          <w:rFonts w:ascii="Arial" w:hAnsi="Arial"/>
        </w:rPr>
        <w:t xml:space="preserve">% under random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versus geographic splitting (Extended Data Table 4). The largest inflation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occurs for logistic regression with the full feature set (</w:t>
      </w:r>
      <w:r>
        <w:rPr>
          <w:rFonts w:ascii="Arial" w:hAnsi="Arial"/>
        </w:rPr>
        <w:t xml:space="preserve">0.723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random vs.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0.457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58</w:t>
      </w:r>
      <w:r>
        <w:rPr>
          <w:rFonts w:ascii="Arial" w:hAnsi="Arial"/>
        </w:rPr>
        <w:t xml:space="preserve">%); the benchmark XGBoost configuration on the baseline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 set inflates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40</w:t>
      </w:r>
      <w:r>
        <w:rPr>
          <w:rFonts w:ascii="Arial" w:hAnsi="Arial"/>
        </w:rPr>
        <w:t xml:space="preserve">% (</w:t>
      </w:r>
      <w:r>
        <w:rPr>
          <w:rFonts w:ascii="Arial" w:hAnsi="Arial"/>
        </w:rPr>
        <w:t xml:space="preserve">0.744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vs. </w:t>
      </w:r>
      <w:r>
        <w:rPr>
          <w:rFonts w:ascii="Arial" w:hAnsi="Arial"/>
        </w:rPr>
        <w:t xml:space="preserve">0.532</w:t>
      </w:r>
      <w:r>
        <w:rPr>
          <w:rFonts w:ascii="Arial" w:hAnsi="Arial"/>
        </w:rPr>
        <w:t xml:space="preserve">). The inflation is not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training-set-size artifact: a size-matched control (random cross-validation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each fold’s training set subsampled to the geographic training-set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size) preserves comparable inflation across the same cells (Supplementary Table 1). The inflation arises because geospatially proximate systems share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confounders (land use, aquifer type, industrial proximity) that models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exploit under random splitting; Moran’s I analysis confirms significant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autocorrelation in model residuals (I &gt; 0, p &lt; 0.01; Supplementary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S9). On a baseline proximity/demographic feature set representative of prior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feature-based prediction studies</w:t>
      </w:r>
      <w:r>
        <w:rPr>
          <w:rFonts w:ascii="Arial" w:hAnsi="Arial"/>
          <w:vertAlign w:val="superscript"/>
        </w:rPr>
        <w:t xml:space="preserve">9,10,11</w:t>
      </w:r>
      <w:r>
        <w:rPr>
          <w:rFonts w:ascii="Arial" w:hAnsi="Arial"/>
        </w:rPr>
        <w:t xml:space="preserve">, XGBoost drops from AUPRC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0.744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(random)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0.532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(geographic; Fig. 2a). Leave-one-region-out (LORO) cross-validation, which trains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nine EPA regions and tests on the tenth in turn, yields mean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(s.d.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0.102</w:t>
      </w:r>
      <w:r>
        <w:rPr>
          <w:rFonts w:ascii="Arial" w:hAnsi="Arial"/>
        </w:rPr>
        <w:t xml:space="preserve">) across 10 EPA regions, confirming that geographic heterogeneity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rather than a single split choice drives this pattern.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second confound is ascertainment: the monitoring process leaves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signatures (which source reported a system, how often it was sampled,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what detection limits) that predict recorded detection outcomes without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environmental information. Excluding systems observed only through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detection-only data sources (n = 256) lowers T1 XGBoost AUPRC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0.343</w:t>
      </w:r>
      <w:r>
        <w:rPr>
          <w:rFonts w:ascii="Arial" w:hAnsi="Arial"/>
        </w:rPr>
        <w:t xml:space="preserve">, and the prevalence-independent AUROC also falls (</w:t>
      </w:r>
      <w:r>
        <w:rPr>
          <w:rFonts w:ascii="Arial" w:hAnsi="Arial"/>
        </w:rPr>
        <w:t xml:space="preserve">0.838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0.714</w:t>
      </w:r>
      <w:r>
        <w:rPr>
          <w:rFonts w:ascii="Arial" w:hAnsi="Arial"/>
        </w:rPr>
        <w:t xml:space="preserve">; Fig. 2b,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Supplementary S21). On T4, ablating monitoring-intensity features lowers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lead action-level AUPRC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0.421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0.302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(ΔAUPRC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−0.119</w:t>
      </w:r>
      <w:r>
        <w:rPr>
          <w:rFonts w:ascii="Arial" w:hAnsi="Arial"/>
        </w:rPr>
        <w:t xml:space="preserve">, p_FDR &lt; 0.001;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Fig. 2b, Extended Data Table 1), once a target-leakage artifact that had inflated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T4 baseline to 0.902 is removed (see T4 below). The two confounds compound: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leakage inflates the evaluation, ascertainment inflates what the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can learn. The sections below decompose how much skill survives once both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removed.</w:t>
      </w:r>
    </w:p>
    <w:bookmarkEnd w:id="11"/>
    <w:bookmarkStart w:id="12" w:name="X1799d37131acfd6779661e3431fd30654297f5f"/>
    <w:p>
      <w:pPr>
        <w:pStyle w:val="Heading3"/>
        <w:spacing w:lineRule="auto" w:line="360"/>
      </w:pPr>
      <w:r>
        <w:rPr>
          <w:rFonts w:ascii="Arial" w:hAnsi="Arial"/>
        </w:rPr>
        <w:t xml:space="preserve">Benchmark performance under geographic evaluation (Table 2, Extended Data Fig. 5)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Under geographically stratified evaluation, AquaContam defines seven benchmark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tasks across 20 model families (Table 2 ranks the converged T1 detection task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its primary, leakage-resistant protocol; complete multi-task results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Supplementary Table 9). These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numbers a careful study would report after controlling the first confound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(spatial leakage) but not the second (ascertainment); the sections below show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how much of this skill the monitoring process accounts for.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T1: PFAS binary detection.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 the leakage-resistant LORO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protocol by which Table 2 ranks the families, the tree and ensemble models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cluster tightly at a mean AUROC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(CatBoost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0.790</w:t>
      </w:r>
      <w:r>
        <w:rPr>
          <w:rFonts w:ascii="Arial" w:hAnsi="Arial"/>
        </w:rPr>
        <w:t xml:space="preserve">; XGBoost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),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transportable, provenance-reduced signal is more modest still (out-of-region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). On the single fixed West-only split, XGBoost attains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higher test AUROC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(seed 42, with a 5-seed mean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0.003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the same headline harness)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primary metric AUPRC (</w:t>
      </w:r>
      <w:r>
        <w:rPr>
          <w:rFonts w:ascii="Arial" w:hAnsi="Arial"/>
        </w:rPr>
        <w:t xml:space="preserve">0.781</w:t>
      </w:r>
      <w:r>
        <w:rPr>
          <w:rFonts w:ascii="Arial" w:hAnsi="Arial"/>
        </w:rPr>
        <w:t xml:space="preserve">), with LightGBM and Random Forest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close behind. That split’s test set contains region 10, the highest-prevalence (detection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0.433</w:t>
      </w:r>
      <w:r>
        <w:rPr>
          <w:rFonts w:ascii="Arial" w:hAnsi="Arial"/>
        </w:rPr>
        <w:t xml:space="preserve">) and most separable (held-out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0.971</w:t>
      </w:r>
      <w:r>
        <w:rPr>
          <w:rFonts w:ascii="Arial" w:hAnsi="Arial"/>
        </w:rPr>
        <w:t xml:space="preserve">) region, so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optimistic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upper end of the paper’s T1 estimates rather than the deployment-relevant figure. DeLong tests with FDR correction confirm that the top models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significantly outperform most individual models, though differences among the top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tree models are not significant, consistent with the broader finding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tree-based models still outperform deep learning on tabular data</w:t>
      </w:r>
      <w:r>
        <w:rPr>
          <w:rFonts w:ascii="Arial" w:hAnsi="Arial"/>
          <w:vertAlign w:val="superscript"/>
        </w:rPr>
        <w:t xml:space="preserve">27,28</w:t>
      </w:r>
      <w:r>
        <w:rPr>
          <w:rFonts w:ascii="Arial" w:hAnsi="Arial"/>
        </w:rPr>
        <w:t xml:space="preserve">. The headline is seed-stable: the five-seed spread on its own harness is a few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thousandths of a point, so it is not a favorable-seed artifact. Several T1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figures recur in this paper. They come from different harnesses, meaning different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combinations of feature set, system population, and splitting protocol, and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conflicting estimates of one quantity (Methods, Supplementary S11).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single geographic split is one draw, and its i.i.d. bootstrap confidence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intervals are anti-conservative under the residual spatial autocorrelation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documented in the Supplementary Information. Table 2 ranks the T1 families by their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leave-one-region-out (LORO) mean AUROC across the ten EPA regions,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leakage-resistant protocol, and shows the fixed West-only geographic split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alongside as a transparent secondary comparison.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ranking flips under LORO: CatBoost leads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0.790</w:t>
      </w:r>
      <w:r>
        <w:rPr>
          <w:rFonts w:ascii="Arial" w:hAnsi="Arial"/>
        </w:rPr>
        <w:t xml:space="preserve">, followed by the voting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ensemble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0.784</w:t>
      </w:r>
      <w:r>
        <w:rPr>
          <w:rFonts w:ascii="Arial" w:hAnsi="Arial"/>
        </w:rPr>
        <w:t xml:space="preserve">, while the fixed-split leader XGBoost falls to third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). The top tree and ensemble families are statistically comparable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top (the benchmark is underpowered to separate the leading two, Supplementary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S19), so the benchmark’s value is the honest, reproducible protocol rather than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single winner: tree ensembles are the strong baseline to beat.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All fourteen families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 the full leave-one-region-out protocol. The two graph networks sit at the bottom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because the geographic split leaves their test regions with no graph edges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nodes, so no message passes between them and their inductive inference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reduces to node-wise linear transforms. TabPFN ran under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3,000-sample stratified subsample on every fold. Table 2 reports default-configuration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seed-42 results for reproducibility.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T4: Heavy metal prediction (a target-leakage cautionary case).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action-level exceedance appeared to yield the strongest nominal performance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any task (tree models reaching AUROC 0.962), but this was almost entirely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artifact of target leakage. For SDWIS, the sole T4 source, the Lead and Copper Rule reports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90th-percentile compliance results that are essentially never left-censored, so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per-system mean reporting limit equals the mean measured lead concentration;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filed among the monitoring-intensity features, it leaked the action-level target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(Methods). Recomputing the reporting limit as missing for detected samples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re-running T4 reduces XGBoost to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(95% CI: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0.690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0.708</w:t>
      </w:r>
      <w:r>
        <w:rPr>
          <w:rFonts w:ascii="Arial" w:hAnsi="Arial"/>
        </w:rPr>
        <w:t xml:space="preserve">)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AUPRC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0.387</w:t>
      </w:r>
      <w:r>
        <w:rPr>
          <w:rFonts w:ascii="Arial" w:hAnsi="Arial"/>
        </w:rPr>
        <w:t xml:space="preserve">. Of the skill that remains,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intensity still contributes: ablating it lowers AUPRC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0.421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0.302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(ΔAUPRC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−0.119</w:t>
      </w:r>
      <w:r>
        <w:rPr>
          <w:rFonts w:ascii="Arial" w:hAnsi="Arial"/>
        </w:rPr>
        <w:t xml:space="preserve">, p_FDR &lt; 0.001; Fig. 2b, Extended Data Table 1),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provenance-reduced model reaches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(Table 3),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monitoring-invariant ICP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0.587</w:t>
      </w:r>
      <w:r>
        <w:rPr>
          <w:rFonts w:ascii="Arial" w:hAnsi="Arial"/>
        </w:rPr>
        <w:t xml:space="preserve">. Lead sampling intensity is, however,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partly a confound: under the Lead and Copper Rule, systems that exceed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action level must sample more sites on stricter schedules (40 CFR 141.86), so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sample count is mechanistically coupled to genuine elevated risk as well as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ascertainment. T4 thus illustrates two hazards of administrative water-quality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records, target leakage and ascertainment confounding, rather than geographic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generalization.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T2: Concentration regression (negative result).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models yield R² near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below zero on the linear concentration scale,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including censoring-aware architectures (Tobit, AFT, Hurdle; Supplementary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S25). We interpret this cautiously: on a heavily right-skewed, mostly censored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target the linear-scale R² is a demanding metric, and rank-based concordance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likewise weak (Hurdle concordance near chance). Within the limits of these features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scales, system-level geospatial features show little ability to predict PFAS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concentration magnitude given detection. Concentration variability is likely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governed by within-system factors (wellhead depth, treatment technology,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 water hydrochemistry)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absent from the feature set. T2 documents a prediction boundary rather than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open challenge: resolving it requires fundamentally different data, not better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models.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Other tasks.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Multi-PFAS profiling (T3) achieves micro-AUROC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0.765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cross-contaminant transfer (T5)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0.715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(monitoring-mediated;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Supplementary Fig. 1), and temporal prediction (T7)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significant feature distribution shifts between UCMR3 and UCMR5 eras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S24).</w:t>
      </w:r>
    </w:p>
    <w:bookmarkEnd w:id="12"/>
    <w:bookmarkStart w:id="13" w:name="X5272c79fb00d491b98ca8458883c2f528691197"/>
    <w:p>
      <w:pPr>
        <w:pStyle w:val="Heading3"/>
        <w:spacing w:lineRule="auto" w:line="360"/>
      </w:pPr>
      <w:r>
        <w:rPr>
          <w:rFonts w:ascii="Arial" w:hAnsi="Arial"/>
        </w:rPr>
        <w:t xml:space="preserve">Feature importance and adjusted association analysis (Fig. 3, Extended Data Fig. 2, Extended Data Table 1)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SHAP analysis</w:t>
      </w:r>
      <w:r>
        <w:rPr>
          <w:rFonts w:ascii="Arial" w:hAnsi="Arial"/>
          <w:vertAlign w:val="superscript"/>
        </w:rPr>
        <w:t xml:space="preserve">29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the T1 XGBoost model shows directly that the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learns the monitoring process (Fig. 3a). The two highest-magnitude features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monitoring proxies: the number of samples per system,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monitoring-intensity measure (mean |SHAP|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0.383</w:t>
      </w:r>
      <w:r>
        <w:rPr>
          <w:rFonts w:ascii="Arial" w:hAnsi="Arial"/>
        </w:rPr>
        <w:t xml:space="preserve">),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owner-type missingness indicator, which encodes which database reported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system, a data-source provenance proxy (</w:t>
      </w:r>
      <w:r>
        <w:rPr>
          <w:rFonts w:ascii="Arial" w:hAnsi="Arial"/>
        </w:rPr>
        <w:t xml:space="preserve">0.287</w:t>
      </w:r>
      <w:r>
        <w:rPr>
          <w:rFonts w:ascii="Arial" w:hAnsi="Arial"/>
        </w:rPr>
        <w:t xml:space="preserve">). Environmental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source-water features follow (wetland fraction, ground-water source type,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population served), and the mean detection limit contributes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0.045</w:t>
      </w:r>
      <w:r>
        <w:rPr>
          <w:rFonts w:ascii="Arial" w:hAnsi="Arial"/>
        </w:rPr>
        <w:t xml:space="preserve">. When the ten provenance and monitoring features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removed, attributions shift to substantive predictors: system type, 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water type, wetland fraction, land use, and aquifer lithology (Fig. 3b);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these are the environmental drivers the field intends these models to learn.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Drop-one-category ablation with train-only imputation and paired bootstrap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testing (n = 1,000; Benjamini-Hochberg FDR correction across categories)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confirms a task-dependent monitoring dependence pattern: removing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monitoring-intensity features reduces AUPRC on both tasks, with a substantially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larger and more robust effect for T4 (Fig. 2b, Extended Data Table 1)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persists even after the leakage artifact is removed.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strongest evidence of T1 ascertainment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therefore the removal of detection-only sources (AUPRC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0.343</w:t>
      </w:r>
      <w:r>
        <w:rPr>
          <w:rFonts w:ascii="Arial" w:hAnsi="Arial"/>
        </w:rPr>
        <w:t xml:space="preserve">)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provenance-reduced LORO drop (below), not feature ablation. Among environmental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features, proximity to Superfund sites and WWTP count rank highest, consistent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known PFAS sources</w:t>
      </w:r>
      <w:r>
        <w:rPr>
          <w:rFonts w:ascii="Arial" w:hAnsi="Arial"/>
          <w:vertAlign w:val="superscript"/>
        </w:rPr>
        <w:t xml:space="preserve">30</w:t>
      </w:r>
      <w:r>
        <w:rPr>
          <w:rFonts w:ascii="Arial" w:hAnsi="Arial"/>
        </w:rPr>
        <w:t xml:space="preserve">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To separate confounded from adjusted associations, we apply double machine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learning (DML)</w:t>
      </w:r>
      <w:r>
        <w:rPr>
          <w:rFonts w:ascii="Arial" w:hAnsi="Arial"/>
          <w:vertAlign w:val="superscript"/>
        </w:rPr>
        <w:t xml:space="preserve">31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standardized (per 1-s.d.) coefficients to the T1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 set. DML re-estimates each feature’s association with detection after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using machine learning to residualize out the monitoring and system-size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confounders. Adjusted AUROC drops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0.835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0.729</w:t>
      </w:r>
      <w:r>
        <w:rPr>
          <w:rFonts w:ascii="Arial" w:hAnsi="Arial"/>
        </w:rPr>
        <w:t xml:space="preserve">, indicating that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substantial share of discrimination arises from feature confounding.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aggregate rank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correlation between DML and SHAP orderings is modest but significant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(Spearman ρ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0.24</w:t>
      </w:r>
      <w:r>
        <w:rPr>
          <w:rFonts w:ascii="Arial" w:hAnsi="Arial"/>
        </w:rPr>
        <w:t xml:space="preserve">, p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0.032</w:t>
      </w:r>
      <w:r>
        <w:rPr>
          <w:rFonts w:ascii="Arial" w:hAnsi="Arial"/>
        </w:rPr>
        <w:t xml:space="preserve">, over the 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80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features ranked in both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orderings; DML coefficients are estimated for all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130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features), and a grouped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permutation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 finds no feature category with significantly larger mean rank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displacement than chance (Supplementary S14). Individual features nonetheless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reorder substantially: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69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130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FDR-corrected coefficients are significant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(p_FDR &lt; 0.05), of which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carry no evidential weight: residualizing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out the monitoring confounders leaves them almost no variation, so their adjusted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associations are not identified under the overlap assumption (Supplementary S14).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largest displacements are environmental rather than demographic.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Among demographics the adjustment moves the two flagged groups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opposite directions.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pct_people_of_color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most-upranked demographic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(from SHAP rank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DML rank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12</w:t>
      </w:r>
      <w:r>
        <w:rPr>
          <w:rFonts w:ascii="Arial" w:hAnsi="Arial"/>
        </w:rPr>
        <w:t xml:space="preserve">) and retains a significant adjusted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association (standardized effect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+</w:t>
      </w:r>
      <w:r>
        <w:rPr>
          <w:rFonts w:ascii="Arial" w:hAnsi="Arial"/>
        </w:rPr>
        <w:t xml:space="preserve">0.022</w:t>
      </w:r>
      <w:r>
        <w:rPr>
          <w:rFonts w:ascii="Arial" w:hAnsi="Arial"/>
        </w:rPr>
        <w:t xml:space="preserve">, p_FDR &lt; 0.001) that is robust through Rosenbaum Γ = 3.0.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pct_low_income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attenuates and no longer carries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significant adjusted association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(p_FDR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0.54</w:t>
      </w:r>
      <w:r>
        <w:rPr>
          <w:rFonts w:ascii="Arial" w:hAnsi="Arial"/>
        </w:rPr>
        <w:t xml:space="preserve">), consistent with its apparent correlational signal being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largely monitoring-mediated. We read this as absence of evidence, not evidence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absence. The coefficient is also the most fragile in the sensitivity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analysis, tipping at Rosenbaum Γ*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1.0</w:t>
      </w:r>
      <w:r>
        <w:rPr>
          <w:rFonts w:ascii="Arial" w:hAnsi="Arial"/>
        </w:rPr>
        <w:t xml:space="preserve">, where Γ indexes how strong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unmeasured confounder would have to be to overturn a result. It concerns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detection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model’s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 attribution, not the population-level contamination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disparity, which is separately estimated by the burden ratio below and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robust to monitoring-propensity adjustment. Industrial-proximity features and Superfund proximity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retain the strongest adjusted associations (industrial facility counts 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prox_superfund</w:t>
      </w:r>
      <w:r>
        <w:rPr>
          <w:rFonts w:ascii="Arial" w:hAnsi="Arial"/>
        </w:rPr>
        <w:t xml:space="preserve">, p_FDR &lt; 0.001), with airport, landfill, and WWTP distances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also significant (p_FDR &lt; 0.05), supporting mechanistic relevance (Extended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 Fig. 4, Supplementary Table 3).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These DML estimates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adjusted associations, not causal effects, and are substantively fragile.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130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coefficients remain significant through Γ = 3.0 on a Rosenbaum-style sensitivity index,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large-sample effect. That index is an adaptation computed on the regression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scale without a matched design, so it is a heuristic robustness screen rather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the original bounded test (Methods and S20). All E-values are nonetheless uniformly small, so a weak unmeasured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confounder could explain individual point estimates, 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pct_low_income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most fragile, tipping at Γ*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Table 16, S20).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 third route penalizes the model during training for encoding who did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monitoring. Our Invariant Contamination Predictor (ICP) keeps all features but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trained so that a competing adversary network cannot recover the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confounders from its internal representation; the adversary’s gradients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reversed, so the encoder is pushed to hide exactly what the adversary seeks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(Extended Data Fig. 4, Supplementary Table 13). We name it by analogy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invariance-based learning; it is distinct from the Invariant Causal Prediction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framework</w:t>
      </w:r>
      <w:r>
        <w:rPr>
          <w:rFonts w:ascii="Arial" w:hAnsi="Arial"/>
          <w:vertAlign w:val="superscript"/>
        </w:rPr>
        <w:t xml:space="preserve">32</w:t>
      </w:r>
      <w:r>
        <w:rPr>
          <w:rFonts w:ascii="Arial" w:hAnsi="Arial"/>
        </w:rPr>
        <w:t xml:space="preserve">. Trained to convergence, the ICP attains T1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0.731</w:t>
      </w:r>
      <w:r>
        <w:rPr>
          <w:rFonts w:ascii="Arial" w:hAnsi="Arial"/>
        </w:rPr>
        <w:t xml:space="preserve">, about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five points below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provenance-feature dropping (Table 3),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deliberate accuracy cost paid for monitoring invariance. The invariance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substantial but partial: a held-out probe recovers data-source provenance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the ICP representation at only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0.64</w:t>
      </w:r>
      <w:r>
        <w:rPr>
          <w:rFonts w:ascii="Arial" w:hAnsi="Arial"/>
        </w:rPr>
        <w:t xml:space="preserve">, below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obtainable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raw features (Supplementary S17). The representation therefore carries less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information than the inputs themselves, even though those inputs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remain entangled with retained features such as population served or system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type (adversarial, not a formal guarantee). Feature ablation removes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signal by discarding features; DML adjusts post-hoc; ICP penalizes it at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representation level (Supplementary S17).</w:t>
      </w:r>
    </w:p>
    <w:bookmarkEnd w:id="13"/>
    <w:bookmarkStart w:id="14" w:name="X4421aaa9b8d905661e86e9988a3b932bab659c5"/>
    <w:p>
      <w:pPr>
        <w:pStyle w:val="Heading3"/>
        <w:spacing w:lineRule="auto" w:line="360"/>
      </w:pPr>
      <w:r>
        <w:rPr>
          <w:rFonts w:ascii="Arial" w:hAnsi="Arial"/>
        </w:rPr>
        <w:t xml:space="preserve">The monitoring-invariant environmental signal is modest (Table 3)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Table 3 decomposes how much predictive skill survives when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information is removed, by three complementary routes. Under the geographic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holdout, dropping the ten provenance and monitoring features costs T1 XGBoost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about seven points of AUROC (</w:t>
      </w:r>
      <w:r>
        <w:rPr>
          <w:rFonts w:ascii="Arial" w:hAnsi="Arial"/>
        </w:rPr>
        <w:t xml:space="preserve">0.864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0.785</w:t>
      </w:r>
      <w:r>
        <w:rPr>
          <w:rFonts w:ascii="Arial" w:hAnsi="Arial"/>
        </w:rPr>
        <w:t xml:space="preserve">) and also lowers the primary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metric AUPRC (</w:t>
      </w:r>
      <w:r>
        <w:rPr>
          <w:rFonts w:ascii="Arial" w:hAnsi="Arial"/>
        </w:rPr>
        <w:t xml:space="preserve">0.781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0.698</w:t>
      </w:r>
      <w:r>
        <w:rPr>
          <w:rFonts w:ascii="Arial" w:hAnsi="Arial"/>
        </w:rPr>
        <w:t xml:space="preserve">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same removal reduces the corrected T4 model much further,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apparent 0.962 was a target-leakage artifact). The contrast quantifies how differently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two tasks depend on the monitoring process.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representation-level ICP attains T1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0.731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(adversarially suppressing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targeted monitoring-intensity confounders; the recoverability probe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Supplementary S17 confirms the representation hides data-source provenance,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raw features), and post-hoc DML adjustment yields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0.729</w:t>
      </w:r>
      <w:r>
        <w:rPr>
          <w:rFonts w:ascii="Arial" w:hAnsi="Arial"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decisive test is out-of-region transport. Under LORO cross-validation,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using the same system-count-weighted estimator for both models,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with-provenance T1 model transports at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(unweighted fold mean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; 95% region-block-bootstrap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0.705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0.860</w:t>
      </w:r>
      <w:r>
        <w:rPr>
          <w:rFonts w:ascii="Arial" w:hAnsi="Arial"/>
        </w:rPr>
        <w:t xml:space="preserve">)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provenance-reduced model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(95% region-block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0.769</w:t>
      </w:r>
      <w:r>
        <w:rPr>
          <w:rFonts w:ascii="Arial" w:hAnsi="Arial"/>
        </w:rPr>
        <w:t xml:space="preserve">). The two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intervals overlap, so the with-versus-without transport difference is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itself significant at the region level.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These region-block-bootstrap intervals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resample only ten EPA-region clusters and are anti-conservative. The honest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cluster-robust t(9) recalibration (Supplementary S17) widens the provenance-reduced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0.606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0.783</w:t>
      </w:r>
      <w:r>
        <w:rPr>
          <w:rFonts w:ascii="Arial" w:hAnsi="Arial"/>
        </w:rPr>
        <w:t xml:space="preserve">, which still excludes chance, so we read the interval as indicative. Because the provenance-reduced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 set retains a small documented re-encoding channel (Supplementary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S17), we read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 an upper-bound estimate of the transportable environmental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signal. The monitoring-invariant ICP gives a comparable out-of-region estimate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(leave-one-region-out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0.713</w:t>
      </w:r>
      <w:r>
        <w:rPr>
          <w:rFonts w:ascii="Arial" w:hAnsi="Arial"/>
        </w:rPr>
        <w:t xml:space="preserve">, close to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0.731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in-region value), so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two honest estimators broadly agree rather than one being decisively stricter.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This mean conceals wide regional variation. The provenance-reduced model is weak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held-out regions where it is most challenged (AUROC as low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0.57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only marginally above chance though formally significant given the large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per-region samples), yet it reaches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strongest 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S9).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transportable signal is therefore real on average but not uniformly available. For T4,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once the target-leakage artifact is removed, the out-of-region contrast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modest: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0.676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0.041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provenance versus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0.543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without, far below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leakage-inflated value the uncorrected model had reported. Physically this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expected outcome: lead and copper action-level exceedances arise largely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corrosion control and premise plumbing rather than source-water quality,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 near-chance skill from source-water environmental features is anticipated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mechanistic grounds.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Modest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discrimination can still carry deployment value. The monitoring-free T1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concentrates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3.0</w:t>
      </w:r>
      <w:r>
        <w:rPr>
          <w:rFonts w:ascii="Arial" w:hAnsi="Arial"/>
        </w:rPr>
        <w:t xml:space="preserve">-fold more detections in its top risk decile than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test-set prevalence (Supplementary Table 10). The prioritization also survives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out-of-region deployment scenario: scoring every system with the LORO model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held out its region yields a pooled out-of-fold top-decile lift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2.97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(system-count-weighted within-region lift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2.72</w:t>
      </w:r>
      <w:r>
        <w:rPr>
          <w:rFonts w:ascii="Arial" w:hAnsi="Arial"/>
        </w:rPr>
        <w:t xml:space="preserve">; frozen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loro_lift.json</w:t>
      </w:r>
      <w:r>
        <w:rPr>
          <w:rFonts w:ascii="Arial" w:hAnsi="Arial"/>
        </w:rPr>
        <w:t xml:space="preserve">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is enough to usefully prioritize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within the monitored population, provided that its limits,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including the near-chance regions above, are stated honestly. These lift figures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score the detection target; the regulatorily-actionable target is MCL exceedance,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which is harder to predict. On a matched fixed-split harness the exceedance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reaches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0.719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AUPRC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0.515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concentrates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2.68</w:t>
      </w:r>
      <w:r>
        <w:rPr>
          <w:rFonts w:ascii="Arial" w:hAnsi="Arial"/>
        </w:rPr>
        <w:t xml:space="preserve">-fold more exceedances in its top decile, versus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0.807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3.06</w:t>
      </w:r>
      <w:r>
        <w:rPr>
          <w:rFonts w:ascii="Arial" w:hAnsi="Arial"/>
        </w:rPr>
        <w:t xml:space="preserve">-fold lift for detection, a nine-point AUROC gap (frozen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mcl_lift.json</w:t>
      </w:r>
      <w:r>
        <w:rPr>
          <w:rFonts w:ascii="Arial" w:hAnsi="Arial"/>
        </w:rPr>
        <w:t xml:space="preserve">), so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detection-based scores are a weaker but still useful proxy for exceedance risk.</w:t>
      </w:r>
    </w:p>
    <w:bookmarkEnd w:id="14"/>
    <w:bookmarkStart w:id="15" w:name="X22d5528ae09db9d9f8bb0390870ac62c7772462"/>
    <w:p>
      <w:pPr>
        <w:pStyle w:val="Heading3"/>
        <w:spacing w:lineRule="auto" w:line="360"/>
      </w:pPr>
      <w:r>
        <w:rPr>
          <w:rFonts w:ascii="Arial" w:hAnsi="Arial"/>
        </w:rPr>
        <w:t xml:space="preserve">Inequitable monitoring is an environmental justice issue (Fig. 4, Extended Data Table 2)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Nationally, the PFAS detection burden along the percent-people-of-color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dimension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1.48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(95% block-bootstrap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1.24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1.88</w:t>
      </w:r>
      <w:r>
        <w:rPr>
          <w:rFonts w:ascii="Arial" w:hAnsi="Arial"/>
        </w:rPr>
        <w:t xml:space="preserve">; system-count-weighted mean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across all 10 EPA regions). That national mean conceals substantial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regional variation: the western test region yields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1.34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(n_high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437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n_ref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1,080</w:t>
      </w:r>
      <w:r>
        <w:rPr>
          <w:rFonts w:ascii="Arial" w:hAnsi="Arial"/>
        </w:rPr>
        <w:t xml:space="preserve">) and the regional maximum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2.57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(region 7), itself marginally FDR-significant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(p_FDR ≈ 0.05; Supplementary Table 20). Because multiple-comparison control is applied within each demographic family but not across the per-region maxima, this single-region extremum is exploratory.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How many regions reach significance depends on the null distribution used.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10 regions are FDR-significant under a label-shuffle null but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 a spatially-aware rotation null on a common assembly, so the naive per-region test is mildly anti-conservative. The national people-of-color monitoring-intensity disparity itself remains significant under a stratified-by-region permutation (p &lt;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0.001</w:t>
      </w:r>
      <w:r>
        <w:rPr>
          <w:rFonts w:ascii="Arial" w:hAnsi="Arial"/>
        </w:rPr>
        <w:t xml:space="preserve">, Supplementary S14).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test-set high-versus-low contrast is also robust to the cutpoint choice: re-deriving the people-of-color burden ratio under a symmetric median split and an interquartile split spans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1.72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1.91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around the published 80th-versus-50th estimate, with the direction unchanged in every scheme (frozen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cutpoint_sensitivity.json</w:t>
      </w:r>
      <w:r>
        <w:rPr>
          <w:rFonts w:ascii="Arial" w:hAnsi="Arial"/>
        </w:rPr>
        <w:t xml:space="preserve">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Adjusting for who gets monitored does not eliminate the disparity. Across the geographic test set, inverse-propensity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weighting (IPW) attenuates the people-of-color burden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1.62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(still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significant, p &lt; 0.001). That adjustment covers observed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confounders; it does not necessarily account for unobserved selection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 the missing-not-at-random (MNAR) assumption (Methods).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disparity is also stable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spatial scale of demographic attribution: population-weighted areal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apportionment over all block groups within a service-area buffer of each system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leaves it qualitatively unchanged (</w:t>
      </w:r>
      <w:r>
        <w:rPr>
          <w:rFonts w:ascii="Arial" w:hAnsi="Arial"/>
        </w:rPr>
        <w:t xml:space="preserve">1.88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single-nearest versus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1.69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1.59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5-km and 10-km buffers; Supplementary Table 26), so the single-block-group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attribution does not drive the result. Disparity direction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region-dependent: income and education burden ratios are elevated in the west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but sit near parity nationally, a pattern single-region analyses miss. In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geographically held-out test set the per-group discrimination is similar across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groups (per-group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high versus low share; Extended Data Table 2).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This equity analysis excludes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692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 systems (</w:t>
      </w:r>
      <w:r>
        <w:rPr>
          <w:rFonts w:ascii="Arial" w:hAnsi="Arial"/>
        </w:rPr>
        <w:t xml:space="preserve">18.3</w:t>
      </w:r>
      <w:r>
        <w:rPr>
          <w:rFonts w:ascii="Arial" w:hAnsi="Arial"/>
        </w:rPr>
        <w:t xml:space="preserve">% of the test set) whose demographics could not be attributed; the model is unusually accurate on that group (AUROC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0.984</w:t>
      </w:r>
      <w:r>
        <w:rPr>
          <w:rFonts w:ascii="Arial" w:hAnsi="Arial"/>
        </w:rPr>
        <w:t xml:space="preserve">), consistent with those being better-recorded systems, so excluding them is conservative for the disparity estimates.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deployment-relevant error profile still disfavors high-people-of-color systems: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the operating threshold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model leaves more contaminated high-share systems unflagged (false-negative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0.44</w:t>
      </w:r>
      <w:r>
        <w:rPr>
          <w:rFonts w:ascii="Arial" w:hAnsi="Arial"/>
        </w:rPr>
        <w:t xml:space="preserve">) and is more poorly calibrated for them (expected calibration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0.06</w:t>
      </w:r>
      <w:r>
        <w:rPr>
          <w:rFonts w:ascii="Arial" w:hAnsi="Arial"/>
        </w:rPr>
        <w:t xml:space="preserve">; Supplementary Table 25).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These gaps must be read against markedly different group base rates (detection prevalence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0.19</w:t>
      </w:r>
      <w:r>
        <w:rPr>
          <w:rFonts w:ascii="Arial" w:hAnsi="Arial"/>
        </w:rPr>
        <w:t xml:space="preserve">). When base rates differ, no single operating threshold can equalize error rates and calibration at the same time</w:t>
      </w:r>
      <w:r>
        <w:rPr>
          <w:rFonts w:ascii="Arial" w:hAnsi="Arial"/>
          <w:vertAlign w:val="superscript"/>
        </w:rPr>
        <w:t xml:space="preserve">33,34</w:t>
      </w:r>
      <w:r>
        <w:rPr>
          <w:rFonts w:ascii="Arial" w:hAnsi="Arial"/>
        </w:rPr>
        <w:t xml:space="preserve">. Part of the gap therefore reflects that impossibility rather than remediable model bias alone. It remains a fairness concern specific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this dimension and region that warrants deployment caution, consistent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longstanding environmental justice concerns</w:t>
      </w:r>
      <w:r>
        <w:rPr>
          <w:rFonts w:ascii="Arial" w:hAnsi="Arial"/>
          <w:vertAlign w:val="superscript"/>
        </w:rPr>
        <w:t xml:space="preserve">35,36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with documented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sociodemographic disparities in PFAS exposure and pollution burden</w:t>
      </w:r>
      <w:r>
        <w:rPr>
          <w:rFonts w:ascii="Arial" w:hAnsi="Arial"/>
          <w:vertAlign w:val="superscript"/>
        </w:rPr>
        <w:t xml:space="preserve">37,38,39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in public drinking-water arsenic and uranium</w:t>
      </w:r>
      <w:r>
        <w:rPr>
          <w:rFonts w:ascii="Arial" w:hAnsi="Arial"/>
          <w:vertAlign w:val="superscript"/>
        </w:rPr>
        <w:t xml:space="preserve">40</w:t>
      </w:r>
      <w:r>
        <w:rPr>
          <w:rFonts w:ascii="Arial" w:hAnsi="Arial"/>
        </w:rPr>
        <w:t xml:space="preserve">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monitoring process is itself inequitably allocated (Fig. 4). Among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monitored systems, those serving high shares of people of color are sampled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-fold more intensively than low-share systems (</w:t>
      </w:r>
      <w:r>
        <w:rPr>
          <w:rFonts w:ascii="Arial" w:hAnsi="Arial"/>
        </w:rPr>
        <w:t xml:space="preserve">14.3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7.7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samples 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system, permutation p &lt; 0.001), and the association persists after adjusting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system size (+</w:t>
      </w:r>
      <w:r>
        <w:rPr>
          <w:rFonts w:ascii="Arial" w:hAnsi="Arial"/>
        </w:rPr>
        <w:t xml:space="preserve">0.060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log-samples per 1-s.d., p &lt; 0.001). Low-income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communities are under-sampled (</w:t>
      </w:r>
      <w:r>
        <w:rPr>
          <w:rFonts w:ascii="Arial" w:hAnsi="Arial"/>
        </w:rPr>
        <w:t xml:space="preserve">0.78</w:t>
      </w:r>
      <w:r>
        <w:rPr>
          <w:rFonts w:ascii="Arial" w:hAnsi="Arial"/>
        </w:rPr>
        <w:t xml:space="preserve">-fold) while low-education sampling is near parity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Fonts w:ascii="Arial" w:hAnsi="Arial"/>
        </w:rPr>
        <w:t xml:space="preserve">0.96</w:t>
      </w:r>
      <w:r>
        <w:rPr>
          <w:rFonts w:ascii="Arial" w:hAnsi="Arial"/>
        </w:rPr>
        <w:t xml:space="preserve">-fold), with size-adjusted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coefficients (</w:t>
      </w:r>
      <w:r>
        <w:rPr>
          <w:rFonts w:ascii="Arial" w:hAnsi="Arial"/>
        </w:rPr>
        <w:t xml:space="preserve">−0.107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−0.024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 1-s.d.). Surveillance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thus unevenly distributed along multiple demographic axes simultaneously,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opposite directions; because recorded detections scale with sampling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effort, this differential ascertainment biases both contamination estimates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 equity conclusions drawn from them. Monitoring allocation, not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contamination, is an environmental justice outcome.</w:t>
      </w:r>
    </w:p>
    <w:bookmarkEnd w:id="15"/>
    <w:bookmarkStart w:id="16" w:name="Xe8291de8ce454c660d651604232ce94a0eb9392"/>
    <w:p>
      <w:pPr>
        <w:pStyle w:val="Heading3"/>
        <w:spacing w:lineRule="auto" w:line="360"/>
      </w:pPr>
      <w:r>
        <w:rPr>
          <w:rFonts w:ascii="Arial" w:hAnsi="Arial"/>
        </w:rPr>
        <w:t xml:space="preserve">Generality beyond PFAS and deployment under honest uncertainty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The confound decomposition generalizes beyond PFAS. On a geogenic contaminant,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arsenic in the USGS National Groundwater Aggregation, geographic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stratification reduces exceedance AUROC by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relative to random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splitting (</w:t>
      </w:r>
      <w:r>
        <w:rPr>
          <w:rFonts w:ascii="Arial" w:hAnsi="Arial"/>
        </w:rPr>
        <w:t xml:space="preserve">0.86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</w:t>
      </w:r>
      <w:r>
        <w:rPr>
          <w:rFonts w:ascii="Arial" w:hAnsi="Arial"/>
        </w:rPr>
        <w:t xml:space="preserve">, random forest). Zero-shot transfer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public-supply to domestic wells (AUROC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0.72</w:t>
      </w:r>
      <w:r>
        <w:rPr>
          <w:rFonts w:ascii="Arial" w:hAnsi="Arial"/>
        </w:rPr>
        <w:t xml:space="preserve">) matches the in-distribution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 holdout for every model (Supplementary Table 24). For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43 million Americans on unmonitored domestic wells, cross-region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generalization is therefore the limiting factor.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For deployment, the trained models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generate national PFOS and lead risk surfaces with conformal prediction sets,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which are built to contain the true outcome a specified fraction of the time.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Their observed marginal conformal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coverage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0.910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α = 0.05, modestly below the nominal target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reported as observed coverage rather than a delivered guarantee (Supplementary S6).</w:t>
      </w:r>
    </w:p>
    <w:bookmarkEnd w:id="16"/>
    <w:bookmarkEnd w:id="17"/>
    <w:bookmarkStart w:id="18" w:name="discussion"/>
    <w:p>
      <w:pPr>
        <w:pStyle w:val="Heading2"/>
        <w:spacing w:lineRule="auto" w:line="360"/>
      </w:pPr>
      <w:r>
        <w:rPr>
          <w:rFonts w:ascii="Arial" w:hAnsi="Arial"/>
        </w:rPr>
        <w:t xml:space="preserve">Discussion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The dominant learnable signal in U.S. drinking-water contamination records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monitoring process itself. Two compounding confounds produce this. The first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leakage in evaluation (AUPRC inflation of up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58</w:t>
      </w:r>
      <w:r>
        <w:rPr>
          <w:rFonts w:ascii="Arial" w:hAnsi="Arial"/>
        </w:rPr>
        <w:t xml:space="preserve">% under random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splitting, persisting under a size-matched control;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Extended Data Table 4). The second is ascertainment in the data-generating process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(detection-only sources, monitoring intensity, and data-source provenance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collapse T1 AUPRC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0.343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T4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0.421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0.302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removed, the apparent 0.902 T4 baseline having been a target-leakage artifact).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decomposition in Table 3 separates the two: controlling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geography but not ascertainment yields T1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0.864</w:t>
      </w:r>
      <w:r>
        <w:rPr>
          <w:rFonts w:ascii="Arial" w:hAnsi="Arial"/>
        </w:rPr>
        <w:t xml:space="preserve">; additionally removing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provenance yields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in-region but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0.769</w:t>
      </w:r>
      <w:r>
        <w:rPr>
          <w:rFonts w:ascii="Arial" w:hAnsi="Arial"/>
        </w:rPr>
        <w:t xml:space="preserve">) out-of-region,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upper-bound estimate of the transportable environmental signal. That figure sits well below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both prior reports of &gt;0.90 under random cross-validation and our own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with-provenance LORO mean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0.705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0.860</w:t>
      </w:r>
      <w:r>
        <w:rPr>
          <w:rFonts w:ascii="Arial" w:hAnsi="Arial"/>
        </w:rPr>
        <w:t xml:space="preserve">). This reframes spatial leakage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findings from ecology</w:t>
      </w:r>
      <w:r>
        <w:rPr>
          <w:rFonts w:ascii="Arial" w:hAnsi="Arial"/>
          <w:vertAlign w:val="superscript"/>
        </w:rPr>
        <w:t xml:space="preserve">13</w:t>
      </w:r>
      <w:r>
        <w:rPr>
          <w:rFonts w:ascii="Arial" w:hAnsi="Arial"/>
        </w:rPr>
        <w:t xml:space="preserve">: in administratively generated environmental data,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honest evaluation must control not only where the test systems are, but who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chose to monitor them. Spatial cross-validation can be conservative for probability-sample designs</w:t>
      </w:r>
      <w:r>
        <w:rPr>
          <w:rFonts w:ascii="Arial" w:hAnsi="Arial"/>
          <w:vertAlign w:val="superscript"/>
        </w:rPr>
        <w:t xml:space="preserve">41</w:t>
      </w:r>
      <w:r>
        <w:rPr>
          <w:rFonts w:ascii="Arial" w:hAnsi="Arial"/>
        </w:rPr>
        <w:t xml:space="preserve">, but the monitoring process here is precisely the non-random design we diagnose, so leakage-aware evaluation remains appropriate.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These results are constructive, not merely cautionary. The benchmark supplies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tools to evaluate honestly: geographic stratification, provenance-reduced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 sets, a monitoring-invariant model, and verification of every reported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number against archived results. Modest discrimination retains policy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value: the monitoring-free model concentrates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3.0</w:t>
      </w:r>
      <w:r>
        <w:rPr>
          <w:rFonts w:ascii="Arial" w:hAnsi="Arial"/>
        </w:rPr>
        <w:t xml:space="preserve">-fold more detections in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top risk decile than in-sample prevalence (Supplementary Table 10), enough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prioritize monitoring under honest uncertainty, with marginal conformal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coverage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91.0</w:t>
      </w:r>
      <w:r>
        <w:rPr>
          <w:rFonts w:ascii="Arial" w:hAnsi="Arial"/>
        </w:rPr>
        <w:t xml:space="preserve">% at α = 0.05 (per-region coverage varies and per-region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guarantees are not claimed; Extended Data Fig. 3, Supplementary S6). This value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regionally non-uniform: the out-of-region signal is near-chance in several EPA regions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(per-region provenance-reduced AUROC as low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0.57</w:t>
      </w:r>
      <w:r>
        <w:rPr>
          <w:rFonts w:ascii="Arial" w:hAnsi="Arial"/>
        </w:rPr>
        <w:t xml:space="preserve">), so a deployer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cannot assume uniform utility. We claim no predictive or deployment advance over existing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practice: the contribution is diagnostic and methodological, quantifying and controlling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two confounds and surfacing the monitoring-inequity finding, not a better contamination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predictor.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For deployment to unmonitored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we recommend the ICP when the feature set entangles monitoring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population or system-type variables. It trades about five AUROC points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substantial though partial monitoring invariance (</w:t>
      </w:r>
      <w:r>
        <w:rPr>
          <w:rFonts w:ascii="Arial" w:hAnsi="Arial"/>
        </w:rPr>
        <w:t xml:space="preserve">0.731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in-region), with a held-out probe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recovering data-source provenance from its representation at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0.64</w:t>
      </w:r>
      <w:r>
        <w:rPr>
          <w:rFonts w:ascii="Arial" w:hAnsi="Arial"/>
        </w:rPr>
        <w:t xml:space="preserve">, below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obtainable from raw features (Supplementary S17).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group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profile warrants care rather than alarm. High-people-of-color systems in fact have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somewhat higher discrimination (per-group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0.750</w:t>
      </w:r>
      <w:r>
        <w:rPr>
          <w:rFonts w:ascii="Arial" w:hAnsi="Arial"/>
        </w:rPr>
        <w:t xml:space="preserve">, gap p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0.060</w:t>
      </w:r>
      <w:r>
        <w:rPr>
          <w:rFonts w:ascii="Arial" w:hAnsi="Arial"/>
        </w:rPr>
        <w:t xml:space="preserve">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better conformal coverage (</w:t>
      </w:r>
      <w:r>
        <w:rPr>
          <w:rFonts w:ascii="Arial" w:hAnsi="Arial"/>
        </w:rPr>
        <w:t xml:space="preserve">0.919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0.886</w:t>
      </w:r>
      <w:r>
        <w:rPr>
          <w:rFonts w:ascii="Arial" w:hAnsi="Arial"/>
        </w:rPr>
        <w:t xml:space="preserve">, gap p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0.007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their favor)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low-share systems, and their elevated single-threshold false-negative 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Fonts w:ascii="Arial" w:hAnsi="Arial"/>
        </w:rPr>
        <w:t xml:space="preserve">0.50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0.44</w:t>
      </w:r>
      <w:r>
        <w:rPr>
          <w:rFonts w:ascii="Arial" w:hAnsi="Arial"/>
        </w:rPr>
        <w:t xml:space="preserve">) is not individually significant (p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0.16</w:t>
      </w:r>
      <w:r>
        <w:rPr>
          <w:rFonts w:ascii="Arial" w:hAnsi="Arial"/>
        </w:rPr>
        <w:t xml:space="preserve">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Two caveats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keep this from being reassuring. First, the one group disparity that is both robust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unfavorable is calibration: high-people-of-color systems are more poorly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calibrated (expected calibration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0.06</w:t>
      </w:r>
      <w:r>
        <w:rPr>
          <w:rFonts w:ascii="Arial" w:hAnsi="Arial"/>
        </w:rPr>
        <w:t xml:space="preserve">, non-overlapping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bootstrap confidence intervals), and it is this gap, not the non-significant error-rate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gaps, that the per-group recalibration we recommend must target. Second, the favorable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coverage gap rests on a different demographic partition (a validation-set median split)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the percentile split used for the discrimination, error-rate, and calibration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analyses, and its significance would not survive correction across the nine group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comparisons, so we do not lean on it.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Under one global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operating threshold and markedly unequal base rates (detection prevalence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0.19</w:t>
      </w:r>
      <w:r>
        <w:rPr>
          <w:rFonts w:ascii="Arial" w:hAnsi="Arial"/>
        </w:rPr>
        <w:t xml:space="preserve">), error-rate and calibration parity cannot hold jointly, so the residual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error-rate gap reflects a thresholding artifact remediable by group-aware thresholding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recalibration rather than a discrimination deficit. A prior California study audits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drinking-water-quality model for exactly such demographic error disparities</w:t>
      </w:r>
      <w:r>
        <w:rPr>
          <w:rFonts w:ascii="Arial" w:hAnsi="Arial"/>
          <w:vertAlign w:val="superscript"/>
        </w:rPr>
        <w:t xml:space="preserve">42</w:t>
      </w:r>
      <w:r>
        <w:rPr>
          <w:rFonts w:ascii="Arial" w:hAnsi="Arial"/>
        </w:rPr>
        <w:t xml:space="preserve">; our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contribution is to trace the disparity upstream to the inequitable monitoring process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generates the labels. Any prioritization use should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nonetheless be paired with a per-group error audit and must not divert oversight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away from high-burden systems.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Adjusted-association analysis confirms environmental signal persists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(DML-adjusted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0.729</w:t>
      </w:r>
      <w:r>
        <w:rPr>
          <w:rFonts w:ascii="Arial" w:hAnsi="Arial"/>
        </w:rPr>
        <w:t xml:space="preserve">) but is substantively small: all standardized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E-values are uniformly small, so these are adjusted associations, not causal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effects (Supplementary S20).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For environmental justice, the monitoring confound cuts twice. Measured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disparities depend on where and how intensively agencies sample: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people-of-color burden ratio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1.34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western test region but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1.48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nationally (Supplementary Table 20), so single-region, ascertainment-naive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estimates understate the national picture (though inverse-propensity weighting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shows the western disparity survives adjustment for observed monitoring propensity). These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distinct estimands rather than conflicting values: the national summary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(system-count-weighted across all ten regions), the geographic deployment split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(unadjusted, and after inverse-propensity adjustment), and the single western test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region; we defend the national summary as the headline estimate and read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single-region and deployment-split figures as context for it.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Surveillance itself is also inequitably allocated (Fig. 4):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high people-of-color-share systems are sampled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-fold more intensively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while low-income and low-education systems are sampled less, all robust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 size. The two equity signals differ sharply in robustness. The national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monitoring-intensity disparity is significant under a stratified-by-region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permutation and survives data-source adjustment. Adding data-source fixed effects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attenuates the size-adjusted association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0.043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log-samples per standard deviation (p &lt; 0.001). Restricting to systems monitored predominantly under a single federal program (UCMR5)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lowers the ratio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×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1.37</w:t>
      </w:r>
      <w:r>
        <w:rPr>
          <w:rFonts w:ascii="Arial" w:hAnsi="Arial"/>
        </w:rPr>
        <w:t xml:space="preserve">×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(size-adjusted coefficient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0.021</w:t>
      </w:r>
      <w:r>
        <w:rPr>
          <w:rFonts w:ascii="Arial" w:hAnsi="Arial"/>
        </w:rPr>
        <w:t xml:space="preserve">, p &lt; 0.001). The pooled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× therefore partly reflects that communities of color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over-represented in dense state monitoring programs rather than allocation within a single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program, though a within-source disparity persists.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regional detection-burden disparity is more fragile, reaching significance in only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minority of regions under a spatially-aware null; we therefore rest the equity claim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the source-adjusted monitoring-intensity finding and read the regional detection-burden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pattern as suggestive. Both contamination and the attention paid to it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environmental justice outcomes, and equity analyses on administrative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data must model the allocation process or risk reporting artifacts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it.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Several limitations bound these conclusions. Extreme censoring (97.1%) renders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concentration regression near-intractable (T2). ZCTA-centroid geocoding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imprecise, though results are robust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5-km perturbation (Supplementary S7b). UCMR5’s design (a census of systems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serving &gt;3,300 people plus a mandatory EPA-selected representative sample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smaller systems) makes the included population a non-random sample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systems and creates MNAR selection that IPW may not fully address. DML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assumes no unmeasured confounders. Detection-only sources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preclude external validation (Supplementary S21).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Geographic generalization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genuinely unseen regions remains only partly demonstrated: the only geographically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test (CA GeoTracker) reaches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0.813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(DeLong p &lt; 0.001) on a structurally different domain, but this transfer is carried by provenance features rather than environment (Supplementary S17). A matched experiment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attributes a modest share of the holdout-to-LORO gap to validation-set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reuse (early stopping on the external validation regions), with the remainder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driven by regional heterogeneity (Supplementary S26). T6 transfer performance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modest because our features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target anthropogenic rather than geogenic contamination. The per-system risk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predictions that support utility-level screening are distributed with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archived dataset (Code Availability).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Machine-learning predictions of U.S. drinking-water contamination,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currently trained and evaluated, encode who is monitored as much as where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occurs. Once spatial leakage and monitoring ascertainment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both controlled, the transportable environmental signal is modest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(out-of-region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, 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0.769</w:t>
      </w:r>
      <w:r>
        <w:rPr>
          <w:rFonts w:ascii="Arial" w:hAnsi="Arial"/>
        </w:rPr>
        <w:t xml:space="preserve">), and the same ascertainment process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inflates predictive skill distorts equity estimates while being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inequitably allocated itself. By providing standardized tasks, two-confound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evaluation protocols, monitoring-invariant baselines, reproducible pipelines,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a leave-one-region-out leaderboard, AquaContam brings to administratively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generated environmental data the kind of shared, leakage-aware evaluation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domain benchmarks such as GEO-Bench</w:t>
      </w:r>
      <w:r>
        <w:rPr>
          <w:rFonts w:ascii="Arial" w:hAnsi="Arial"/>
          <w:vertAlign w:val="superscript"/>
        </w:rPr>
        <w:t xml:space="preserve">22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established for Earth observation.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Unlike general-purpose benchmarks built on curated, near-i.i.d. splits (for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example ImageNet</w:t>
      </w:r>
      <w:r>
        <w:rPr>
          <w:rFonts w:ascii="Arial" w:hAnsi="Arial"/>
          <w:vertAlign w:val="superscript"/>
        </w:rPr>
        <w:t xml:space="preserve">43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GLUE</w:t>
      </w:r>
      <w:r>
        <w:rPr>
          <w:rFonts w:ascii="Arial" w:hAnsi="Arial"/>
          <w:vertAlign w:val="superscript"/>
        </w:rPr>
        <w:t xml:space="preserve">44</w:t>
      </w:r>
      <w:r>
        <w:rPr>
          <w:rFonts w:ascii="Arial" w:hAnsi="Arial"/>
        </w:rPr>
        <w:t xml:space="preserve">), its central point is methodological: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surveillance-generated data the evaluation protocol itself, not the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architecture, is where most reported skill is won or lost. We urge adoption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 stratification and explicit ascertainment controls as the minimum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evaluation standard for spatial environmental ML.</w:t>
      </w:r>
    </w:p>
    <w:bookmarkEnd w:id="18"/>
    <w:bookmarkStart w:id="29" w:name="methods"/>
    <w:p>
      <w:pPr>
        <w:pStyle w:val="Heading2"/>
        <w:spacing w:lineRule="auto" w:line="360"/>
      </w:pPr>
      <w:r>
        <w:rPr>
          <w:rFonts w:ascii="Arial" w:hAnsi="Arial"/>
        </w:rPr>
        <w:t xml:space="preserve">Methods</w:t>
      </w:r>
    </w:p>
    <w:bookmarkStart w:id="19" w:name="data-collection-and-preprocessing"/>
    <w:p>
      <w:pPr>
        <w:pStyle w:val="Heading3"/>
        <w:spacing w:lineRule="auto" w:line="360"/>
      </w:pPr>
      <w:r>
        <w:rPr>
          <w:rFonts w:ascii="Arial" w:hAnsi="Arial"/>
        </w:rPr>
        <w:t xml:space="preserve">Data collection and preprocessing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AquaContam aggregates data from fifteen federal and state sources (all public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records; see Data Availability for the two non-self-serve access routes). UCMR5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occurrence data</w:t>
      </w:r>
      <w:r>
        <w:rPr>
          <w:rFonts w:ascii="Arial" w:hAnsi="Arial"/>
          <w:vertAlign w:val="superscript"/>
        </w:rPr>
        <w:t xml:space="preserve">45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(29 PFAS + lithium, ~1.9M records) and UCMR3 data</w:t>
      </w:r>
      <w:r>
        <w:rPr>
          <w:rFonts w:ascii="Arial" w:hAnsi="Arial"/>
          <w:vertAlign w:val="superscript"/>
        </w:rPr>
        <w:t xml:space="preserve">46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(38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contaminants including 6 PFAS, ~1.1M records) were downloaded from the EPA’s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Compliance Monitoring Data portal as Latin-1 encoded text files within ZIP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archives. SDWIS Lead and Copper Rule</w:t>
      </w:r>
      <w:r>
        <w:rPr>
          <w:rFonts w:ascii="Arial" w:hAnsi="Arial"/>
          <w:vertAlign w:val="superscript"/>
        </w:rPr>
        <w:t xml:space="preserve">47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(LCR) sampling results and system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metadata were obtained from the EPA ECHO system, covering lead and copper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compliance monitoring (</w:t>
      </w:r>
      <w:r>
        <w:rPr>
          <w:rFonts w:ascii="Arial" w:hAnsi="Arial"/>
        </w:rPr>
        <w:t xml:space="preserve">916,899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across lead and copper analytes; zero-measure rows are retained as non-detects. An earlier parse that excluded them, 694,419 records, backed pre-revision analyses and is preserved in repository history). State-level databases were accessed through their respective portals: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Michigan MPART via ArcGIS REST API (5 PFAS), California GeoTracker GAMA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program (PFAS monitoring CSV), Washington DOH PFAS monitoring results (9,251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via direct CSV download), Missouri DNR PFAS sampling data via ArcGIS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REST API (29 PFAS,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75,971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records), New Jersey DEP WaterViewer (25 PFAS,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248,107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records; headed-browser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collection, see Data Availability), and Minnesota MDH compliance monitoring (obtained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written request under the Minnesota Government Data Practices Act; see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Availability). North Carolina DEQ (5 PFAS) was pursued but its data were unavailable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bulk download. Ohio EPA (26,554 records via ArcGIS REST API) was evaluated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but excluded because all PWSIDs overlap with SDWIS and only detected samples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reported.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USGS/EPA Water Quality Portal provided PFAS monitoring results across 49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CONUS states (13 PFAS analytes, 35,528 records via REST API).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EPA Facility Registry Service (FRS)</w:t>
      </w:r>
      <w:r>
        <w:rPr>
          <w:rFonts w:ascii="Arial" w:hAnsi="Arial"/>
          <w:vertAlign w:val="superscript"/>
        </w:rPr>
        <w:t xml:space="preserve">48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provided geolocated facility records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filtered for PFAS-related industrial activity (40,828 sites). The EPA Toxics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Release Inventory (TRI) provided PFAS release quantities from reporting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facilities, and the EPA PFAS Analytic Tools database provided 761 federal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sites (724 DoD/military) with known or suspected PFAS contamination, both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used as auxiliary feature sources for proximity feature engineering.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All data sources undergo schema harmonization upon ingestion. Public 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 Identifiers (PWSID) are standardized to 9-character strings (e.g.,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“CA0101001”</w:t>
      </w:r>
      <w:r>
        <w:rPr>
          <w:rFonts w:ascii="Arial" w:hAnsi="Arial"/>
        </w:rPr>
        <w:t xml:space="preserve">) with leading zeros preserved. Concentration values are converted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micrograms per liter (ug/L) from source-specific units (parts per trillion,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milligrams per liter, picograms per liter). Left-censored non-detect values,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reported as below the method detection limit, are retained with an explicit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censored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boolean column (never silently dropped); this preserves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censoring structure for downstream methods that model it directly. The pooled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T2 concentration target treats non-detect samples as zero when taking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per-system maxima, so its RMSE mixes detection and quantification;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censoring-aware models receive the flags instead. Detection limits are recorded alongside each measurement.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Duplicate samples (same PWSID, analyte, and sample date) are resolved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retaining the maximum concentration value.</w:t>
      </w:r>
    </w:p>
    <w:bookmarkEnd w:id="19"/>
    <w:bookmarkStart w:id="20" w:name="feature-engineering"/>
    <w:p>
      <w:pPr>
        <w:pStyle w:val="Heading3"/>
        <w:spacing w:lineRule="auto" w:line="360"/>
      </w:pPr>
      <w:r>
        <w:rPr>
          <w:rFonts w:ascii="Arial" w:hAnsi="Arial"/>
        </w:rPr>
        <w:t xml:space="preserve">Feature engineering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Four categories of geospatial features are extracted for each water system,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identified by its ZCTA (ZIP Code Tabulation Area) centroid coordinates.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931"/>
        <w:gridCol w:w="2511"/>
      </w:tblGrid>
      <w:tr>
        <w:trPr>
          <w:tblHeader w:val="on"/>
        </w:trP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Category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Source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Features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Proximity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EPA FRS, TRI, DoD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~25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Min distance and counts within 5/10/25 km to industrial, military, WWTP, airport, and landfill facilities; TRI release-weighted proximity; DoD PFAS site distance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Land use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NLCD 2021</w:t>
            </w:r>
            <w:r>
              <w:rPr>
                <w:rFonts w:ascii="Arial" w:hAnsi="Arial"/>
                <w:vertAlign w:val="superscript"/>
              </w:rPr>
              <w:t xml:space="preserve">49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~15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Categorical land cover fractions (developed, agricultural, forested, wetland) within 5-km buffer via zonal statistics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Hydrogeology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USGS Principal Aquifers</w:t>
            </w:r>
            <w:r>
              <w:rPr>
                <w:rFonts w:ascii="Arial" w:hAnsi="Arial"/>
                <w:vertAlign w:val="superscript"/>
              </w:rPr>
              <w:t xml:space="preserve">50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~10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Aquifer name and rock-type lithology (one-hot encoded) via spatial join; the USGS release carries no confinement attribute</w:t>
            </w:r>
          </w:p>
        </w:tc>
      </w:tr>
      <w:tr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Demographics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EPA EJScreen</w:t>
            </w:r>
            <w:r>
              <w:rPr>
                <w:rFonts w:ascii="Arial" w:hAnsi="Arial"/>
                <w:vertAlign w:val="superscript"/>
              </w:rPr>
              <w:t xml:space="preserve">51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~8</w:t>
            </w:r>
          </w:p>
        </w:tc>
        <w:tc>
          <w:tcPr/>
          <w:p>
            <w:pPr>
              <w:pStyle w:val="Compact"/>
              <w:spacing w:lineRule="auto" w:line="360"/>
            </w:pPr>
            <w:r>
              <w:rPr>
                <w:rFonts w:ascii="Arial" w:hAnsi="Arial"/>
              </w:rPr>
              <w:t xml:space="preserve">Percent people of color, low income, education attainment, linguistic isolation, and composite EJ indices via block-group spatial join</w:t>
            </w:r>
          </w:p>
        </w:tc>
      </w:tr>
    </w:tbl>
    <w:p>
      <w:pPr>
        <w:pStyle w:val="BodyText"/>
        <w:spacing w:lineRule="auto" w:line="360"/>
      </w:pPr>
      <w:r>
        <w:rPr>
          <w:rFonts w:ascii="Arial" w:hAnsi="Arial"/>
        </w:rPr>
        <w:t xml:space="preserve">All distances are computed in EPSG:5070 (CONUS Albers) using cKDTree spatial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indexing.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Features with more than half their values missing are dropped prior to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training. Remaining missing values are imputed with column medians. Target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leakage columns, aggregation statistics derived from monitoring results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(detection rates, maximum concentrations), are automatically excluded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feature matrix.</w:t>
      </w:r>
    </w:p>
    <w:bookmarkEnd w:id="20"/>
    <w:bookmarkStart w:id="21" w:name="benchmark-task-design"/>
    <w:p>
      <w:pPr>
        <w:pStyle w:val="Heading3"/>
        <w:spacing w:lineRule="auto" w:line="360"/>
      </w:pPr>
      <w:r>
        <w:rPr>
          <w:rFonts w:ascii="Arial" w:hAnsi="Arial"/>
        </w:rPr>
        <w:t xml:space="preserve">Benchmark task design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AquaContam defines seven benchmark tasks spanning the major water contamination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prediction challenges: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rPr>
          <w:rFonts w:ascii="Arial" w:hAnsi="Arial"/>
          <w:b/>
          <w:bCs/>
        </w:rPr>
        <w:t xml:space="preserve">T1 (Binary PFAS detection)</w:t>
      </w:r>
      <w:r>
        <w:rPr>
          <w:rFonts w:ascii="Arial" w:hAnsi="Arial"/>
        </w:rPr>
        <w:t xml:space="preserve">: Predict whether a given PFAS compound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(default: PFOS) is detected above the method detection limit at a 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system. Binary classification; primary metric: AUPRC. This label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monitoring-defined: reporting limits are heterogeneous across programs (UCMR3’s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limit is roughly an order of magnitude coarser than UCMR5’s), so a system’s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detection status depends partly on who monitored it and at what sensitivity.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Re-censoring every detection to a common reporting limit lowers T1 AUROC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about five points and collapses AUPRC (Supplementary Information,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common-reporting-limit sensitivity), so the ranking signal is robust but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label itself carries the monitoring dependence this paper documents.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rPr>
          <w:rFonts w:ascii="Arial" w:hAnsi="Arial"/>
          <w:b/>
          <w:bCs/>
        </w:rPr>
        <w:t xml:space="preserve">T2 (Concentration regression)</w:t>
      </w:r>
      <w:r>
        <w:rPr>
          <w:rFonts w:ascii="Arial" w:hAnsi="Arial"/>
        </w:rPr>
        <w:t xml:space="preserve">: Predict the concentration (ug/L) of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detected PFAS compound. Regression on detected-only samples; primary metric: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RMSE. Included as a documented negative result establishing system-level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prediction boundaries (Supplementary S25).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rPr>
          <w:rFonts w:ascii="Arial" w:hAnsi="Arial"/>
          <w:b/>
          <w:bCs/>
        </w:rPr>
        <w:t xml:space="preserve">T3 (Multi-PFAS profiling)</w:t>
      </w:r>
      <w:r>
        <w:rPr>
          <w:rFonts w:ascii="Arial" w:hAnsi="Arial"/>
        </w:rPr>
        <w:t xml:space="preserve">: Simultaneously predict detection of five PFAS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compounds (PFOS, PFOA, PFBS, PFHxS, HFPO-DA) at a water system. Multilabel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classification using MultiOutputClassifier wrappers; primary metric: macro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AUPRC.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rPr>
          <w:rFonts w:ascii="Arial" w:hAnsi="Arial"/>
          <w:b/>
          <w:bCs/>
        </w:rPr>
        <w:t xml:space="preserve">T4 (Heavy metal prediction)</w:t>
      </w:r>
      <w:r>
        <w:rPr>
          <w:rFonts w:ascii="Arial" w:hAnsi="Arial"/>
        </w:rPr>
        <w:t xml:space="preserve">: Predict lead action-level exceedance (the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Lead and Copper Rule 90th-percentile sampled lead concentration exceeding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15 µg/L action level) at a water system from SDWIS compliance monitoring.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Binary classification; primary metric: AUPRC.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rPr>
          <w:rFonts w:ascii="Arial" w:hAnsi="Arial"/>
          <w:b/>
          <w:bCs/>
        </w:rPr>
        <w:t xml:space="preserve">T5 (Cross-contaminant transfer)</w:t>
      </w:r>
      <w:r>
        <w:rPr>
          <w:rFonts w:ascii="Arial" w:hAnsi="Arial"/>
        </w:rPr>
        <w:t xml:space="preserve">: Train on source contaminant (default: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lead) and evaluate zero-shot prediction on target contaminant (default: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PFOS). Evaluates cross-domain generalization of geospatial features. Primary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metric: AUPRC.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rPr>
          <w:rFonts w:ascii="Arial" w:hAnsi="Arial"/>
          <w:b/>
          <w:bCs/>
        </w:rPr>
        <w:t xml:space="preserve">T7 (Temporal prediction)</w:t>
      </w:r>
      <w:r>
        <w:rPr>
          <w:rFonts w:ascii="Arial" w:hAnsi="Arial"/>
        </w:rPr>
        <w:t xml:space="preserve">: Train on UCMR3 (2013–2015) and predict UCMR5</w:t>
      </w:r>
    </w:p>
    <w:p>
      <w:pPr>
        <w:pStyle w:val="Compact"/>
        <w:numPr>
          <w:ilvl w:val="1"/>
          <w:numId w:val="1002"/>
        </w:numPr>
        <w:spacing w:lineRule="auto" w:line="360"/>
      </w:pPr>
      <w:r>
        <w:rPr>
          <w:rFonts w:ascii="Arial" w:hAnsi="Arial"/>
        </w:rPr>
        <w:t xml:space="preserve">detection outcomes, with separate evaluation on persistent systems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(monitored in both periods) and newly monitored systems. Primary metric: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AUPRC.</w:t>
      </w:r>
    </w:p>
    <w:p>
      <w:pPr>
        <w:pStyle w:val="FirstParagraph"/>
        <w:spacing w:lineRule="auto" w:line="360"/>
      </w:pPr>
      <w:r>
        <w:rPr>
          <w:rFonts w:ascii="Arial" w:hAnsi="Arial"/>
          <w:b/>
          <w:bCs/>
        </w:rPr>
        <w:t xml:space="preserve">T6 (Private-well risk extrapolation)</w:t>
      </w:r>
      <w:r>
        <w:rPr>
          <w:rFonts w:ascii="Arial" w:hAnsi="Arial"/>
        </w:rPr>
        <w:t xml:space="preserve">: Train on public-supply groundwater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wells and predict EPA arsenic maximum-contaminant-level exceedance (≥10 µg/L)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zero-shot on independent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domestic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(private) wells. Measured arsenic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110,682 wells comes from the USGS National Groundwater Aggregation (Erickson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et al. 2020; CC0 public domain), whose per-well water-use code distinguishes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domestic (n = 12,561 with arsenic) from public-supply (n = 26,769) wells. We 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arsenic because it is geogenic (governed by aquifer geochemistry rather than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point sources), so non-domestic wells are not contamination-biased (the NGA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release is an openly reproducible substitute for the now-confidential New Jersey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Private Well Testing Act data). Models train on environmental features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(monitoring-intensity columns excluded); the domestic wells are a fully held-out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zero-shot evaluation set. Primary metric: AUPRC.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All tasks use geographic stratification by EPA region for train/validation/test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splits (60/15/25 ratio). The 10 EPA regions partition the United States into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geographically contiguous blocks, ensuring that no geographic region appears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both training and test sets. This prevents spatial data leakage: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tendency for models to exploit shared geospatial confounders between nearby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 and test locations rather than learning generalizable contamination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predictors.</w:t>
      </w:r>
    </w:p>
    <w:bookmarkEnd w:id="21"/>
    <w:bookmarkStart w:id="22" w:name="model-implementations"/>
    <w:p>
      <w:pPr>
        <w:pStyle w:val="Heading3"/>
        <w:spacing w:lineRule="auto" w:line="360"/>
      </w:pPr>
      <w:r>
        <w:rPr>
          <w:rFonts w:ascii="Arial" w:hAnsi="Arial"/>
        </w:rPr>
        <w:t xml:space="preserve">Model implementations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Twenty model families (29 model classes) are evaluated, ranging from trivial (class prior)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foundation models and ensembles; the task-specific censored regressors for T2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(Hurdle, XGBoost-AFT, Zero-Inflated Tobit) carry additional diagnostics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Supplementary S25: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Dummy Classifier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(class prior): Predicts the training-set class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distribution without using any features. Establishes the minimum performance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floor expected by chance.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Logistic Regression</w:t>
      </w:r>
      <w:r>
        <w:rPr>
          <w:rFonts w:ascii="Arial" w:hAnsi="Arial"/>
        </w:rPr>
        <w:t xml:space="preserve">: L2-regularized logistic regression with standardized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features and balanced class weights. Establishes the performance achievable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a linear model on the same feature set.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XGBoost</w:t>
      </w:r>
      <w:r>
        <w:rPr>
          <w:rFonts w:ascii="Arial" w:hAnsi="Arial"/>
          <w:vertAlign w:val="superscript"/>
        </w:rPr>
        <w:t xml:space="preserve">52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(gradient-boosted decision trees): 500 estimators, max depth 6,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learning rate 0.05,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scale_pos_weight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 to the inverse class ratio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imbalanced binary tasks. Early stopping on validation loss with patience of 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rounds.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Random Forest</w:t>
      </w:r>
      <w:r>
        <w:rPr>
          <w:rFonts w:ascii="Arial" w:hAnsi="Arial"/>
          <w:vertAlign w:val="superscript"/>
        </w:rPr>
        <w:t xml:space="preserve">53</w:t>
      </w:r>
      <w:r>
        <w:rPr>
          <w:rFonts w:ascii="Arial" w:hAnsi="Arial"/>
        </w:rPr>
        <w:t xml:space="preserve">: 500 estimators,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class_weight="balanced"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classification tasks, max features set to square root of the feature count.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MLP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(multi-layer perceptron): 3-layer network (128-64-32) with dropout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(0.3), AdamW optimizer, and early stopping; details in Supplementary S2.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LightGBM</w:t>
      </w:r>
      <w:r>
        <w:rPr>
          <w:rFonts w:ascii="Arial" w:hAnsi="Arial"/>
          <w:vertAlign w:val="superscript"/>
        </w:rPr>
        <w:t xml:space="preserve">54</w:t>
      </w:r>
      <w:r>
        <w:rPr>
          <w:rFonts w:ascii="Arial" w:hAnsi="Arial"/>
        </w:rPr>
        <w:t xml:space="preserve">: 500 estimators, 63 leaves, learning rate 0.05,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class-weighted binary tasks and early stopping (patience 50).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CatBoost</w:t>
      </w:r>
      <w:r>
        <w:rPr>
          <w:rFonts w:ascii="Arial" w:hAnsi="Arial"/>
          <w:vertAlign w:val="superscript"/>
        </w:rPr>
        <w:t xml:space="preserve">55</w:t>
      </w:r>
      <w:r>
        <w:rPr>
          <w:rFonts w:ascii="Arial" w:hAnsi="Arial"/>
        </w:rPr>
        <w:t xml:space="preserve">: 500 iterations, depth 6, learning rate 0.05, with balanced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class weights and ordered boosting.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CNN1D</w:t>
      </w:r>
      <w:r>
        <w:rPr>
          <w:rFonts w:ascii="Arial" w:hAnsi="Arial"/>
        </w:rPr>
        <w:t xml:space="preserve">: 1D convolutional network on tabular features; architecture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ordering sensitivity analysis in Supplementary S4.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Deep Tobit</w:t>
      </w:r>
      <w:r>
        <w:rPr>
          <w:rFonts w:ascii="Arial" w:hAnsi="Arial"/>
        </w:rPr>
        <w:t xml:space="preserve">: Censoring-aware MLP trained with Tobit likelihood loss,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predicting latent concentration from which P(detected) is derived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S13).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TabPFN</w:t>
      </w:r>
      <w:r>
        <w:rPr>
          <w:rFonts w:ascii="Arial" w:hAnsi="Arial"/>
          <w:vertAlign w:val="superscript"/>
        </w:rPr>
        <w:t xml:space="preserve">56,57</w:t>
      </w:r>
      <w:r>
        <w:rPr>
          <w:rFonts w:ascii="Arial" w:hAnsi="Arial"/>
        </w:rPr>
        <w:t xml:space="preserve">: Pretrained foundation model performing in-context learning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tabular data. On CPU it stratified-subsamples the training set to 3,000 samples;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reported TabPFN results use this 3,000-sample subsample. Training sets above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10,000-sample cap are otherwise rejected; for the leave-one-region-out leaderboard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oversized folds were run under the same 3,000-sample subsample rather than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skipped (Supplementary S2).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GCN and GraphSAGE</w:t>
      </w:r>
      <w:r>
        <w:rPr>
          <w:rFonts w:ascii="Arial" w:hAnsi="Arial"/>
        </w:rPr>
        <w:t xml:space="preserve">: Degrade to at-chance under geographic stratification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due to disjoint test-region graphs (no edges to training nodes).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Hurdle and Zero-Inflated Tobit</w:t>
      </w:r>
      <w:r>
        <w:rPr>
          <w:rFonts w:ascii="Arial" w:hAnsi="Arial"/>
          <w:vertAlign w:val="superscript"/>
        </w:rPr>
        <w:t xml:space="preserve">58</w:t>
      </w:r>
      <w:r>
        <w:rPr>
          <w:rFonts w:ascii="Arial" w:hAnsi="Arial"/>
        </w:rPr>
        <w:t xml:space="preserve">: two-part censored regressors for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zero-inflated T2 concentration target, a detection (zero-versus-positive)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stage feeding a positive-part Tobit regression, addressing the ~97%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non-detect mass that defeats a single-stage model (T2).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XGBoost-AFT</w:t>
      </w:r>
      <w:r>
        <w:rPr>
          <w:rFonts w:ascii="Arial" w:hAnsi="Arial"/>
        </w:rPr>
        <w:t xml:space="preserve">: gradient-boosted accelerated-failure-time model treating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non-detect observations as left-censored survival times; also combined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hurdle stage in a Hurdle-AFT ensemble (T2).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Voting Ensemble</w:t>
      </w:r>
      <w:r>
        <w:rPr>
          <w:rFonts w:ascii="Arial" w:hAnsi="Arial"/>
        </w:rPr>
        <w:t xml:space="preserve">: Soft-voting ensemble of four tree-based classifiers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(XGBoost, Random Forest, LightGBM, CatBoost), averaging predicted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probabilities.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Stacking Ensemble</w:t>
      </w:r>
      <w:r>
        <w:rPr>
          <w:rFonts w:ascii="Arial" w:hAnsi="Arial"/>
        </w:rPr>
        <w:t xml:space="preserve">: Two-level stacking ensemble using the same four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tree-based classifiers as base learners with logistic regression as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meta-learner, trained via 5-fold cross-validation on base model predictions.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Invariant Contamination Predictor (ICP)</w:t>
      </w:r>
      <w:r>
        <w:rPr>
          <w:rFonts w:ascii="Arial" w:hAnsi="Arial"/>
        </w:rPr>
        <w:t xml:space="preserve">: Neural network with a shared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encoder feeding two heads: a contamination predictor and a gradient-reversed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adversary. The gradient reversal layer (GRL)</w:t>
      </w:r>
      <w:r>
        <w:rPr>
          <w:rFonts w:ascii="Arial" w:hAnsi="Arial"/>
          <w:vertAlign w:val="superscript"/>
        </w:rPr>
        <w:t xml:space="preserve">59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negates adversary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gradients during backpropagation, forcing the encoder to learn representations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which monitoring intensity cannot be predicted, an objective related to invariant risk minimization</w:t>
      </w:r>
      <w:r>
        <w:rPr>
          <w:rFonts w:ascii="Arial" w:hAnsi="Arial"/>
          <w:vertAlign w:val="superscript"/>
        </w:rPr>
        <w:t xml:space="preserve">60</w:t>
      </w:r>
      <w:r>
        <w:rPr>
          <w:rFonts w:ascii="Arial" w:hAnsi="Arial"/>
        </w:rPr>
        <w:t xml:space="preserve">. Training uses IPW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reweighting via logistic-regression propensity scores and Group DRO</w:t>
      </w:r>
      <w:r>
        <w:rPr>
          <w:rFonts w:ascii="Arial" w:hAnsi="Arial"/>
          <w:vertAlign w:val="superscript"/>
        </w:rPr>
        <w:t xml:space="preserve">61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exponentiated gradient updates across EPA regions. The regressor variant uses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Tobit NLL for censoring-aware regression. See Supplementary S17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architecture details.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For T3 multilabel classification, PyTorch</w:t>
      </w:r>
      <w:r>
        <w:rPr>
          <w:rFonts w:ascii="Arial" w:hAnsi="Arial"/>
          <w:vertAlign w:val="superscript"/>
        </w:rPr>
        <w:t xml:space="preserve">62</w:t>
      </w:r>
      <w:r>
        <w:rPr>
          <w:rFonts w:ascii="Arial" w:hAnsi="Arial"/>
        </w:rPr>
        <w:t xml:space="preserve">-based models (MLP, CNN1D, Deep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Tobit) are replaced with scikit-learn</w:t>
      </w:r>
      <w:r>
        <w:rPr>
          <w:rFonts w:ascii="Arial" w:hAnsi="Arial"/>
          <w:vertAlign w:val="superscript"/>
        </w:rPr>
        <w:t xml:space="preserve">63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MLPClassifier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wrappers to enable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MultiOutputClassifier integration, training independent binary classifiers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 label.</w:t>
      </w:r>
    </w:p>
    <w:bookmarkEnd w:id="22"/>
    <w:bookmarkStart w:id="23" w:name="hyperparameter-selection"/>
    <w:p>
      <w:pPr>
        <w:pStyle w:val="Heading3"/>
        <w:spacing w:lineRule="auto" w:line="360"/>
      </w:pPr>
      <w:r>
        <w:rPr>
          <w:rFonts w:ascii="Arial" w:hAnsi="Arial"/>
        </w:rPr>
        <w:t xml:space="preserve">Hyperparameter selection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Table 2 reports fixed default configurations (specified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configs/experiment.yaml</w:t>
      </w:r>
      <w:r>
        <w:rPr>
          <w:rFonts w:ascii="Arial" w:hAnsi="Arial"/>
        </w:rPr>
        <w:t xml:space="preserve">) at seed 42, for reproducibility and to avoid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validation-set overfitting. To verify this choice is not unfair to any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family, all tunable families additionally underwent symmetric grid search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(12–18 configurations per model) plus Bayesian optimization (Optuna TPE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sampler) on the T1 validation set, optimizing AUPRC. Tuning does not improve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geographic-holdout benchmark (it reorders T1 and collapses the Stacking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ensemble below its own base learners, a validation-overfitting signature),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Supplementary Table 11 reports the tuned-vs-default comparison. Neural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networks use early stopping on validation loss, matching the eval-set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stopping used by tree-based models, with one exception: the adversarial ICP runs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its full gradient-reversal schedule without early stopping, and the Voting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Stacking ensembles use fixed default base-learner configurations rather than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inheriting tuned hyperparameters. Because of these asymmetries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validation-overfitting seen under tuning, we de-emphasize fine-grained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architecture rankings and report default-configuration results. Complete search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spaces and final hyperparameter values are in Supplementary S2 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configs/experiment.yaml</w:t>
      </w:r>
      <w:r>
        <w:rPr>
          <w:rFonts w:ascii="Arial" w:hAnsi="Arial"/>
        </w:rPr>
        <w:t xml:space="preserve">.</w:t>
      </w:r>
    </w:p>
    <w:bookmarkEnd w:id="23"/>
    <w:bookmarkStart w:id="24" w:name="evaluation-metrics"/>
    <w:p>
      <w:pPr>
        <w:pStyle w:val="Heading3"/>
        <w:spacing w:lineRule="auto" w:line="360"/>
      </w:pPr>
      <w:r>
        <w:rPr>
          <w:rFonts w:ascii="Arial" w:hAnsi="Arial"/>
        </w:rPr>
        <w:t xml:space="preserve">Evaluation metrics</w:t>
      </w:r>
    </w:p>
    <w:p>
      <w:pPr>
        <w:pStyle w:val="FirstParagraph"/>
        <w:spacing w:lineRule="auto" w:line="360"/>
      </w:pPr>
      <w:r>
        <w:rPr>
          <w:rFonts w:ascii="Arial" w:hAnsi="Arial"/>
          <w:b/>
          <w:bCs/>
        </w:rPr>
        <w:t xml:space="preserve">Classification tasks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(T1, T3, T4, T5): We report AUROC (area under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receiver operating characteristic curve), AUPRC (area under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precision-recall curve, preferred for imbalanced data), F1 score, precision,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recall, accuracy, and balanced accuracy. AUPRC is the primary ranking metric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leaderboard, as it is more informative than AUROC under severe class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imbalance</w:t>
      </w:r>
      <w:r>
        <w:rPr>
          <w:rFonts w:ascii="Arial" w:hAnsi="Arial"/>
          <w:vertAlign w:val="superscript"/>
        </w:rPr>
        <w:t xml:space="preserve">64</w:t>
      </w:r>
      <w:r>
        <w:rPr>
          <w:rFonts w:ascii="Arial" w:hAnsi="Arial"/>
        </w:rPr>
        <w:t xml:space="preserve">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Regression tasks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(T2): RMSE (root mean squared error), MAE (mean absolute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error), R² (coefficient of determination), explained variance, and median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absolute error. RMSE is the primary metric.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Multilabel tasks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(T3): In addition to per-label metrics, we compute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subset accuracy (exact match), hamming loss, macro and micro AUROC/AUPRC,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label ranking average precision.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All metrics are computed on the geographically held-out test set. Split-level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metrics (train, validation, test) are reported to enable overfitting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diagnosis. We report 95% bootstrap confidence intervals (1,000 iterations)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all classification metrics on the test set.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We use a single geographic split rather than k-fold cross-validation. Spatial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k-fold approaches (e.g., leave-one-region-out) are possible but yield 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10 folds with highly variable fold sizes, making fold-level metrics unstable.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Our fixed geographic split (train: regions 1,3,4,5,6; validation: 2,7;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test: 8,9,10) provides a single, interpretable evaluation on a geographically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distinct test partition, with bootstrap resampling providing confidence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intervals. As a robustness check, we also report leave-one-region-out (LORO)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cross-validation results (10 folds, one per EPA region) using XGBoost on T1.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ambient monitoring sources (CA GeoTracker, WQP) are reserved for external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 and excluded from the fixed-split benchmark, but they are retained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LORO and split-comparison harnesses. Those two harnesses therefore operate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modestly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larger, ambient-inclusive population (</w:t>
      </w:r>
      <w:r>
        <w:rPr>
          <w:rFonts w:ascii="Arial" w:hAnsi="Arial"/>
        </w:rPr>
        <w:t xml:space="preserve">16,281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versus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14,335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systems). Because the ambient sources are a harder,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structurally distinct population, this asymmetry makes the LORO and split-comparison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comparators more conservative rather than inflating the fixed-split headline.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Several T1 AUROC figures therefore recur in this paper, each produced by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different harness rather than being a conflicting estimate of one quantity: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0.864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headline (full-feature geographic holdout),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0.809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the streamlined single-model robustness harness (which drops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~605 geocoded systems and uses a reduced feature set, so it underestimates rather than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inflates the full pipeline),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0.790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full-feature model under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split-comparison harness, and the leave-one-region-out mean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Table 2, Supplementary S11).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validation set (EPA Regions 2, 7) serves three roles: hyperparameter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selection, early stopping, and threshold optimization. Because AUROC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threshold-independent, only early stopping can introduce val-reuse bias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AUROC. A matched experiment isolating this effect finds it accounts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modest share of the holdout-to-LORO gap, with the remainder attributable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regional heterogeneity (Supplementary S26). LORO CV (mean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0.782</w:t>
      </w:r>
      <w:r>
        <w:rPr>
          <w:rFonts w:ascii="Arial" w:hAnsi="Arial"/>
        </w:rPr>
        <w:t xml:space="preserve">, 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0.705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0.860</w:t>
      </w:r>
      <w:r>
        <w:rPr>
          <w:rFonts w:ascii="Arial" w:hAnsi="Arial"/>
        </w:rPr>
        <w:t xml:space="preserve">, with the full feature set;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0.691</w:t>
      </w:r>
      <w:r>
        <w:rPr>
          <w:rFonts w:ascii="Arial" w:hAnsi="Arial"/>
        </w:rPr>
        <w:t xml:space="preserve">, 95% CI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0.615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0.769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provenance-reduced) serves as an independent robustness check.</w:t>
      </w:r>
    </w:p>
    <w:bookmarkEnd w:id="24"/>
    <w:bookmarkStart w:id="25" w:name="model-calibration"/>
    <w:p>
      <w:pPr>
        <w:pStyle w:val="Heading3"/>
        <w:spacing w:lineRule="auto" w:line="360"/>
      </w:pPr>
      <w:r>
        <w:rPr>
          <w:rFonts w:ascii="Arial" w:hAnsi="Arial"/>
        </w:rPr>
        <w:t xml:space="preserve">Model calibration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For classification tasks, we compute the Expected Calibration Error (ECE)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Brier score to assess whether predicted probabilities match observed detection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frequencies. Post-hoc calibration (isotonic regression, Platt scaling,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temperature scaling) and split conformal prediction</w:t>
      </w:r>
      <w:r>
        <w:rPr>
          <w:rFonts w:ascii="Arial" w:hAnsi="Arial"/>
          <w:vertAlign w:val="superscript"/>
        </w:rPr>
        <w:t xml:space="preserve">65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significance levels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alpha in {0.05, 0.10, 0.20} provide calibrated uncertainty quantification.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Conformal coverage is reported as marginal over the pooled test set; because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calibration data come from the validation regions, per-region coverage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 regions varies (</w:t>
      </w:r>
      <w:r>
        <w:rPr>
          <w:rFonts w:ascii="Arial" w:hAnsi="Arial"/>
        </w:rPr>
        <w:t xml:space="preserve">0.878</w:t>
      </w:r>
      <w:r>
        <w:rPr>
          <w:rFonts w:ascii="Arial" w:hAnsi="Arial"/>
        </w:rPr>
        <w:t xml:space="preserve">–</w:t>
      </w:r>
      <w:r>
        <w:rPr>
          <w:rFonts w:ascii="Arial" w:hAnsi="Arial"/>
        </w:rPr>
        <w:t xml:space="preserve">0.967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α = 0.05) and per-region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distribution-free guarantees are not claimed (Supplementary S6). Details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reported in Supplementary Information.</w:t>
      </w:r>
    </w:p>
    <w:bookmarkEnd w:id="25"/>
    <w:bookmarkStart w:id="26" w:name="statistics-and-reproducibility"/>
    <w:p>
      <w:pPr>
        <w:pStyle w:val="Heading3"/>
        <w:spacing w:lineRule="auto" w:line="360"/>
      </w:pPr>
      <w:r>
        <w:rPr>
          <w:rFonts w:ascii="Arial" w:hAnsi="Arial"/>
        </w:rPr>
        <w:t xml:space="preserve">Statistics and reproducibility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Sample sizes were determined by complete data availability from federal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 monitoring programs (no a priori power analysis; observational study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design). Two-sided DeLong tests were used for pairwise AUROC comparisons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Benjamini-Hochberg FDR correction for multiple testing. Confidence intervals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labeled by method throughout: per-model test-set intervals are i.i.d.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bootstraps (1,000 iterations, percentile method) over spatially clustered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and are therefore anti-conservative in the presence of the residual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autocorrelation we report; region-level (LORO) intervals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region-block bootstraps over the ten EPA-region folds; the national burden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 is a spatial block bootstrap. Permutation tests (10,000 permutations)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assessed statistical significance of burden ratios in the environmental justice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analysis. Moran’s I with randomization inference (999 permutations) tested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residual spatial autocorrelation. All experiments used a fixed random seed (42);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software versions are recorded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software_versions.json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alongside results.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 monitoring records were discarded on outcome-related grounds, but several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technical exclusions apply: 7,773 systems lacking geocodable coordinates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dropped from geospatial feature extraction; systems observed only through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single-class detection-only sources cannot contribute to AUROC where noted;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EPA regions with fewer than 30 matched systems are excluded from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per-region statistics. Blinding was not applicable (observational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study of administrative data). Experiments were not randomized (observational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study design using complete population data from EPA monitoring programs).</w:t>
      </w:r>
    </w:p>
    <w:bookmarkEnd w:id="26"/>
    <w:bookmarkStart w:id="27" w:name="spatial-autocorrelation-diagnostics"/>
    <w:p>
      <w:pPr>
        <w:pStyle w:val="Heading3"/>
        <w:spacing w:lineRule="auto" w:line="360"/>
      </w:pPr>
      <w:r>
        <w:rPr>
          <w:rFonts w:ascii="Arial" w:hAnsi="Arial"/>
        </w:rPr>
        <w:t xml:space="preserve">Spatial autocorrelation diagnostics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Moran’s I analysis on model residuals (inverse-distance weights over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 = 10 nearest neighbors, multi-threshold at 25–200 km) confirms residual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autocorrelation (I &gt; 0, p &lt; 0.05), expected given genuine spatial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structure in contamination. Residual Moran’s I is positive across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benchmarked models and declines with distance (for the headline XGBoost model,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0.212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50 km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0.077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200 km, consistent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Supplementary S9); this residual structure means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i.i.d. bootstrap confidence intervals reported throughout are approximate,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corroborate the headline intervals with a region-block bootstrap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S9). Geographic stratification prevents exploitation of this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structure during evaluation. Full details are in Supplementary S9.</w:t>
      </w:r>
    </w:p>
    <w:bookmarkEnd w:id="27"/>
    <w:bookmarkStart w:id="28" w:name="environmental-justice-analysis"/>
    <w:p>
      <w:pPr>
        <w:pStyle w:val="Heading3"/>
        <w:spacing w:lineRule="auto" w:line="360"/>
      </w:pPr>
      <w:r>
        <w:rPr>
          <w:rFonts w:ascii="Arial" w:hAnsi="Arial"/>
        </w:rPr>
        <w:t xml:space="preserve">Environmental justice analysis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Environmental justice analysis employs burden ratios</w:t>
      </w:r>
      <w:r>
        <w:rPr>
          <w:rFonts w:ascii="Arial" w:hAnsi="Arial"/>
          <w:vertAlign w:val="superscript"/>
        </w:rPr>
        <w:t xml:space="preserve">66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quantify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disparities across demographic groups. For a given demographic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indicator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contamination metric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</w:t>
      </w:r>
      <w:r>
        <w:rPr>
          <w:rFonts w:ascii="Arial" w:hAnsi="Arial"/>
        </w:rPr>
        <w:t xml:space="preserve">, the burden ratio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B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defined as:</w:t>
      </w:r>
    </w:p>
    <w:p>
      <w:pPr>
        <w:pStyle w:val="BodyText"/>
        <w:spacing w:lineRule="auto" w:line="360"/>
      </w:pPr>
      <w:r>
        <w:rPr>
          <w:rFonts w:ascii="Arial" w:hAnsi="Arial"/>
          <w:i/>
          <w:iCs/>
        </w:rPr>
        <w:t xml:space="preserve">B = c(high-burden group) / c(reference group)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where high-burden is defined as communities above the 80th percentile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demographic indicator and reference as communities below the 50th percentile.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Test-set burden ratios are computed on the geographically stratified test 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(EPA Regions 8, 9, 10; 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3,780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systems) to ensure that disparity estimates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not confounded by spatial leakage; national estimates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system-count-weighted means of per-region burden ratios from LORO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cross-validation, with a region-block-bootstrap 95% confidence interval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(Supplementary S23). Demographic groups are defined using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EJScreen block-group indicators: percent people of color, percent 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income, and education attainment. Linguistic isolation was excluded from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test-set analysis because no test-set systems fell below the 50th percentile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(an empty reference group), precluding burden ratio computation. Statistical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significance is assessed via permutation testing (10,000 permutations),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Benjamini-Hochberg FDR correction for multiple comparisons across the three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evaluable demographic dimensions.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To adjust detection disparities for differential monitoring, we compute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monitoring-adjusted burden ratio: stabilized inverse-propensity-of-monitoring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weights (logistic-regression propensity scores estimated from environmental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proximity features only, the same machinery used by the ICP) reweight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high-burden and reference detection rates, and significance is assessed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permutation under the weighted estimator. This adjusts for who gets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monitored under a monitoring-at-random-given-covariates assumption; it cannot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rule out selection on unobservables (MNAR), which we state as a limitation.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Each system’s demographics are attributed from the single nearest EJScreen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block-group centroid (sjoin_nearest, 10-km cap), so one block group stands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a potentially multi-block-group service area, an ecological-inference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(modifiable-areal-unit) limitation that could bias the high/low split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unknown directions. To test sensitivity to this attribution, we recompute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test-region burden ratios under population-weighted areal apportionment. Each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system’s demographic value becomes a weighted mean over all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TIGER 2023 block groups whose polygon intersects a buffer around the system.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Each block group is weighted by its total population times the fraction of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area falling within the buffer (EPSG:5070; EJScreen 2023 shares).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single-nearest baseline reproduces the frozen burden ratios exactly,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apportioned ratios are reported at 5-km and 10-km buffers (Supplementary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Table 26).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monitoring-inequity analysis treats monitoring allocation as the outcome.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Among monitored systems, sampling intensity (</w:t>
      </w:r>
      <w:r>
        <w:rPr>
          <w:rStyle w:val="VerbatimChar"/>
          <w:rFonts w:ascii="Arial" w:hAnsi="Arial"/>
        </w:rPr>
        <w:t xml:space="preserve">n_samples</w:t>
      </w:r>
      <w:r>
        <w:rPr>
          <w:rFonts w:ascii="Arial" w:hAnsi="Arial"/>
        </w:rPr>
        <w:t xml:space="preserve">) is compared between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high-share (&gt;80th percentile) and low-share (&lt;50th percentile) systems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each EJScreen dimension via intensity ratios with permutation p-values,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via a linear regression of log sampling intensity on the standardized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demographic indicator adjusting for population served (the dominant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regulatory determinant of sampling frequency). Because the analysis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restricted to monitored systems, it measures inequity in monitoring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intensity</w:t>
      </w:r>
      <w:r>
        <w:rPr>
          <w:rFonts w:ascii="Arial" w:hAnsi="Arial"/>
        </w:rPr>
        <w:t xml:space="preserve">; selection into monitoring at all is governed by regulatory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design (e.g., the UCMR5 &gt;3,300-served eligibility threshold) and is reported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 a scope limitation.</w:t>
      </w:r>
    </w:p>
    <w:bookmarkEnd w:id="28"/>
    <w:bookmarkEnd w:id="29"/>
    <w:bookmarkStart w:id="30" w:name="data-availability"/>
    <w:p>
      <w:pPr>
        <w:pStyle w:val="Heading2"/>
        <w:spacing w:lineRule="auto" w:line="360"/>
      </w:pPr>
      <w:r>
        <w:rPr>
          <w:rFonts w:ascii="Arial" w:hAnsi="Arial"/>
        </w:rPr>
        <w:t xml:space="preserve">Data Availability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Most data sources are publicly downloadable from their respective federal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 agencies (Supplementary S1 lists URLs and access details); two are public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but not fully self-serve. New Jersey DEP chemical samples are public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under the New Jersey Open Public Records Act; because the WaterViewer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portal sits behind a bot-protection layer, we collected them with a headed-browser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scraper that reads the same public pages a browser would, with no authentication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access circumvention. Minnesota MDH compliance data are public records under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Minnesota Government Data Practices Act, provided on written request rather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bulk download (request/response records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docs/data_requests/</w:t>
      </w:r>
      <w:r>
        <w:rPr>
          <w:rFonts w:ascii="Arial" w:hAnsi="Arial"/>
        </w:rPr>
        <w:t xml:space="preserve">); we hold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them for analysis but redistribution requires the agency’s confirmation, which we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pursuing. The Zenodo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archive is therefore the reproducible copy of record for the harmonized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dataset; the Minnesota records are excluded from it pending the agency’s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confirmation, and the archive documents the request route so that others can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request the same export and verify it against the pinned checksum. Per-source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attributions, terms, and redistribution status are listed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docs/DATA_TERMS.md</w:t>
      </w:r>
      <w:r>
        <w:rPr>
          <w:rFonts w:ascii="Arial" w:hAnsi="Arial"/>
        </w:rPr>
        <w:t xml:space="preserve">; the compiled data are distributed under CC BY 4.0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where source terms permit, chosen to maximize reuse with attribution (sources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retain their original terms; Minnesota MDH redistribution is pending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confirmation), while the accompanying code is licensed under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Apache License 2.0 (Code Availability). The curated, harmonized AquaContam dataset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archived on Zenodo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(DOI: [to be inserted before submission]). Source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all main-text figures are provided as Source Data files.</w:t>
      </w:r>
    </w:p>
    <w:bookmarkEnd w:id="30"/>
    <w:bookmarkStart w:id="31" w:name="code-availability"/>
    <w:p>
      <w:pPr>
        <w:pStyle w:val="Heading2"/>
        <w:spacing w:lineRule="auto" w:line="360"/>
      </w:pPr>
      <w:r>
        <w:rPr>
          <w:rFonts w:ascii="Arial" w:hAnsi="Arial"/>
        </w:rPr>
        <w:t xml:space="preserve">Code Availability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The AquaContam benchmark code (data harmonization, feature extraction,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training, and evaluation), together with the baseline model configurations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needed to reproduce the reported results, is available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https://github.com/tjnewton/aquacontam under the Apache License 2.0.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Zenodo archive with a permanent DOI is deposited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(DOI: [to be inserted before submission]).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reproducibility pipeline (</w:t>
      </w:r>
      <w:r>
        <w:rPr>
          <w:rStyle w:val="VerbatimChar"/>
          <w:rFonts w:ascii="Arial" w:hAnsi="Arial"/>
        </w:rPr>
        <w:t xml:space="preserve">scripts/reproduce.py</w:t>
      </w:r>
      <w:r>
        <w:rPr>
          <w:rFonts w:ascii="Arial" w:hAnsi="Arial"/>
        </w:rPr>
        <w:t xml:space="preserve">) regenerates all results,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figures, and tables from raw data downloads, plus the request-based Minnesota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staging described in Data Availability, with a fixed random seed (42).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Software versions are automatically recorded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software_versions.json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alongside results. The per-system prediction export is git-ignored in the repository and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included, with the harmonized dataset, in the Zenodo archive. The tracked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frozen archive is a slim snapshot (per-system prediction arrays are stripped;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slim national T1-PFOS risk surface is retained), sufficient to regenerate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table, every number-gate check, and the result-derived figures; the map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figures additionally draw on the harmonized dataset, and the full prediction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arrays are included in the Zenodo archive. The full software environment is specified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environment.yml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(conda) 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pyproject.toml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(pip); a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requirements-lock.txt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conda export is also provided as a non-portable, platform-specific snapshot (advisory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only: it does not resolve on other platforms), so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environment.yml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pyproject.toml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should be used for installation.</w:t>
      </w:r>
    </w:p>
    <w:p>
      <w:pPr>
        <w:pStyle w:val="BodyText"/>
        <w:spacing w:lineRule="auto" w:line="360"/>
      </w:pPr>
      <w:r>
        <w:rPr>
          <w:rFonts w:ascii="Arial" w:hAnsi="Arial"/>
        </w:rPr>
        <w:t xml:space="preserve">The committed paper gate (</w:t>
      </w:r>
      <w:r>
        <w:rPr>
          <w:rStyle w:val="VerbatimChar"/>
          <w:rFonts w:ascii="Arial" w:hAnsi="Arial"/>
        </w:rPr>
        <w:t xml:space="preserve">paper/final_gate.py</w:t>
      </w:r>
      <w:r>
        <w:rPr>
          <w:rFonts w:ascii="Arial" w:hAnsi="Arial"/>
        </w:rPr>
        <w:t xml:space="preserve">) is a consistency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tamper-evidence check, not an independent re-derivation of the science: it verifies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every reader-facing number matches the frozen archive, that generated tables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figures regenerate deterministically, and that derived artifacts carry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input-hash stamps; it does not re-run the pipeline. A full reproduction from raw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downloads (</w:t>
      </w:r>
      <w:r>
        <w:rPr>
          <w:rStyle w:val="VerbatimChar"/>
          <w:rFonts w:ascii="Arial" w:hAnsi="Arial"/>
        </w:rPr>
        <w:t xml:space="preserve">scripts/reproduce.py --all</w:t>
      </w:r>
      <w:r>
        <w:rPr>
          <w:rFonts w:ascii="Arial" w:hAnsi="Arial"/>
        </w:rPr>
        <w:t xml:space="preserve">) is a multi-day, GPU-dependent job (the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leave-one-region-out and hyperparameter-optimization stages dominate the cost).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reviewer can instead confirm internal consistency in minutes with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python paper/final_gate.py --check</w:t>
      </w:r>
      <w:r>
        <w:rPr>
          <w:rFonts w:ascii="Arial" w:hAnsi="Arial"/>
        </w:rPr>
        <w:t xml:space="preserve">, which re-derives every gated number, table, stamp,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checksum from the committed frozen archive, and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python paper/regenerate_leaderboard.py --check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leaderboard, neither of which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requires a pipeline run. On a fresh checkout a few unit tests assume artifacts from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prior full run and are skipped when run in isolation; the two gate checks above carry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 such dependency. AquaContam is a research benchmark, not a regulatory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operational risk-assessment product.</w:t>
      </w:r>
    </w:p>
    <w:bookmarkEnd w:id="31"/>
    <w:bookmarkStart w:id="32" w:name="references"/>
    <w:p>
      <w:pPr>
        <w:pStyle w:val="Heading2"/>
        <w:spacing w:lineRule="auto" w:line="360"/>
      </w:pPr>
      <w:r>
        <w:rPr>
          <w:rFonts w:ascii="Arial" w:hAnsi="Arial"/>
        </w:rPr>
        <w:t xml:space="preserve">References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Andrews, D. Q. &amp; Naidenko, O. V. Population-wide exposure to per-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polyfluoroalkyl substances from drinking water in the United States.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Sci. Technol. Lett.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7</w:t>
      </w:r>
      <w:r>
        <w:rPr>
          <w:rFonts w:ascii="Arial" w:hAnsi="Arial"/>
        </w:rPr>
        <w:t xml:space="preserve">, 931–936 (2020).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Hanna-Attisha, M., LaChance, J., Sadler, R. C. &amp; Champney Schnepp, A.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Elevated blood lead levels in children associated with the Flint drinking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water crisis: a spatial analysis of risk and public health response.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Am.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J. Public Health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106</w:t>
      </w:r>
      <w:r>
        <w:rPr>
          <w:rFonts w:ascii="Arial" w:hAnsi="Arial"/>
        </w:rPr>
        <w:t xml:space="preserve">, 283–290 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Cornwell, D. A., Brown, R. A. &amp; Via, S. H. National survey of lead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service line occurrence.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Am. Water Works Assoc.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108</w:t>
      </w:r>
      <w:r>
        <w:rPr>
          <w:rFonts w:ascii="Arial" w:hAnsi="Arial"/>
        </w:rPr>
        <w:t xml:space="preserve">, E182–E191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Fenton, S. E. et al. Per- and polyfluoroalkyl substance toxicity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human health review: current state of knowledge and strategies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informing future research.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Toxicol. Chem.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40</w:t>
      </w:r>
      <w:r>
        <w:rPr>
          <w:rFonts w:ascii="Arial" w:hAnsi="Arial"/>
        </w:rPr>
        <w:t xml:space="preserve">, 606–630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Sunderland, E. M. et al. A review of the pathways of human exposure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poly- and perfluoroalkyl substances (PFASs) and present understanding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health effects.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Expo. Sci. Environ. Epidemiol.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29</w:t>
      </w:r>
      <w:r>
        <w:rPr>
          <w:rFonts w:ascii="Arial" w:hAnsi="Arial"/>
        </w:rPr>
        <w:t xml:space="preserve">, 131–147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(2019).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Lanphear, B. P. et al. Low-level environmental lead exposure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children’s intellectual function: an international pooled analysis.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Health Perspect.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113</w:t>
      </w:r>
      <w:r>
        <w:rPr>
          <w:rFonts w:ascii="Arial" w:hAnsi="Arial"/>
        </w:rPr>
        <w:t xml:space="preserve">, 894–899 (2005).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PFAS National Primary Drinking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Water Regulation. 89 FR 32532 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Seventh Drinking 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Infrastructure Needs Survey and Assessment. EPA 810-R-23-001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Hu, X. C. et al. Detection of poly- and perfluoroalkyl substances (PFASs)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U.S. drinking water linked to industrial sites, military fire training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areas, and wastewater treatment plants.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Sci. Technol. Lett.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3</w:t>
      </w:r>
      <w:r>
        <w:rPr>
          <w:rFonts w:ascii="Arial" w:hAnsi="Arial"/>
        </w:rPr>
        <w:t xml:space="preserve">, 344–350 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Tokranov, A. K. et al. Predictions of groundwater PFAS occurrence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drinking water supply depths in the United States.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Science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386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748–755 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Fernandez, N., Nejadhashemi, A. P. &amp; Loveall, C. Large-scale assessment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PFAS compounds in drinking water sources using machine learning.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Water Res.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243</w:t>
      </w:r>
      <w:r>
        <w:rPr>
          <w:rFonts w:ascii="Arial" w:hAnsi="Arial"/>
        </w:rPr>
        <w:t xml:space="preserve">, 120307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McMahon, P. B. et al. Perfluoroalkyl and polyfluoroalkyl substances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groundwater used as a source of drinking water in the eastern United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Sci. Technol.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56</w:t>
      </w:r>
      <w:r>
        <w:rPr>
          <w:rFonts w:ascii="Arial" w:hAnsi="Arial"/>
        </w:rPr>
        <w:t xml:space="preserve">, 2279–2288 (2022).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Stock, A., Gregr, E. J. &amp; Chan, K. M. A. Data leakage jeopardizes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ecological applications of machine learning.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Nat. Ecol. Evol.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7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1743–1745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Ploton, P. et al. Spatial validation reveals poor predictive performance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large-scale ecological mapping models.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Nat. Commun.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11</w:t>
      </w:r>
      <w:r>
        <w:rPr>
          <w:rFonts w:ascii="Arial" w:hAnsi="Arial"/>
        </w:rPr>
        <w:t xml:space="preserve">, 4540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(2020).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Roberts, D. R. et al. Cross-validation strategies for data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temporal, spatial, hierarchical, or phylogenetic structure.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Ecography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40</w:t>
      </w:r>
      <w:r>
        <w:rPr>
          <w:rFonts w:ascii="Arial" w:hAnsi="Arial"/>
        </w:rPr>
        <w:t xml:space="preserve">, 913–929 (2017).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Meyer, H. &amp; Pebesma, E. Predicting into unknown space? Estimating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area of applicability of spatial prediction models.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Methods Ecol.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Evol.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12</w:t>
      </w:r>
      <w:r>
        <w:rPr>
          <w:rFonts w:ascii="Arial" w:hAnsi="Arial"/>
        </w:rPr>
        <w:t xml:space="preserve">, 1620–1633 (2021).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Kapoor, S. &amp; Narayanan, A. Leakage and the reproducibility crisis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machine-learning-based science.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Patterns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4</w:t>
      </w:r>
      <w:r>
        <w:rPr>
          <w:rFonts w:ascii="Arial" w:hAnsi="Arial"/>
        </w:rPr>
        <w:t xml:space="preserve">, 100804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Koldasbayeva, D. et al. Challenges in data-driven geospatial modeling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environmental research and practice.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Nat. Commun.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15</w:t>
      </w:r>
      <w:r>
        <w:rPr>
          <w:rFonts w:ascii="Arial" w:hAnsi="Arial"/>
        </w:rPr>
        <w:t xml:space="preserve">, 10700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Phillips, S. J. et al. Sample selection bias and presence-only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distribution models: implications for background and pseudo-absence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Ecol. Appl.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19</w:t>
      </w:r>
      <w:r>
        <w:rPr>
          <w:rFonts w:ascii="Arial" w:hAnsi="Arial"/>
        </w:rPr>
        <w:t xml:space="preserve">, 181–197 (2009).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Fithian, W., Elith, J., Hastie, T. &amp; Keith, D. A. Bias correction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species distribution models: pooling survey and collection data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multiple species.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Methods Ecol. Evol.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6</w:t>
      </w:r>
      <w:r>
        <w:rPr>
          <w:rFonts w:ascii="Arial" w:hAnsi="Arial"/>
        </w:rPr>
        <w:t xml:space="preserve">, 424–438 (2015).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Sackett, D. L. Bias in analytic research.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Chronic Dis.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32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51–63 (1979).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Lacoste, A. et al. GEO-Bench: toward foundation models for Earth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NeurIPS Datasets and Benchmarks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Yeh, C. et al. SustainBench: benchmarks for monitoring the Sustainable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Development Goals with machine learning.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NeurIPS Datasets and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Benchmarks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Watson-Parris, D. et al. ClimateBench v1.0: a benchmark for data-driven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climate projections.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Adv. Model. Earth Syst.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14</w:t>
      </w:r>
      <w:r>
        <w:rPr>
          <w:rFonts w:ascii="Arial" w:hAnsi="Arial"/>
        </w:rPr>
        <w:t xml:space="preserve">, e2021MS002954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(2022).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Safe Drinking Water Information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 (SDWIS). https://www.epa.gov/ground-water-and-drinking-water/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safe-drinking-water-information-system-sdwis-federal-reporting 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Census Bureau. 2020 ZIP Code Tabulation Areas (ZCTAs). TIGER/Line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Gazetteer Files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Grinsztajn, L., Oyallon, E. &amp; Varoquaux, G. Why do tree-based models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still outperform deep learning on typical tabular data?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NeurIPS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(2022).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Shwartz-Ziv, R. &amp; Armon, A. Tabular data: deep learning is not all you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need.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Inf. Fusion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81</w:t>
      </w:r>
      <w:r>
        <w:rPr>
          <w:rFonts w:ascii="Arial" w:hAnsi="Arial"/>
        </w:rPr>
        <w:t xml:space="preserve">, 84–90 (2022).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Lundberg, S. M. &amp; Lee, S.-I. A unified approach to interpreting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predictions.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NeurIPS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4765–4774 (2017).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Salvatore, D. et al. Presumptive contamination: a new approach to PFAS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based on likely sources.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Sci. Technol. Lett.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9</w:t>
      </w:r>
      <w:r>
        <w:rPr>
          <w:rFonts w:ascii="Arial" w:hAnsi="Arial"/>
        </w:rPr>
        <w:t xml:space="preserve">, 983–990 (2022).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Chernozhukov, V. et al. Double/debiased machine learning for treatment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structural parameters.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Econom. J.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21</w:t>
      </w:r>
      <w:r>
        <w:rPr>
          <w:rFonts w:ascii="Arial" w:hAnsi="Arial"/>
        </w:rPr>
        <w:t xml:space="preserve">, C1–C68 (2018).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Peters, J., Bühlmann, P. &amp; Meinshausen, N. Causal inference by using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invariant prediction: identification and confidence intervals.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R.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Stat. Soc. B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78</w:t>
      </w:r>
      <w:r>
        <w:rPr>
          <w:rFonts w:ascii="Arial" w:hAnsi="Arial"/>
        </w:rPr>
        <w:t xml:space="preserve">, 947–1012 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Chouldechova, A. Fair prediction with disparate impact: a study of bias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recidivism prediction instruments.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Big Data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5</w:t>
      </w:r>
      <w:r>
        <w:rPr>
          <w:rFonts w:ascii="Arial" w:hAnsi="Arial"/>
        </w:rPr>
        <w:t xml:space="preserve">, 153–163 (2017).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Kleinberg, J., Mullainathan, S. &amp; Raghavan, M. Inherent trade-offs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fair determination of risk scores.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ITCS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(2017).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Mohai, P. &amp; Saha, R. Which came first, people or pollution? A review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theory and evidence from longitudinal environmental justice studies.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Res. Lett.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10</w:t>
      </w:r>
      <w:r>
        <w:rPr>
          <w:rFonts w:ascii="Arial" w:hAnsi="Arial"/>
        </w:rPr>
        <w:t xml:space="preserve">, 125011 (2015).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Bullard, R. D.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Dumping in Dixie: Race, Class, and Environmental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Quality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(Westview Press, 3rd ed., 2000).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Tessum, C. W. et al. PM</w:t>
      </w:r>
      <w:r>
        <w:rPr>
          <w:rFonts w:ascii="Arial" w:hAnsi="Arial"/>
          <w:vertAlign w:val="subscript"/>
        </w:rPr>
        <w:t xml:space="preserve">2.5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polluters disproportionately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systemically affect people of color in the United States.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Sci. Adv.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7</w:t>
      </w:r>
      <w:r>
        <w:rPr>
          <w:rFonts w:ascii="Arial" w:hAnsi="Arial"/>
        </w:rPr>
        <w:t xml:space="preserve">, eabf4491 (2021).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Liddie, J. M., Schaider, L. A. &amp; Sunderland, E. M. Sociodemographic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factors are associated with the abundance of PFAS sources and detection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U.S. community water systems.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Sci. Technol.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57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7902–7912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Banzhaf, S., Ma, L. &amp; Timmins, C. Environmental justice: the economics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race, place, and pollution.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Econ. Perspect.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33</w:t>
      </w:r>
      <w:r>
        <w:rPr>
          <w:rFonts w:ascii="Arial" w:hAnsi="Arial"/>
        </w:rPr>
        <w:t xml:space="preserve">, 185–208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(2019).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Martinez-Morata, I. et al. Nationwide geospatial analysis of county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racial and ethnic composition and public drinking water arsenic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uranium.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Nat. Commun.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13</w:t>
      </w:r>
      <w:r>
        <w:rPr>
          <w:rFonts w:ascii="Arial" w:hAnsi="Arial"/>
        </w:rPr>
        <w:t xml:space="preserve">, 7461 (2022).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Wadoux, A. M. J.-C., Heuvelink, G. B. M., de Bruin, S. &amp; Brus, D. J.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cross-validation is not the right way to evaluate map accuracy.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Ecol. Modell.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457</w:t>
      </w:r>
      <w:r>
        <w:rPr>
          <w:rFonts w:ascii="Arial" w:hAnsi="Arial"/>
        </w:rPr>
        <w:t xml:space="preserve">, 109692 (2021).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Karasaki, S., Morello-Frosch, R. &amp; Callaway, D. Machine learning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environmental justice: dissecting an algorithmic approach to predict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drinking water quality in California.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Sci. Total Environ.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951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175730 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Deng, J. et al. ImageNet: a large-scale hierarchical image database.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IEEE CVPR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248–255 (2009).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Wang, A., Singh, A., Michael, J., Hill, F., Levy, O. &amp; Bowman, S. 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GLUE: a multi-task benchmark and analysis platform for natural language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understanding.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ICLR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(2019).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Fifth Unregulated Contaminant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Rule (UCMR 5) occurrence data. https://www.epa.gov/dwucmr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Third Unregulated Contaminant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Rule (UCMR 3) occurrence data. https://www.epa.gov/dwucmr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Lead and Copper Rule Revisions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(LCRR). 86 FR 4198 (2021).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Facility Registry Service (FRS).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https://www.epa.gov/frs 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Dewitz, J. &amp; U.S. Geological Survey. National Land Cover Database (NLCD)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2021 Products. U.S. Geological Survey data release.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https://doi.org/10.5066/P9JZ7AO3 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Geological Survey. Principal Aquifers of the United States.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https://water.usgs.gov/ogw/aquifer/map.html (2003).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U.S. Environmental Protection Agency. EJScreen: Environmental Justice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Screening and Mapping Tool. Archived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https://web.archive.org/web/2024/https://www.epa.gov/ejscreen (2024).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Chen, T. &amp; Guestrin, C. XGBoost: a scalable tree boosting system.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KDD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785–794 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Breiman, L. Random forests.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Mach. Learn.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45</w:t>
      </w:r>
      <w:r>
        <w:rPr>
          <w:rFonts w:ascii="Arial" w:hAnsi="Arial"/>
        </w:rPr>
        <w:t xml:space="preserve">, 5–32 (2001).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Ke, G. et al. LightGBM: a highly efficient gradient boosting decision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tree.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NeurIPS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3146–3154 (2017).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Prokhorenkova, L., Gusev, G., Vorobev, A., Dorogush, A. V. &amp; Gulin, A.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CatBoost: unbiased boosting with categorical features.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NeurIPS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6639–6649 (2018).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Hollmann, N. et al. TabPFN: a transformer that solves small tabular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classification problems in a second.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ICLR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(2023).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Hollmann, N. et al. Accurate predictions on small data with a tabular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foundation model.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Nature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637</w:t>
      </w:r>
      <w:r>
        <w:rPr>
          <w:rFonts w:ascii="Arial" w:hAnsi="Arial"/>
        </w:rPr>
        <w:t xml:space="preserve">, 319–326 (2025).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Tobin, J. Estimation of relationships for limited dependent variables.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Econometrica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26</w:t>
      </w:r>
      <w:r>
        <w:rPr>
          <w:rFonts w:ascii="Arial" w:hAnsi="Arial"/>
        </w:rPr>
        <w:t xml:space="preserve">, 24–36 (1958).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Ganin, Y. et al. Domain-adversarial training of neural networks.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Mach. Learn. Res.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17</w:t>
      </w:r>
      <w:r>
        <w:rPr>
          <w:rFonts w:ascii="Arial" w:hAnsi="Arial"/>
        </w:rPr>
        <w:t xml:space="preserve">, 1–35 (2016).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Arjovsky, M., Bottou, L., Gulrajani, I. &amp; Lopez-Paz, D. Invariant risk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minimization. Preprint at https://arxiv.org/abs/1907.02893 (2019).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Sagawa, S., Koh, P. W., Hashimoto, T. B. &amp; Liang, P. Distributionally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robust neural networks for group shifts: on the importance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regularization for worst-case generalization.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ICLR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(2020).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Paszke, A. et al. PyTorch: an imperative style, high-performance deep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learning library.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Proc. NeurIPS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8024–8035 (2019).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Pedregosa, F. et al. Scikit-learn: machine learning in Python.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J. Mach.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Learn. Res.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12</w:t>
      </w:r>
      <w:r>
        <w:rPr>
          <w:rFonts w:ascii="Arial" w:hAnsi="Arial"/>
        </w:rPr>
        <w:t xml:space="preserve">, 2825–2830 (2011).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Saito, T. &amp; Rehmsmeier, M. The precision-recall plot is more informative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than the ROC plot when evaluating binary classifiers on imbalanced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datasets.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PLoS ONE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10</w:t>
      </w:r>
      <w:r>
        <w:rPr>
          <w:rFonts w:ascii="Arial" w:hAnsi="Arial"/>
        </w:rPr>
        <w:t xml:space="preserve">, e0118432 (2015).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Vovk, V., Gammerman, A. &amp; Shafer, G.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Algorithmic Learning in a Random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World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(Springer, 2005).</w:t>
      </w:r>
    </w:p>
    <w:p>
      <w:pPr>
        <w:numPr>
          <w:ilvl w:val="0"/>
          <w:numId w:val="1003"/>
        </w:numPr>
        <w:spacing w:lineRule="auto" w:line="360"/>
      </w:pPr>
      <w:r>
        <w:rPr>
          <w:rFonts w:ascii="Arial" w:hAnsi="Arial"/>
        </w:rPr>
        <w:t xml:space="preserve">Morello-Frosch, R. &amp; Jesdale, B. M. Separate and unequal: residential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segregation and estimated cancer risks associated with ambient air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toxics in U.S. metropolitan areas.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Environ. Health Perspect.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114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386–393 (2006).</w:t>
      </w:r>
    </w:p>
    <w:bookmarkEnd w:id="32"/>
    <w:bookmarkStart w:id="33" w:name="author-contributions"/>
    <w:p>
      <w:pPr>
        <w:pStyle w:val="Heading2"/>
        <w:spacing w:lineRule="auto" w:line="360"/>
      </w:pPr>
      <w:r>
        <w:rPr>
          <w:rFonts w:ascii="Arial" w:hAnsi="Arial"/>
        </w:rPr>
        <w:t xml:space="preserve">Author Contributions</w:t>
      </w:r>
    </w:p>
    <w:p>
      <w:pPr>
        <w:pStyle w:val="FirstParagraph"/>
        <w:spacing w:lineRule="auto" w:line="360"/>
      </w:pPr>
      <w:r>
        <w:rPr>
          <w:rFonts w:ascii="Arial" w:hAnsi="Arial"/>
          <w:b/>
          <w:bCs/>
        </w:rPr>
        <w:t xml:space="preserve">Tyler J. Newton</w:t>
      </w:r>
      <w:r>
        <w:rPr>
          <w:rFonts w:ascii="Arial" w:hAnsi="Arial"/>
        </w:rPr>
        <w:t xml:space="preserve">: Conceptualization, Methodology, Software, Validation,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Formal Analysis, Investigation, Data Curation, Writing – Original Draft,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Writing – Review &amp; Editing, Visualization, Project Administration.</w:t>
      </w:r>
    </w:p>
    <w:bookmarkEnd w:id="33"/>
    <w:bookmarkStart w:id="34" w:name="competing-interests"/>
    <w:p>
      <w:pPr>
        <w:pStyle w:val="Heading2"/>
        <w:spacing w:lineRule="auto" w:line="360"/>
      </w:pPr>
      <w:r>
        <w:rPr>
          <w:rFonts w:ascii="Arial" w:hAnsi="Arial"/>
        </w:rPr>
        <w:t xml:space="preserve">Competing Interests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The author declares no competing interests.</w:t>
      </w:r>
    </w:p>
    <w:bookmarkEnd w:id="34"/>
    <w:bookmarkStart w:id="35" w:name="ethics-statement"/>
    <w:p>
      <w:pPr>
        <w:pStyle w:val="Heading2"/>
        <w:spacing w:lineRule="auto" w:line="360"/>
      </w:pPr>
      <w:r>
        <w:rPr>
          <w:rFonts w:ascii="Arial" w:hAnsi="Arial"/>
        </w:rPr>
        <w:t xml:space="preserve">Ethics Statement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This study uses exclusively public administrative data from federal and state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environmental monitoring programs (EPA UCMR, SDWIS, FRS, EJScreen; state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programs in MI, CA, OH, WA, MO, NJ, NC). No human subjects data were collected or used.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Demographic data from EJScreen are aggregated at the Census block group level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cannot identify individuals. Water system identifiers (PWSIDs) are public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records. The environmental justice analysis examines disparities 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exposure across demographic groups to inform equitable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regulatory action, consistent with environmental justice principles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federal and state agencies have historically recognized.</w:t>
      </w:r>
    </w:p>
    <w:bookmarkEnd w:id="35"/>
    <w:bookmarkStart w:id="36" w:name="acknowledgements"/>
    <w:p>
      <w:pPr>
        <w:pStyle w:val="Heading2"/>
        <w:spacing w:lineRule="auto" w:line="360"/>
      </w:pPr>
      <w:r>
        <w:rPr>
          <w:rFonts w:ascii="Arial" w:hAnsi="Arial"/>
        </w:rPr>
        <w:t xml:space="preserve">Acknowledgements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We acknowledge the U.S. Environmental Protection Agency for making UCMR,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SDWIS, FRS, and EJScreen data publicly available, and the USGS/EPA Water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Quality Portal for providing nationwide water quality monitoring data.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State-level data were obtained from the Michigan Department of Environment,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Great Lakes, and Energy (MPART), California State Water Resources Control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Board (GeoTracker GAMA), New Jersey Department of Environmental Protection,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North Carolina Department of Environmental Quality, the Missouri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Department of Natural Resources, the Ohio Environmental Protection Agency,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 Washington State Department of Health (DOH). This research received no external funding.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This work was conducted independently using personal computing resources.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thank Gabrielle N. LaFayette for helpful discussion.</w:t>
      </w:r>
    </w:p>
    <w:bookmarkEnd w:id="36"/>
    <w:bookmarkStart w:id="37" w:name="figure-legends"/>
    <w:p>
      <w:pPr>
        <w:pStyle w:val="Heading2"/>
        <w:spacing w:lineRule="auto" w:line="360"/>
      </w:pPr>
      <w:r>
        <w:rPr>
          <w:rFonts w:ascii="Arial" w:hAnsi="Arial"/>
        </w:rPr>
        <w:t xml:space="preserve">Figure Legends</w:t>
      </w:r>
    </w:p>
    <w:p>
      <w:pPr>
        <w:pStyle w:val="FirstParagraph"/>
        <w:spacing w:lineRule="auto" w:line="360"/>
      </w:pPr>
      <w:r>
        <w:rPr>
          <w:rFonts w:ascii="Arial" w:hAnsi="Arial"/>
          <w:b/>
          <w:bCs/>
        </w:rPr>
        <w:t xml:space="preserve">Figure 1 | National-scale data integration.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Map of the contiguous United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States showing water system sampling locations from fifteen data sources.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Federal sources (UCMR5, UCMR3, SDWIS, WQP; circles) provide national coverage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across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95,223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water systems and ambient monitoring locations, while six state databases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(MI MPART, CA GeoTracker, WA DOH, MO DNR, NJ DEP, MN MDH; triangles)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provide complementary regional coverage. Points represent unique water system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locations (n =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87,450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geocoded systems) colored by data source using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colorblind-safe palette. The dataset integrates over 4 million water quality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with standardized units (micrograms per liter) and explicit censoring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flags. See Table 1 for per-source sample counts and analyte coverage.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Figure 2 | Two compounding confounds inflate reported skill.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a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Spatial leakage: T1 (PFAS detection) AUPRC for XGBoost on the baseline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proximity/demographic feature set under random versus geographically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stratified splitting (</w:t>
      </w:r>
      <w:r>
        <w:rPr>
          <w:rFonts w:ascii="Arial" w:hAnsi="Arial"/>
        </w:rPr>
        <w:t xml:space="preserve">0.744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0.532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1.40</w:t>
      </w:r>
      <w:r>
        <w:rPr>
          <w:rFonts w:ascii="Arial" w:hAnsi="Arial"/>
        </w:rPr>
        <w:t xml:space="preserve">× inflation).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b</w:t>
      </w:r>
      <w:r>
        <w:rPr>
          <w:rFonts w:ascii="Arial" w:hAnsi="Arial"/>
        </w:rPr>
        <w:t xml:space="preserve">, Ascertainment,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two comparisons. First,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T1 AUPRC with versus without detection-only data sources (</w:t>
      </w:r>
      <w:r>
        <w:rPr>
          <w:rFonts w:ascii="Arial" w:hAnsi="Arial"/>
        </w:rPr>
        <w:t xml:space="preserve">0.760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0.343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prevalence-independent AUROC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0.838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0.714</w:t>
      </w:r>
      <w:r>
        <w:rPr>
          <w:rFonts w:ascii="Arial" w:hAnsi="Arial"/>
        </w:rPr>
        <w:t xml:space="preserve">; n = 256 systems excluded). Second, T4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(lead action-level) AUPRC with versus without monitoring-intensity features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Fonts w:ascii="Arial" w:hAnsi="Arial"/>
        </w:rPr>
        <w:t xml:space="preserve">0.421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→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0.302</w:t>
      </w:r>
      <w:r>
        <w:rPr>
          <w:rFonts w:ascii="Arial" w:hAnsi="Arial"/>
        </w:rPr>
        <w:t xml:space="preserve">, after removing a target-leakage artifact that had inflated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T4 baseline to 0.902). Together the two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confounds inflate the evaluation and the learnable signal; the sections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follow decompose how much skill survives when both are removed. See Extended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 Table 4 for the full random-vs-geographic comparison and Extended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Table 1 for category ablations.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Figure 3 | Models learn the monitoring process.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Mean absolute SHAP value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top 15 features of the T1 XGBoost model (SHAP computed on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 = 2,846 test systems).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a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the full feature set, data-source provenance proxies dominate: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monitoring intensity (n_samples; mean |SHAP|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0.383</w:t>
      </w:r>
      <w:r>
        <w:rPr>
          <w:rFonts w:ascii="Arial" w:hAnsi="Arial"/>
        </w:rPr>
        <w:t xml:space="preserve">) is the single largest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feature, followed by the owner-type missingness indicator (which database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reported a system;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0.287</w:t>
      </w:r>
      <w:r>
        <w:rPr>
          <w:rFonts w:ascii="Arial" w:hAnsi="Arial"/>
        </w:rPr>
        <w:t xml:space="preserve">) and the mean detection limit (</w:t>
      </w:r>
      <w:r>
        <w:rPr>
          <w:rFonts w:ascii="Arial" w:hAnsi="Arial"/>
        </w:rPr>
        <w:t xml:space="preserve">0.045</w:t>
      </w:r>
      <w:r>
        <w:rPr>
          <w:rFonts w:ascii="Arial" w:hAnsi="Arial"/>
        </w:rPr>
        <w:t xml:space="preserve">).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b</w:t>
      </w:r>
      <w:r>
        <w:rPr>
          <w:rFonts w:ascii="Arial" w:hAnsi="Arial"/>
        </w:rPr>
        <w:t xml:space="preserve">, With the ten provenance and monitoring features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removed, attribution shifts to the substantive environmental drivers (system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type, source water type, wetland fraction, land use, aquifer lithology). See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Extended Data Fig. 2 for the adjusted-versus-correlational (DML) comparison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Extended Data Table 1 for feature-category ablation.</w:t>
      </w:r>
    </w:p>
    <w:p>
      <w:pPr>
        <w:pStyle w:val="BodyText"/>
        <w:spacing w:lineRule="auto" w:line="360"/>
      </w:pPr>
      <w:r>
        <w:rPr>
          <w:rFonts w:ascii="Arial" w:hAnsi="Arial"/>
          <w:b/>
          <w:bCs/>
        </w:rPr>
        <w:t xml:space="preserve">Figure 4 | Inequitable monitoring.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a</w:t>
      </w:r>
      <w:r>
        <w:rPr>
          <w:rFonts w:ascii="Arial" w:hAnsi="Arial"/>
        </w:rPr>
        <w:t xml:space="preserve">, Mean sampling intensity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(samples per system) among monitored systems for high-share (&gt;80th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percentile) versus low-share (&lt;50th percentile) systems on four EJScreen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demographic dimensions, annotated with the high/low intensity ratio (systems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serving communities of color are sampled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1.85</w:t>
      </w:r>
      <w:r>
        <w:rPr>
          <w:rFonts w:ascii="Arial" w:hAnsi="Arial"/>
        </w:rPr>
        <w:t xml:space="preserve">× more; an infinite ratio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indicates no low-share systems).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b</w:t>
      </w:r>
      <w:r>
        <w:rPr>
          <w:rFonts w:ascii="Arial" w:hAnsi="Arial"/>
        </w:rPr>
        <w:t xml:space="preserve">, Population-size-adjusted regression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coefficients (log samples per 1 s.d. of the demographic indicator) with 95%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confidence intervals; communities of color are over-sampled while low-income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low-education communities are under-sampled, all p &lt; 0.001. Differential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ascertainment biases both contamination estimates and the equity conclusions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drawn from them. Test-set detection-burden ratios are reported in Extended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 Table 2.</w:t>
      </w:r>
    </w:p>
    <w:bookmarkEnd w:id="37"/>
    <w:bookmarkStart w:id="38" w:name="extended-data"/>
    <w:p>
      <w:pPr>
        <w:pStyle w:val="Heading2"/>
        <w:spacing w:lineRule="auto" w:line="360"/>
      </w:pPr>
      <w:r>
        <w:rPr>
          <w:rFonts w:ascii="Arial" w:hAnsi="Arial"/>
        </w:rPr>
        <w:t xml:space="preserve">Extended Data</w:t>
      </w:r>
    </w:p>
    <w:p>
      <w:pPr>
        <w:pStyle w:val="FirstParagraph"/>
        <w:spacing w:lineRule="auto" w:line="360"/>
      </w:pPr>
      <w:r>
        <w:rPr>
          <w:rFonts w:ascii="Arial" w:hAnsi="Arial"/>
        </w:rPr>
        <w:t xml:space="preserve">Extended Data figures and tables are provided as a separate document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Style w:val="VerbatimChar"/>
          <w:rFonts w:ascii="Arial" w:hAnsi="Arial"/>
        </w:rPr>
        <w:t xml:space="preserve">extended_data.md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/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extended_data.docx</w:t>
      </w:r>
      <w:r>
        <w:rPr>
          <w:rFonts w:ascii="Arial" w:hAnsi="Arial"/>
        </w:rPr>
        <w:t xml:space="preserve">), generated and number-gated from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frozen results archive. They are not duplicated here: an embedded copy drifted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the archive undetected (it evaded the marker audit) and is exactly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defect class the deterministic gate now closes. The DOCX conversion for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submission manuscript already excluded this section.</w:t>
      </w:r>
    </w:p>
    <w:bookmarkEnd w:id="38"/>
    <w:bookmarkEnd w:id="3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023">
    <w:nsid w:val="A99432023"/>
    <w:multiLevelType w:val="multilevel"/>
    <w:lvl w:ilvl="0">
      <w:start w:val="2023"/>
      <w:numFmt w:val="decimal"/>
      <w:lvlText w:val="(%1)"/>
      <w:lvlJc w:val="left"/>
      <w:pPr>
        <w:ind w:left="720" w:hanging="360"/>
      </w:pPr>
    </w:lvl>
    <w:lvl w:ilvl="1">
      <w:start w:val="2023"/>
      <w:numFmt w:val="decimal"/>
      <w:lvlText w:val="(%2)"/>
      <w:lvlJc w:val="left"/>
      <w:pPr>
        <w:ind w:left="1440" w:hanging="360"/>
      </w:pPr>
    </w:lvl>
    <w:lvl w:ilvl="2">
      <w:start w:val="2023"/>
      <w:numFmt w:val="decimal"/>
      <w:lvlText w:val="(%3)"/>
      <w:lvlJc w:val="left"/>
      <w:pPr>
        <w:ind w:left="2160" w:hanging="360"/>
      </w:pPr>
    </w:lvl>
    <w:lvl w:ilvl="3">
      <w:start w:val="2023"/>
      <w:numFmt w:val="decimal"/>
      <w:lvlText w:val="(%4)"/>
      <w:lvlJc w:val="left"/>
      <w:pPr>
        <w:ind w:left="2880" w:hanging="360"/>
      </w:pPr>
    </w:lvl>
    <w:lvl w:ilvl="4">
      <w:start w:val="2023"/>
      <w:numFmt w:val="decimal"/>
      <w:lvlText w:val="(%5)"/>
      <w:lvlJc w:val="left"/>
      <w:pPr>
        <w:ind w:left="3600" w:hanging="360"/>
      </w:pPr>
    </w:lvl>
    <w:lvl w:ilvl="5">
      <w:start w:val="2023"/>
      <w:numFmt w:val="decimal"/>
      <w:lvlText w:val="(%6)"/>
      <w:lvlJc w:val="left"/>
      <w:pPr>
        <w:ind w:left="4320" w:hanging="360"/>
      </w:pPr>
    </w:lvl>
    <w:lvl w:ilvl="6">
      <w:start w:val="2023"/>
      <w:numFmt w:val="decimal"/>
      <w:lvlText w:val="(%7)"/>
      <w:lvlJc w:val="left"/>
      <w:pPr>
        <w:ind w:left="5040" w:hanging="360"/>
      </w:pPr>
    </w:lvl>
    <w:lvl w:ilvl="7">
      <w:start w:val="2023"/>
      <w:numFmt w:val="decimal"/>
      <w:lvlText w:val="(%8)"/>
      <w:lvlJc w:val="left"/>
      <w:pPr>
        <w:ind w:left="5760" w:hanging="360"/>
      </w:pPr>
    </w:lvl>
    <w:lvl w:ilvl="8">
      <w:start w:val="202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3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2026-08-05T18:21:34Z</dcterms:created>
  <dcterms:modified xsi:type="dcterms:W3CDTF">2026-08-05T18:21:34Z</dcterms:modified>
  <dc:description>aquacontam-provenance source_sha256=f0eab5a3e32c2a2565c341a77be18c0950bf96e8e18b1b14e68cb24a715fce01 git=f9cbc3bbd569d60e4788fe0ec5ef1d4cd2630f50 generated=2026-08-05T18:21:35Z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