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673a4d9b112527037b7711e5e24cc8a9700117"/>
    <w:p>
      <w:pPr>
        <w:pStyle w:val="Heading1"/>
        <w:spacing w:lineRule="auto" w:line="240"/>
      </w:pPr>
      <w:r>
        <w:rPr>
          <w:rFonts w:ascii="Arial" w:hAnsi="Arial"/>
        </w:rPr>
        <w:t xml:space="preserve">Understanding This Paper: A Guide for Water Scientists</w:t>
      </w:r>
    </w:p>
    <w:p>
      <w:pPr>
        <w:pStyle w:val="FirstParagraph"/>
        <w:spacing w:lineRule="auto" w:line="240"/>
      </w:pPr>
      <w:r>
        <w:rPr>
          <w:rFonts w:ascii="Arial" w:hAnsi="Arial"/>
          <w:i/>
          <w:iCs/>
        </w:rPr>
        <w:t xml:space="preserve">A plain-language companion for readers without a machine-learning background.</w:t>
      </w:r>
    </w:p>
    <w:bookmarkStart w:id="9" w:name="what-the-paper-shows"/>
    <w:p>
      <w:pPr>
        <w:pStyle w:val="Heading2"/>
        <w:spacing w:lineRule="auto" w:line="240"/>
      </w:pPr>
      <w:r>
        <w:rPr>
          <w:rFonts w:ascii="Arial" w:hAnsi="Arial"/>
        </w:rPr>
        <w:t xml:space="preserve">What the paper shows</w:t>
      </w:r>
    </w:p>
    <w:p>
      <w:pPr>
        <w:pStyle w:val="FirstParagraph"/>
        <w:spacing w:lineRule="auto" w:line="240"/>
      </w:pPr>
      <w:r>
        <w:rPr>
          <w:rFonts w:ascii="Arial" w:hAnsi="Arial"/>
        </w:rPr>
        <w:t xml:space="preserve">Machine-learning models increasingly predict where drinking-water contamination such as PFAS or lead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will occur, guiding monitoring and regulation. But they are trained on administrative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records that capture who gets sampled, how often, and at what detection limit as much as where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occurs. Standard evaluations therefore overstate skill: random splits let neighboring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fall in both training and test sets, and the models read fingerprints of the monitoring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program itself. Held out honestly by whole region, with monitoring inputs removed, the real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environmental signal is modest and uneven, and the same confound distorts the equity conclusions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drawn from these data. Analogy: predicting where fish are from a fleet’s catch logs teaches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fleet’s habits, not the fish.</w:t>
      </w:r>
    </w:p>
    <w:bookmarkEnd w:id="9"/>
    <w:bookmarkStart w:id="10" w:name="key-terms-translated"/>
    <w:p>
      <w:pPr>
        <w:pStyle w:val="Heading2"/>
        <w:spacing w:lineRule="auto" w:line="240"/>
      </w:pPr>
      <w:r>
        <w:rPr>
          <w:rFonts w:ascii="Arial" w:hAnsi="Arial"/>
        </w:rPr>
        <w:t xml:space="preserve">Key terms, translated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Feature: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input variable (industry distance, % wetland, aquifer type).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Train/validation/test split: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fit, tune, and judge on three separate sets.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Geographic holdout: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test on whole held-out regions, not a random mix.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Spatial leakage: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skill inflated when neighbors fall on both sides of a split.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LORO: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rotate testing across all 10 EPA regions; +/- is the regional spread.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AUROC: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ranking score for yes/no calls; 0.5 = coin flip, 1.0 = perfect.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AUPRC: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like AUROC but for rare detections; chance = the detection rate.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Gradient-boosted trees (XGBoost, Random Forest):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best tabular models here.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Provenance / ascertainment: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skill from the monitoring process, not nature.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SHAP / feature importance: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how much each input drives predictions.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Double machine learning (DML):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 input’s link with other inputs removed.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Monitoring-invariant model (ICP):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ignores monitoring fingerprints by design.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Censored / non-detect: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below-limit values; Tobit/hurdle models keep them.</w:t>
      </w:r>
    </w:p>
    <w:p>
      <w:pPr>
        <w:pStyle w:val="Compact"/>
        <w:numPr>
          <w:ilvl w:val="0"/>
          <w:numId w:val="1001"/>
        </w:numPr>
        <w:spacing w:lineRule="auto" w:line="240"/>
      </w:pPr>
      <w:r>
        <w:rPr>
          <w:rFonts w:ascii="Arial" w:hAnsi="Arial"/>
          <w:b/>
          <w:bCs/>
        </w:rPr>
        <w:t xml:space="preserve">Burden ratio: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contamination in one group vs. a reference group.</w:t>
      </w:r>
    </w:p>
    <w:bookmarkEnd w:id="10"/>
    <w:bookmarkStart w:id="11" w:name="reading-the-headline-numbers"/>
    <w:p>
      <w:pPr>
        <w:pStyle w:val="Heading2"/>
        <w:spacing w:lineRule="auto" w:line="240"/>
      </w:pPr>
      <w:r>
        <w:rPr>
          <w:rFonts w:ascii="Arial" w:hAnsi="Arial"/>
        </w:rPr>
        <w:t xml:space="preserve">Reading the headline numbers</w:t>
      </w:r>
    </w:p>
    <w:p>
      <w:pPr>
        <w:pStyle w:val="Compact"/>
        <w:numPr>
          <w:ilvl w:val="0"/>
          <w:numId w:val="1002"/>
        </w:numPr>
        <w:spacing w:lineRule="auto" w:line="240"/>
      </w:pPr>
      <w:r>
        <w:rPr>
          <w:rFonts w:ascii="Arial" w:hAnsi="Arial"/>
          <w:b/>
          <w:bCs/>
        </w:rPr>
        <w:t xml:space="preserve">Lead, AUROC 0.962 →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0.550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(monitoring inputs removed): the model mostly tracked who gets sampled, not the environment.</w:t>
      </w:r>
    </w:p>
    <w:p>
      <w:pPr>
        <w:pStyle w:val="Compact"/>
        <w:numPr>
          <w:ilvl w:val="0"/>
          <w:numId w:val="1002"/>
        </w:numPr>
        <w:spacing w:lineRule="auto" w:line="240"/>
      </w:pPr>
      <w:r>
        <w:rPr>
          <w:rFonts w:ascii="Arial" w:hAnsi="Arial"/>
          <w:b/>
          <w:bCs/>
        </w:rPr>
        <w:t xml:space="preserve">PFAS, AUPRC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0.744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→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0.532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(random → geographic split): honest evaluation is far below prior random-split numbers.</w:t>
      </w:r>
    </w:p>
    <w:p>
      <w:pPr>
        <w:pStyle w:val="Compact"/>
        <w:numPr>
          <w:ilvl w:val="0"/>
          <w:numId w:val="1002"/>
        </w:numPr>
        <w:spacing w:lineRule="auto" w:line="240"/>
      </w:pPr>
      <w:r>
        <w:rPr>
          <w:rFonts w:ascii="Arial" w:hAnsi="Arial"/>
          <w:b/>
          <w:bCs/>
        </w:rPr>
        <w:t xml:space="preserve">PFAS, out-of-region AUROC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0.782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→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 xml:space="preserve">0.691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(monitoring inputs removed): the transportable environmental signal is modest and uneven.</w:t>
      </w:r>
    </w:p>
    <w:p>
      <w:pPr>
        <w:pStyle w:val="Compact"/>
        <w:numPr>
          <w:ilvl w:val="0"/>
          <w:numId w:val="1002"/>
        </w:numPr>
        <w:spacing w:lineRule="auto" w:line="240"/>
      </w:pPr>
      <w:r>
        <w:rPr>
          <w:rFonts w:ascii="Arial" w:hAnsi="Arial"/>
          <w:b/>
          <w:bCs/>
        </w:rPr>
        <w:t xml:space="preserve">1.85</w:t>
      </w:r>
      <w:r>
        <w:rPr>
          <w:rFonts w:ascii="Arial" w:hAnsi="Arial"/>
          <w:b/>
          <w:bCs/>
        </w:rPr>
        <w:t xml:space="preserve">×: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communities of color are monitored far more intensively than others, so monitoring itself is inequitably allocated.</w:t>
      </w:r>
    </w:p>
    <w:p>
      <w:pPr>
        <w:pStyle w:val="FirstParagraph"/>
        <w:spacing w:lineRule="auto" w:line="240"/>
      </w:pPr>
      <w:r>
        <w:rPr>
          <w:rFonts w:ascii="Arial" w:hAnsi="Arial"/>
          <w:i/>
          <w:iCs/>
        </w:rPr>
        <w:t xml:space="preserve">Full methods, numbers, and citations are in the manuscript.</w:t>
      </w:r>
    </w:p>
    <w:bookmarkEnd w:id="11"/>
    <w:bookmarkEnd w:id="12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240" w:lineRule="auto"/>
    </w:pPr>
    <w:rPr>
      <w:rFonts w:ascii="Arial" w:hAnsi="Arial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2026-07-05T16:49:41Z</dcterms:created>
  <dcterms:modified xsi:type="dcterms:W3CDTF">2026-07-05T16:49:41Z</dcterms:modified>
  <dc:description>aquacontam-provenance source_sha256=72b5aee5200db07b2e6e30b3e92057dafd001b4dda0deaaf1758fd900e436e8e git=e484a6dc7d2aed06b05719d378ef6364064e2813 generated=2026-07-05T16:49:41Z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