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pPr>
        <w:pStyle w:val="Title"/>
        <w:rPr>
          <w:lang w:val="en-US"/>
        </w:rPr>
      </w:pPr>
      <w:r>
        <w:rPr>
          <w:sz w:val="48"/>
          <w:szCs w:val="48"/>
          <w:lang w:val="en-US"/>
        </w:rPr>
        <w:t xml:space="preserve">BTC Price Predictor</w:t>
      </w:r>
    </w:p>
    <w:p>
      <w:pPr>
        <w:pStyle w:val="Subtitle"/>
        <w:rPr>
          <w:lang w:val="en-US"/>
        </w:rPr>
      </w:pPr>
      <w:r>
        <w:rPr>
          <w:sz w:val="24"/>
          <w:szCs w:val="24"/>
          <w:lang w:val="en-US"/>
        </w:rPr>
        <w:t xml:space="preserve">[Names of all group members], 26 October 2026</w:t>
      </w:r>
    </w:p>
    <w:p>
      <w:pPr>
        <w:spacing w:after="160"/>
        <w:rPr>
          <w:lang w:val="en-US"/>
        </w:rPr>
      </w:pPr>
      <w:r>
        <w:rPr>
          <w:b/>
          <w:bCs/>
          <w:lang w:val="en-US"/>
        </w:rPr>
        <w:t xml:space="preserve">Live website:</w:t>
      </w:r>
      <w:r>
        <w:rPr>
          <w:lang w:val="en-US"/>
        </w:rPr>
        <w:t xml:space="preserve"> [link to the live website] · </w:t>
      </w:r>
      <w:r>
        <w:rPr>
          <w:b/>
          <w:bCs/>
          <w:lang w:val="en-US"/>
        </w:rPr>
        <w:t xml:space="preserve">Code:</w:t>
      </w:r>
      <w:r>
        <w:rPr>
          <w:lang w:val="en-US"/>
        </w:rPr>
        <w:t xml:space="preserve"> </w:t>
      </w:r>
      <w:hyperlink r:id="rIdX1001">
        <w:r>
          <w:rPr>
            <w:color w:val="1155CC"/>
            <w:u w:val="single"/>
            <w:lang w:val="en-US"/>
          </w:rPr>
          <w:t xml:space="preserve">github.com/tjommilaskus/ml-innlevering_2</w:t>
        </w:r>
      </w:hyperlink>
    </w:p>
    <w:p>
      <w:pPr>
        <w:pStyle w:val="Heading1"/>
        <w:rPr>
          <w:lang w:val="en-US"/>
        </w:rPr>
      </w:pPr>
      <w:r>
        <w:rPr>
          <w:b/>
          <w:bCs/>
          <w:sz w:val="30"/>
          <w:szCs w:val="30"/>
          <w:lang w:val="en-US"/>
        </w:rPr>
        <w:t xml:space="preserve">1: DESCRIBE THE PROBLEM</w:t>
      </w:r>
    </w:p>
    <w:p>
      <w:pPr>
        <w:pStyle w:val="Heading2"/>
        <w:rPr>
          <w:lang w:val="en-US"/>
        </w:rPr>
      </w:pPr>
      <w:r>
        <w:rPr>
          <w:b/>
          <w:bCs/>
          <w:sz w:val="24"/>
          <w:szCs w:val="24"/>
          <w:lang w:val="en-US"/>
        </w:rPr>
        <w:t xml:space="preserve">SCOPE</w:t>
      </w:r>
    </w:p>
    <w:p>
      <w:pPr>
        <w:spacing w:after="160"/>
        <w:rPr>
          <w:lang w:val="en-US"/>
        </w:rPr>
      </w:pPr>
      <w:r>
        <w:rPr>
          <w:lang w:val="en-US"/>
        </w:rPr>
        <w:t xml:space="preserve">The Bitcoin (BTC) price moves a lot: on average 0.4% every hour, and often 10% or more in a week. People who own a little BTC want to know </w:t>
      </w:r>
      <w:r>
        <w:rPr>
          <w:i/>
          <w:iCs/>
          <w:lang w:val="en-US"/>
        </w:rPr>
        <w:t xml:space="preserve">where the price is going</w:t>
      </w:r>
      <w:r>
        <w:rPr>
          <w:lang w:val="en-US"/>
        </w:rPr>
        <w:t xml:space="preserve"> and </w:t>
      </w:r>
      <w:r>
        <w:rPr>
          <w:i/>
          <w:iCs/>
          <w:lang w:val="en-US"/>
        </w:rPr>
        <w:t xml:space="preserve">how much it could move</w:t>
      </w:r>
      <w:r>
        <w:rPr>
          <w:lang w:val="en-US"/>
        </w:rPr>
        <w:t xml:space="preserve">. Today they get answers from price targets on social media, "technical analysis" indicators or prediction markets, and these answers rarely come with an honest record of how often they were right.</w:t>
      </w:r>
    </w:p>
    <w:p>
      <w:pPr>
        <w:spacing w:after="160"/>
        <w:rPr>
          <w:lang w:val="en-US"/>
        </w:rPr>
      </w:pPr>
      <w:r>
        <w:rPr>
          <w:lang w:val="en-US"/>
        </w:rPr>
        <w:t xml:space="preserve">Our goal is a website, the </w:t>
      </w:r>
      <w:r>
        <w:rPr>
          <w:b/>
          <w:bCs/>
          <w:lang w:val="en-US"/>
        </w:rPr>
        <w:t xml:space="preserve">BTC Price Predictor</w:t>
      </w:r>
      <w:r>
        <w:rPr>
          <w:lang w:val="en-US"/>
        </w:rPr>
        <w:t xml:space="preserve">, that answers both questions for the next hour, the next 7 days and the next 30 days, and is honest about how good the answers are. For each horizon it shows a guessed (average) price and direction, the expected size of the move, an 80% range the price should land in, and whether the guess is one of the model's </w:t>
      </w:r>
      <w:r>
        <w:rPr>
          <w:i/>
          <w:iCs/>
          <w:lang w:val="en-US"/>
        </w:rPr>
        <w:t xml:space="preserve">confident</w:t>
      </w:r>
      <w:r>
        <w:rPr>
          <w:lang w:val="en-US"/>
        </w:rPr>
        <w:t xml:space="preserve"> ones. The second half of the site is a test bench: the user picks a period in the past, and the site replays the model using only the prices it could have known at the time, with a chart, every guess and a "report card" with the hit rate and the chance that the result is just luck. The site is meant to be fun, and to teach a lesson about markets: the size of a move can be predicted quite well, the direction barely.</w:t>
      </w:r>
    </w:p>
    <w:p>
      <w:pPr>
        <w:spacing w:after="160"/>
        <w:rPr>
          <w:lang w:val="en-US"/>
        </w:rPr>
      </w:pPr>
      <w:r>
        <w:rPr>
          <w:b/>
          <w:bCs/>
          <w:lang w:val="en-US"/>
        </w:rPr>
        <w:t xml:space="preserve">Why machine learning?</w:t>
      </w:r>
      <w:r>
        <w:rPr>
          <w:lang w:val="en-US"/>
        </w:rPr>
        <w:t xml:space="preserve"> Without machine learning, the usual answers are rules of thumb: "the price stays where it is" (the best guess if prices are a random walk), "it went up, so it keeps going up" (momentum), or a range based on how much the price moved lately. These rules are our baselines. Prices are close to unpredictable (Fama, 1970), but the </w:t>
      </w:r>
      <w:r>
        <w:rPr>
          <w:i/>
          <w:iCs/>
          <w:lang w:val="en-US"/>
        </w:rPr>
        <w:t xml:space="preserve">size</w:t>
      </w:r>
      <w:r>
        <w:rPr>
          <w:lang w:val="en-US"/>
        </w:rPr>
        <w:t xml:space="preserve"> of moves comes in clusters: calm hours follow calm hours, wild days follow wild days (Cont, 2001). A model trained on eight years of hourly prices can combine many such signals (recent moves, volume, time of day) and weigh them better than a fixed rule, and the machine learning workflow gives us a clean way to test whether it does.</w:t>
      </w:r>
    </w:p>
    <w:p>
      <w:pPr>
        <w:spacing w:after="160"/>
        <w:rPr>
          <w:lang w:val="en-US"/>
        </w:rPr>
      </w:pPr>
      <w:r>
        <w:rPr>
          <w:b/>
          <w:bCs/>
          <w:lang w:val="en-US"/>
        </w:rPr>
        <w:t xml:space="preserve">Users and business value.</w:t>
      </w:r>
      <w:r>
        <w:rPr>
          <w:lang w:val="en-US"/>
        </w:rPr>
        <w:t xml:space="preserve"> The users are curious BTC owners and students, not professional traders. The site is free, so its value lies in visits and trust: people come back if the ranges hold what they promise. A trading product would need a direction signal strong enough to pay for trading fees; we test this in Section 3 and do not find one.</w:t>
      </w:r>
    </w:p>
    <w:p>
      <w:pPr>
        <w:spacing w:after="160"/>
        <w:rPr>
          <w:lang w:val="en-US"/>
        </w:rPr>
      </w:pPr>
      <w:r>
        <w:rPr>
          <w:b/>
          <w:bCs/>
          <w:lang w:val="en-US"/>
        </w:rPr>
        <w:t xml:space="preserve">The system.</w:t>
      </w:r>
      <w:r>
        <w:rPr>
          <w:lang w:val="en-US"/>
        </w:rPr>
        <w:t xml:space="preserve"> The model is one part of a small pipeline: a data module downloads hourly prices from the Binance API into a CSV file, a feature module turns them into one row per hour, two regression models are trained and calibrated, and a Flask web app serves the results. Changes ripple through: if Binance is down, the forecasts get older (the site then uses its saved prices), and a changed feature means the models, the range calibration and the website text must all be checked again.</w:t>
      </w:r>
    </w:p>
    <w:p>
      <w:pPr>
        <w:spacing w:after="160"/>
        <w:rPr>
          <w:lang w:val="en-US"/>
        </w:rPr>
      </w:pPr>
      <w:r>
        <w:rPr>
          <w:b/>
          <w:bCs/>
          <w:lang w:val="en-US"/>
        </w:rPr>
        <w:t xml:space="preserve">Resources.</w:t>
      </w:r>
      <w:r>
        <w:rPr>
          <w:lang w:val="en-US"/>
        </w:rPr>
        <w:t xml:space="preserve"> No special hardware is needed: a model trains in under a second on a laptop CPU, and the site runs on a free cloud host. The work was done by [number] students over about [number] weeks.</w:t>
      </w:r>
    </w:p>
    <w:p>
      <w:pPr>
        <w:pStyle w:val="Heading2"/>
        <w:rPr>
          <w:lang w:val="en-US"/>
        </w:rPr>
      </w:pPr>
      <w:r>
        <w:rPr>
          <w:b/>
          <w:bCs/>
          <w:sz w:val="24"/>
          <w:szCs w:val="24"/>
          <w:lang w:val="en-US"/>
        </w:rPr>
        <w:t xml:space="preserve">METRICS</w:t>
      </w:r>
    </w:p>
    <w:p>
      <w:pPr>
        <w:pStyle w:val="ListParagraph"/>
        <w:numPr>
          <w:ilvl w:val="0"/>
          <w:numId w:val="1"/>
        </w:numPr>
        <w:spacing w:after="60"/>
        <w:rPr>
          <w:lang w:val="en-US"/>
        </w:rPr>
      </w:pPr>
      <w:r>
        <w:rPr>
          <w:b/>
          <w:bCs/>
          <w:lang w:val="en-US"/>
        </w:rPr>
        <w:t xml:space="preserve">Direction:</w:t>
      </w:r>
      <w:r>
        <w:rPr>
          <w:lang w:val="en-US"/>
        </w:rPr>
        <w:t xml:space="preserve"> the share of guesses with the right direction (up or down), compared with a coin flip (50%) and with "always up". A few hundred guesses can beat 50% by luck, so we also report a one-sided binomial test: the chance of getting at least this many right by flipping a coin ("chance it's luck"). Under 5% means the result is probably real.</w:t>
      </w:r>
    </w:p>
    <w:p>
      <w:pPr>
        <w:pStyle w:val="ListParagraph"/>
        <w:numPr>
          <w:ilvl w:val="0"/>
          <w:numId w:val="1"/>
        </w:numPr>
        <w:spacing w:after="60"/>
        <w:rPr>
          <w:lang w:val="en-US"/>
        </w:rPr>
      </w:pPr>
      <w:r>
        <w:rPr>
          <w:b/>
          <w:bCs/>
          <w:lang w:val="en-US"/>
        </w:rPr>
        <w:t xml:space="preserve">Price accuracy:</w:t>
      </w:r>
      <w:r>
        <w:rPr>
          <w:lang w:val="en-US"/>
        </w:rPr>
        <w:t xml:space="preserve"> 100% minus the mean absolute percentage error, compared with guessing the last price. Users see this first, but it is misleading on its own: any guess close to the last price scores over 99% for the next hour.</w:t>
      </w:r>
    </w:p>
    <w:p>
      <w:pPr>
        <w:pStyle w:val="ListParagraph"/>
        <w:numPr>
          <w:ilvl w:val="0"/>
          <w:numId w:val="1"/>
        </w:numPr>
        <w:spacing w:after="60"/>
        <w:rPr>
          <w:lang w:val="en-US"/>
        </w:rPr>
      </w:pPr>
      <w:r>
        <w:rPr>
          <w:b/>
          <w:bCs/>
          <w:lang w:val="en-US"/>
        </w:rPr>
        <w:t xml:space="preserve">Move size and range:</w:t>
      </w:r>
      <w:r>
        <w:rPr>
          <w:lang w:val="en-US"/>
        </w:rPr>
        <w:t xml:space="preserve"> how much better the expected move is than always guessing the average move (1 − MAE of the model / MAE of the average; above 0% is better), and how often the real price lands inside the 80% range (it should be close to 80%).</w:t>
      </w:r>
    </w:p>
    <w:p>
      <w:pPr>
        <w:pStyle w:val="ListParagraph"/>
        <w:numPr>
          <w:ilvl w:val="0"/>
          <w:numId w:val="1"/>
        </w:numPr>
        <w:spacing w:after="60"/>
        <w:rPr>
          <w:lang w:val="en-US"/>
        </w:rPr>
      </w:pPr>
      <w:r>
        <w:rPr>
          <w:b/>
          <w:bCs/>
          <w:lang w:val="en-US"/>
        </w:rPr>
        <w:t xml:space="preserve">Software:</w:t>
      </w:r>
      <w:r>
        <w:rPr>
          <w:lang w:val="en-US"/>
        </w:rPr>
        <w:t xml:space="preserve"> the time it takes to load the page and to run the test bench.</w:t>
      </w:r>
    </w:p>
    <w:p>
      <w:pPr>
        <w:spacing w:after="160"/>
        <w:rPr>
          <w:lang w:val="en-US"/>
        </w:rPr>
      </w:pPr>
      <w:r>
        <w:rPr>
          <w:lang w:val="en-US"/>
        </w:rPr>
        <w:t xml:space="preserve">The range and move metrics are tied to the business goal: users trust the site if the ranges hold what they promise. </w:t>
      </w:r>
      <w:r>
        <w:rPr>
          <w:b/>
          <w:bCs/>
          <w:lang w:val="en-US"/>
        </w:rPr>
        <w:t xml:space="preserve">We count the project as a success if</w:t>
      </w:r>
      <w:r>
        <w:rPr>
          <w:lang w:val="en-US"/>
        </w:rPr>
        <w:t xml:space="preserve"> we reach (1) range coverage between 75% and 85% on the test period for all horizons, (2) a move guess better than the average move, (3) an hourly direction hit rate above 50% with a chance of luck under 5%, and (4) a front page that loads in about a second and a full test in under 10 seconds. Making money after fees is a stretch goal.</w:t>
      </w:r>
    </w:p>
    <w:p>
      <w:pPr>
        <w:pStyle w:val="Heading1"/>
        <w:rPr>
          <w:lang w:val="en-US"/>
        </w:rPr>
      </w:pPr>
      <w:r>
        <w:rPr>
          <w:b/>
          <w:bCs/>
          <w:sz w:val="30"/>
          <w:szCs w:val="30"/>
          <w:lang w:val="en-US"/>
        </w:rPr>
        <w:t xml:space="preserve">2: DATA</w:t>
      </w:r>
    </w:p>
    <w:p>
      <w:pPr>
        <w:spacing w:after="160"/>
        <w:rPr>
          <w:lang w:val="en-US"/>
        </w:rPr>
      </w:pPr>
      <w:r>
        <w:rPr>
          <w:b/>
          <w:bCs/>
          <w:lang w:val="en-US"/>
        </w:rPr>
        <w:t xml:space="preserve">Source.</w:t>
      </w:r>
      <w:r>
        <w:rPr>
          <w:lang w:val="en-US"/>
        </w:rPr>
        <w:t xml:space="preserve"> We use hourly BTC/USDT candles (open, high, low and close price, and traded volume) from Binance, the largest crypto exchange, through its free public market data API (</w:t>
      </w:r>
      <w:r>
        <w:rPr>
          <w:rFonts w:ascii="Courier New" w:hAnsi="Courier New" w:cs="Courier New"/>
          <w:sz w:val="20"/>
          <w:szCs w:val="20"/>
          <w:lang w:val="en-US"/>
        </w:rPr>
        <w:t xml:space="preserve">data-api.binance.vision</w:t>
      </w:r>
      <w:r>
        <w:rPr>
          <w:lang w:val="en-US"/>
        </w:rPr>
        <w:t xml:space="preserve">, endpoint </w:t>
      </w:r>
      <w:r>
        <w:rPr>
          <w:rFonts w:ascii="Courier New" w:hAnsi="Courier New" w:cs="Courier New"/>
          <w:sz w:val="20"/>
          <w:szCs w:val="20"/>
          <w:lang w:val="en-US"/>
        </w:rPr>
        <w:t xml:space="preserve">/api/v3/klines</w:t>
      </w:r>
      <w:r>
        <w:rPr>
          <w:lang w:val="en-US"/>
        </w:rPr>
        <w:t xml:space="preserve">), which needs no account (Binance, 2026). We use every hour from 1 January 2018: 77,158 hours until 26 October 2026. The prices are saved in </w:t>
      </w:r>
      <w:r>
        <w:rPr>
          <w:rFonts w:ascii="Courier New" w:hAnsi="Courier New" w:cs="Courier New"/>
          <w:sz w:val="20"/>
          <w:szCs w:val="20"/>
          <w:lang w:val="en-US"/>
        </w:rPr>
        <w:t xml:space="preserve">btc_1h.csv</w:t>
      </w:r>
      <w:r>
        <w:rPr>
          <w:lang w:val="en-US"/>
        </w:rPr>
        <w:t xml:space="preserve">, and the website fetches new hours as they finish.</w:t>
      </w:r>
    </w:p>
    <w:p>
      <w:pPr>
        <w:spacing w:after="160"/>
        <w:rPr>
          <w:lang w:val="en-US"/>
        </w:rPr>
      </w:pPr>
      <w:r>
        <w:rPr>
          <w:b/>
          <w:bCs/>
          <w:lang w:val="en-US"/>
        </w:rPr>
        <w:t xml:space="preserve">Labels.</w:t>
      </w:r>
      <w:r>
        <w:rPr>
          <w:lang w:val="en-US"/>
        </w:rPr>
        <w:t xml:space="preserve"> The label comes from the data itself, so no manual labelling is needed: for a guess made at hour </w:t>
      </w:r>
      <w:r>
        <w:rPr>
          <w:i/>
          <w:iCs/>
          <w:lang w:val="en-US"/>
        </w:rPr>
        <w:t xml:space="preserve">t</w:t>
      </w:r>
      <w:r>
        <w:rPr>
          <w:lang w:val="en-US"/>
        </w:rPr>
        <w:t xml:space="preserve"> with a horizon of </w:t>
      </w:r>
      <w:r>
        <w:rPr>
          <w:i/>
          <w:iCs/>
          <w:lang w:val="en-US"/>
        </w:rPr>
        <w:t xml:space="preserve">H</w:t>
      </w:r>
      <w:r>
        <w:rPr>
          <w:lang w:val="en-US"/>
        </w:rPr>
        <w:t xml:space="preserve"> hours, the label is the average closing price over the next </w:t>
      </w:r>
      <w:r>
        <w:rPr>
          <w:i/>
          <w:iCs/>
          <w:lang w:val="en-US"/>
        </w:rPr>
        <w:t xml:space="preserve">H</w:t>
      </w:r>
      <w:r>
        <w:rPr>
          <w:lang w:val="en-US"/>
        </w:rPr>
        <w:t xml:space="preserve"> hours divided by the last price, minus one. For the hourly horizon this is the next hour's change. We use the </w:t>
      </w:r>
      <w:r>
        <w:rPr>
          <w:i/>
          <w:iCs/>
          <w:lang w:val="en-US"/>
        </w:rPr>
        <w:t xml:space="preserve">average</w:t>
      </w:r>
      <w:r>
        <w:rPr>
          <w:lang w:val="en-US"/>
        </w:rPr>
        <w:t xml:space="preserve"> price for weeks and months because it is what a user can act on (spreading a purchase over the period) and it is less noisy than a single hour. The labels are exact exchange prices, and they are consistent: one exchange, one trading pair, one clock (UTC).</w:t>
      </w:r>
    </w:p>
    <w:p>
      <w:pPr>
        <w:spacing w:after="160"/>
        <w:rPr>
          <w:lang w:val="en-US"/>
        </w:rPr>
      </w:pPr>
      <w:r>
        <w:rPr>
          <w:b/>
          <w:bCs/>
          <w:lang w:val="en-US"/>
        </w:rPr>
        <w:t xml:space="preserve">Cleaning.</w:t>
      </w:r>
      <w:r>
        <w:rPr>
          <w:lang w:val="en-US"/>
        </w:rPr>
        <w:t xml:space="preserve"> 122 hours are missing, in 27 gaps (the longest is 33 hours). We insert empty rows for them, so a "last 24 hours" window never jumps over a gap; period averages accept up to half the hours missing; rows with a missing feature are dropped. The hour still in progress is never used.</w:t>
      </w:r>
    </w:p>
    <w:p>
      <w:pPr>
        <w:spacing w:after="160"/>
        <w:rPr>
          <w:lang w:val="en-US"/>
        </w:rPr>
      </w:pPr>
      <w:r>
        <w:rPr>
          <w:b/>
          <w:bCs/>
          <w:lang w:val="en-US"/>
        </w:rPr>
        <w:t xml:space="preserve">Features.</w:t>
      </w:r>
      <w:r>
        <w:rPr>
          <w:lang w:val="en-US"/>
        </w:rPr>
        <w:t xml:space="preserve"> Each hour gets one row with two groups of features:</w:t>
      </w:r>
    </w:p>
    <w:p>
      <w:pPr>
        <w:pStyle w:val="ListParagraph"/>
        <w:numPr>
          <w:ilvl w:val="0"/>
          <w:numId w:val="1"/>
        </w:numPr>
        <w:spacing w:after="60"/>
        <w:rPr>
          <w:lang w:val="en-US"/>
        </w:rPr>
      </w:pPr>
      <w:r>
        <w:rPr>
          <w:i/>
          <w:iCs/>
          <w:lang w:val="en-US"/>
        </w:rPr>
        <w:t xml:space="preserve">Change model</w:t>
      </w:r>
      <w:r>
        <w:rPr>
          <w:lang w:val="en-US"/>
        </w:rPr>
        <w:t xml:space="preserve"> (direction): the % change of the average price and the log change of the average volume, for each of the last 4 periods.</w:t>
      </w:r>
    </w:p>
    <w:p>
      <w:pPr>
        <w:pStyle w:val="ListParagraph"/>
        <w:numPr>
          <w:ilvl w:val="0"/>
          <w:numId w:val="1"/>
        </w:numPr>
        <w:spacing w:after="60"/>
        <w:rPr>
          <w:lang w:val="en-US"/>
        </w:rPr>
      </w:pPr>
      <w:r>
        <w:rPr>
          <w:i/>
          <w:iCs/>
          <w:lang w:val="en-US"/>
        </w:rPr>
        <w:t xml:space="preserve">Move model</w:t>
      </w:r>
      <w:r>
        <w:rPr>
          <w:lang w:val="en-US"/>
        </w:rPr>
        <w:t xml:space="preserve"> (size of the move): the log of the average absolute hourly change in each of the last 4 periods, and over the last 24 hours, 7 days and 30 days; the log of the average high–low range; and, for hours only, the hour of day and day of week (one-hot).</w:t>
      </w:r>
    </w:p>
    <w:p>
      <w:pPr>
        <w:spacing w:after="160"/>
        <w:rPr>
          <w:lang w:val="en-US"/>
        </w:rPr>
      </w:pPr>
      <w:r>
        <w:rPr>
          <w:lang w:val="en-US"/>
        </w:rPr>
        <w:t xml:space="preserve">Volatility measures are heavily skewed, so we use their logarithms. All features are standardized inside the model pipeline, fitted on the training data only.</w:t>
      </w:r>
    </w:p>
    <w:p>
      <w:pPr>
        <w:spacing w:after="160"/>
        <w:rPr>
          <w:lang w:val="en-US"/>
        </w:rPr>
      </w:pPr>
      <w:r>
        <w:rPr>
          <w:b/>
          <w:bCs/>
          <w:lang w:val="en-US"/>
        </w:rPr>
        <w:t xml:space="preserve">Privacy and ethics.</w:t>
      </w:r>
      <w:r>
        <w:rPr>
          <w:lang w:val="en-US"/>
        </w:rPr>
        <w:t xml:space="preserve"> The data is public market data with no personal information, and the site stores nothing about visitors except a visitor counter. The main ethical risk is that someone treats a guess as financial advice. The page says clearly that it is not, always shows the uncertainty next to the guess, and shows how often the model was wrong in the past.</w:t>
      </w:r>
    </w:p>
    <w:p>
      <w:pPr>
        <w:spacing w:after="160"/>
        <w:rPr>
          <w:lang w:val="en-US"/>
        </w:rPr>
      </w:pPr>
      <w:r>
        <w:rPr>
          <w:b/>
          <w:bCs/>
          <w:lang w:val="en-US"/>
        </w:rPr>
        <w:t xml:space="preserve">Is there enough data?</w:t>
      </w:r>
      <w:r>
        <w:rPr>
          <w:lang w:val="en-US"/>
        </w:rPr>
        <w:t xml:space="preserve"> For hours, yes: the test period alone has about 50,000 guesses. For weeks and months, no: the test period has about 300 weeks and 70 months, and Bitcoin's history cannot be made longer. This turns out to be the main limit of the project.</w:t>
      </w:r>
    </w:p>
    <w:p>
      <w:pPr>
        <w:pStyle w:val="Heading1"/>
        <w:rPr>
          <w:lang w:val="en-US"/>
        </w:rPr>
      </w:pPr>
      <w:r>
        <w:rPr>
          <w:b/>
          <w:bCs/>
          <w:sz w:val="30"/>
          <w:szCs w:val="30"/>
          <w:lang w:val="en-US"/>
        </w:rPr>
        <w:t xml:space="preserve">3: MODELING</w:t>
      </w:r>
    </w:p>
    <w:p>
      <w:pPr>
        <w:pStyle w:val="Heading2"/>
        <w:rPr>
          <w:lang w:val="en-US"/>
        </w:rPr>
      </w:pPr>
      <w:r>
        <w:rPr>
          <w:b/>
          <w:bCs/>
          <w:sz w:val="24"/>
          <w:szCs w:val="24"/>
          <w:lang w:val="en-US"/>
        </w:rPr>
        <w:t xml:space="preserve">HOW WE TEST</w:t>
      </w:r>
    </w:p>
    <w:p>
      <w:pPr>
        <w:spacing w:after="160"/>
        <w:rPr>
          <w:lang w:val="en-US"/>
        </w:rPr>
      </w:pPr>
      <w:r>
        <w:rPr>
          <w:lang w:val="en-US"/>
        </w:rPr>
        <w:t xml:space="preserve">If a price model has seen any price from the period it guesses, its results look far better than they will be on the website. We therefore test </w:t>
      </w:r>
      <w:r>
        <w:rPr>
          <w:b/>
          <w:bCs/>
          <w:lang w:val="en-US"/>
        </w:rPr>
        <w:t xml:space="preserve">walk-forward</w:t>
      </w:r>
      <w:r>
        <w:rPr>
          <w:lang w:val="en-US"/>
        </w:rPr>
        <w:t xml:space="preserve">, the time-series version of cross-validation (Hyndman &amp; Athanasopoulos, 2021): the model re-learns at the start of every month, only from periods that were completely over by then, and guesses every period in that month. The website works the same way.</w:t>
      </w:r>
    </w:p>
    <w:p>
      <w:pPr>
        <w:spacing w:after="160"/>
        <w:rPr>
          <w:lang w:val="en-US"/>
        </w:rPr>
      </w:pPr>
      <w:r>
        <w:rPr>
          <w:lang w:val="en-US"/>
        </w:rPr>
        <w:t xml:space="preserve">Prices from 2018 until mid-2019 are only used for learning (Figure 1). We compared models and chose settings on the </w:t>
      </w:r>
      <w:r>
        <w:rPr>
          <w:b/>
          <w:bCs/>
          <w:lang w:val="en-US"/>
        </w:rPr>
        <w:t xml:space="preserve">validation period</w:t>
      </w:r>
      <w:r>
        <w:rPr>
          <w:lang w:val="en-US"/>
        </w:rPr>
        <w:t xml:space="preserve"> (July 2019 – December 2020), and ran the </w:t>
      </w:r>
      <w:r>
        <w:rPr>
          <w:b/>
          <w:bCs/>
          <w:lang w:val="en-US"/>
        </w:rPr>
        <w:t xml:space="preserve">test period</w:t>
      </w:r>
      <w:r>
        <w:rPr>
          <w:lang w:val="en-US"/>
        </w:rPr>
        <w:t xml:space="preserve"> (January 2021 – 26 October 2026) once with the chosen settings. Hourly guesses are made every hour, weekly guesses every Monday and monthly guesses on the 1st (covering 30 days).</w:t>
      </w:r>
    </w:p>
    <w:p>
      <w:pPr>
        <w:keepNext/>
        <w:spacing w:before="120" w:after="0"/>
        <w:jc w:val="center"/>
        <w:rPr>
          <w:lang w:val="en-US"/>
        </w:rPr>
      </w:pPr>
      <w:r>
        <w:rPr>
          <w:lang w:val="en-US"/>
        </w:rPr>
        <w:drawing>
          <wp:inline distT="0" distB="0" distL="0" distR="0">
            <wp:extent cx="5731510" cy="2509496"/>
            <wp:docPr id="1" name="Picture 1" descr="Figure 1: The hourly BTC price, with the validation and test peri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X1002"/>
                    <a:stretch>
                      <a:fillRect/>
                    </a:stretch>
                  </pic:blipFill>
                  <pic:spPr>
                    <a:xfrm>
                      <a:off x="0" y="0"/>
                      <a:ext cx="5731510" cy="2509496"/>
                    </a:xfrm>
                    <a:prstGeom prst="rect">
                      <a:avLst/>
                    </a:prstGeom>
                  </pic:spPr>
                </pic:pic>
              </a:graphicData>
            </a:graphic>
          </wp:inline>
        </w:drawing>
      </w:r>
    </w:p>
    <w:p>
      <w:pPr>
        <w:spacing w:before="60" w:after="200"/>
        <w:jc w:val="center"/>
        <w:rPr>
          <w:lang w:val="en-US"/>
        </w:rPr>
      </w:pPr>
      <w:r>
        <w:rPr>
          <w:i/>
          <w:iCs/>
          <w:sz w:val="18"/>
          <w:szCs w:val="18"/>
          <w:lang w:val="en-US"/>
        </w:rPr>
        <w:t xml:space="preserve">Figure 1: The hourly BTC price, with the validation and test periods.</w:t>
      </w:r>
    </w:p>
    <w:p>
      <w:pPr>
        <w:pStyle w:val="Heading2"/>
        <w:rPr>
          <w:lang w:val="en-US"/>
        </w:rPr>
      </w:pPr>
      <w:r>
        <w:rPr>
          <w:b/>
          <w:bCs/>
          <w:sz w:val="24"/>
          <w:szCs w:val="24"/>
          <w:lang w:val="en-US"/>
        </w:rPr>
        <w:t xml:space="preserve">THE MODEL</w:t>
      </w:r>
    </w:p>
    <w:p>
      <w:pPr>
        <w:spacing w:after="160"/>
        <w:rPr>
          <w:lang w:val="en-US"/>
        </w:rPr>
      </w:pPr>
      <w:r>
        <w:rPr>
          <w:lang w:val="en-US"/>
        </w:rPr>
        <w:t xml:space="preserve">Each horizon has two regressions with separate features. The </w:t>
      </w:r>
      <w:r>
        <w:rPr>
          <w:b/>
          <w:bCs/>
          <w:lang w:val="en-US"/>
        </w:rPr>
        <w:t xml:space="preserve">change model</w:t>
      </w:r>
      <w:r>
        <w:rPr>
          <w:lang w:val="en-US"/>
        </w:rPr>
        <w:t xml:space="preserve"> guesses the % change of the average price; its sign is the direction. The </w:t>
      </w:r>
      <w:r>
        <w:rPr>
          <w:b/>
          <w:bCs/>
          <w:lang w:val="en-US"/>
        </w:rPr>
        <w:t xml:space="preserve">move model</w:t>
      </w:r>
      <w:r>
        <w:rPr>
          <w:lang w:val="en-US"/>
        </w:rPr>
        <w:t xml:space="preserve"> guesses the logarithm of the size of the move (move sizes are very skewed), scaled so that its average matches the average move in the training data. The 80% range is the 10th to 90th percentile of the change model's training errors, measured in units of the expected move, so it is wide in wild markets and narrow in calm ones. A guess is </w:t>
      </w:r>
      <w:r>
        <w:rPr>
          <w:b/>
          <w:bCs/>
          <w:lang w:val="en-US"/>
        </w:rPr>
        <w:t xml:space="preserve">confident</w:t>
      </w:r>
      <w:r>
        <w:rPr>
          <w:lang w:val="en-US"/>
        </w:rPr>
        <w:t xml:space="preserve"> when the guessed change is large compared with the expected move, with the cut-off set so that 20% of the training guesses are confident.</w:t>
      </w:r>
    </w:p>
    <w:p>
      <w:pPr>
        <w:spacing w:after="160"/>
        <w:rPr>
          <w:lang w:val="en-US"/>
        </w:rPr>
      </w:pPr>
      <w:r>
        <w:rPr>
          <w:lang w:val="en-US"/>
        </w:rPr>
        <w:t xml:space="preserve">We use </w:t>
      </w:r>
      <w:r>
        <w:rPr>
          <w:b/>
          <w:bCs/>
          <w:lang w:val="en-US"/>
        </w:rPr>
        <w:t xml:space="preserve">ridge regression</w:t>
      </w:r>
      <w:r>
        <w:rPr>
          <w:lang w:val="en-US"/>
        </w:rPr>
        <w:t xml:space="preserve"> (Hoerl &amp; Kennard, 1970) from scikit-learn (Pedregosa et al., 2011): it is fast, stable when features are correlated (as the changes of neighbouring periods are), and its coefficients can be read directly.</w:t>
      </w:r>
    </w:p>
    <w:p>
      <w:pPr>
        <w:pStyle w:val="Heading2"/>
        <w:rPr>
          <w:lang w:val="en-US"/>
        </w:rPr>
      </w:pPr>
      <w:r>
        <w:rPr>
          <w:b/>
          <w:bCs/>
          <w:sz w:val="24"/>
          <w:szCs w:val="24"/>
          <w:lang w:val="en-US"/>
        </w:rPr>
        <w:t xml:space="preserve">BASELINES AND MODELS WE TRIED</w:t>
      </w:r>
    </w:p>
    <w:p>
      <w:pPr>
        <w:spacing w:after="160"/>
        <w:rPr>
          <w:lang w:val="en-US"/>
        </w:rPr>
      </w:pPr>
      <w:r>
        <w:rPr>
          <w:lang w:val="en-US"/>
        </w:rPr>
        <w:t xml:space="preserve">We compared the model with simple baselines and with three other models in exactly the same setup: plain linear regression, ridge with a much stronger penalty (alpha = 1000 instead of 1), and gradient boosting (HistGradientBoostingRegressor, based on LightGBM; Ke et al., 2017), which can learn non-linear patterns. The validation period has only 19 months, too few to compare anything, so Table 1 shows hours and weeks.</w:t>
      </w:r>
    </w:p>
    <w:p>
      <w:pPr>
        <w:keepNext/>
        <w:spacing w:before="200" w:after="60"/>
        <w:rPr>
          <w:lang w:val="en-US"/>
        </w:rPr>
      </w:pPr>
      <w:r>
        <w:rPr>
          <w:i/>
          <w:iCs/>
          <w:sz w:val="18"/>
          <w:szCs w:val="18"/>
          <w:lang w:val="en-US"/>
        </w:rPr>
        <w:t xml:space="preserve">Table 1: Validation period. Direction = right direction; range = real price inside the 80% range; move skill = improvement over always guessing the average move.</w:t>
      </w:r>
    </w:p>
    <w:tbl>
      <w:tblPr>
        <w:tblStyle w:val="TableGrid"/>
        <w:tblW w:w="9026" w:type="dxa"/>
        <w:tblBorders>
          <w:top w:val="single" w:sz="4" w:color="BFBFBF"/>
          <w:left w:val="nil"/>
          <w:bottom w:val="single" w:sz="4" w:color="BFBFBF"/>
          <w:right w:val="nil"/>
          <w:insideH w:val="single" w:sz="4" w:color="D9D9D9"/>
          <w:insideV w:val="nil"/>
        </w:tblBorders>
        <w:tblLayout w:type="fixed"/>
        <w:tblCellMar>
          <w:left w:w="80" w:type="dxa"/>
          <w:right w:w="80" w:type="dxa"/>
        </w:tblCellMar>
      </w:tblPr>
      <w:tblGrid>
        <w:gridCol w:w="2316"/>
        <w:gridCol w:w="1198"/>
        <w:gridCol w:w="878"/>
        <w:gridCol w:w="1278"/>
        <w:gridCol w:w="1198"/>
        <w:gridCol w:w="878"/>
        <w:gridCol w:w="1280"/>
      </w:tblGrid>
      <w:tr>
        <w:trPr>
          <w:tblHeader/>
        </w:trPr>
        <w:tc>
          <w:tcPr>
            <w:tcW w:w="2316" w:type="dxa"/>
            <w:shd w:val="clear" w:color="auto" w:fill="EFEFEF"/>
            <w:vAlign w:val="center"/>
          </w:tcPr>
          <w:p>
            <w:pPr>
              <w:spacing w:before="30" w:after="30" w:line="240" w:lineRule="auto"/>
              <w:jc w:val="left"/>
              <w:rPr>
                <w:lang w:val="en-US"/>
              </w:rPr>
            </w:pPr>
            <w:r>
              <w:rPr>
                <w:b/>
                <w:bCs/>
                <w:sz w:val="18"/>
                <w:szCs w:val="18"/>
                <w:lang w:val="en-US"/>
              </w:rPr>
              <w:t xml:space="preserve">Method</w:t>
            </w:r>
          </w:p>
        </w:tc>
        <w:tc>
          <w:tcPr>
            <w:tcW w:w="1198" w:type="dxa"/>
            <w:shd w:val="clear" w:color="auto" w:fill="EFEFEF"/>
            <w:vAlign w:val="center"/>
          </w:tcPr>
          <w:p>
            <w:pPr>
              <w:spacing w:before="30" w:after="30" w:line="240" w:lineRule="auto"/>
              <w:jc w:val="right"/>
              <w:rPr>
                <w:lang w:val="en-US"/>
              </w:rPr>
            </w:pPr>
            <w:r>
              <w:rPr>
                <w:b/>
                <w:bCs/>
                <w:sz w:val="18"/>
                <w:szCs w:val="18"/>
                <w:lang w:val="en-US"/>
              </w:rPr>
              <w:t xml:space="preserve">Hour: direction</w:t>
            </w:r>
          </w:p>
        </w:tc>
        <w:tc>
          <w:tcPr>
            <w:tcW w:w="878" w:type="dxa"/>
            <w:shd w:val="clear" w:color="auto" w:fill="EFEFEF"/>
            <w:vAlign w:val="center"/>
          </w:tcPr>
          <w:p>
            <w:pPr>
              <w:spacing w:before="30" w:after="30" w:line="240" w:lineRule="auto"/>
              <w:jc w:val="right"/>
              <w:rPr>
                <w:lang w:val="en-US"/>
              </w:rPr>
            </w:pPr>
            <w:r>
              <w:rPr>
                <w:b/>
                <w:bCs/>
                <w:sz w:val="18"/>
                <w:szCs w:val="18"/>
                <w:lang w:val="en-US"/>
              </w:rPr>
              <w:t xml:space="preserve">Hour: range</w:t>
            </w:r>
          </w:p>
        </w:tc>
        <w:tc>
          <w:tcPr>
            <w:tcW w:w="1278" w:type="dxa"/>
            <w:shd w:val="clear" w:color="auto" w:fill="EFEFEF"/>
            <w:vAlign w:val="center"/>
          </w:tcPr>
          <w:p>
            <w:pPr>
              <w:spacing w:before="30" w:after="30" w:line="240" w:lineRule="auto"/>
              <w:jc w:val="right"/>
              <w:rPr>
                <w:lang w:val="en-US"/>
              </w:rPr>
            </w:pPr>
            <w:r>
              <w:rPr>
                <w:b/>
                <w:bCs/>
                <w:sz w:val="18"/>
                <w:szCs w:val="18"/>
                <w:lang w:val="en-US"/>
              </w:rPr>
              <w:t xml:space="preserve">Hour: move skill</w:t>
            </w:r>
          </w:p>
        </w:tc>
        <w:tc>
          <w:tcPr>
            <w:tcW w:w="1198" w:type="dxa"/>
            <w:shd w:val="clear" w:color="auto" w:fill="EFEFEF"/>
            <w:vAlign w:val="center"/>
          </w:tcPr>
          <w:p>
            <w:pPr>
              <w:spacing w:before="30" w:after="30" w:line="240" w:lineRule="auto"/>
              <w:jc w:val="right"/>
              <w:rPr>
                <w:lang w:val="en-US"/>
              </w:rPr>
            </w:pPr>
            <w:r>
              <w:rPr>
                <w:b/>
                <w:bCs/>
                <w:sz w:val="18"/>
                <w:szCs w:val="18"/>
                <w:lang w:val="en-US"/>
              </w:rPr>
              <w:t xml:space="preserve">Week: direction</w:t>
            </w:r>
          </w:p>
        </w:tc>
        <w:tc>
          <w:tcPr>
            <w:tcW w:w="878" w:type="dxa"/>
            <w:shd w:val="clear" w:color="auto" w:fill="EFEFEF"/>
            <w:vAlign w:val="center"/>
          </w:tcPr>
          <w:p>
            <w:pPr>
              <w:spacing w:before="30" w:after="30" w:line="240" w:lineRule="auto"/>
              <w:jc w:val="right"/>
              <w:rPr>
                <w:lang w:val="en-US"/>
              </w:rPr>
            </w:pPr>
            <w:r>
              <w:rPr>
                <w:b/>
                <w:bCs/>
                <w:sz w:val="18"/>
                <w:szCs w:val="18"/>
                <w:lang w:val="en-US"/>
              </w:rPr>
              <w:t xml:space="preserve">Week: range</w:t>
            </w:r>
          </w:p>
        </w:tc>
        <w:tc>
          <w:tcPr>
            <w:tcW w:w="1280" w:type="dxa"/>
            <w:shd w:val="clear" w:color="auto" w:fill="EFEFEF"/>
            <w:vAlign w:val="center"/>
          </w:tcPr>
          <w:p>
            <w:pPr>
              <w:spacing w:before="30" w:after="30" w:line="240" w:lineRule="auto"/>
              <w:jc w:val="right"/>
              <w:rPr>
                <w:lang w:val="en-US"/>
              </w:rPr>
            </w:pPr>
            <w:r>
              <w:rPr>
                <w:b/>
                <w:bCs/>
                <w:sz w:val="18"/>
                <w:szCs w:val="18"/>
                <w:lang w:val="en-US"/>
              </w:rPr>
              <w:t xml:space="preserve">Week: move skill</w:t>
            </w:r>
          </w:p>
        </w:tc>
      </w:tr>
      <w:tr>
        <w:tc>
          <w:tcPr>
            <w:tcW w:w="2316" w:type="dxa"/>
            <w:vAlign w:val="center"/>
          </w:tcPr>
          <w:p>
            <w:pPr>
              <w:spacing w:before="30" w:after="30" w:line="240" w:lineRule="auto"/>
              <w:jc w:val="left"/>
              <w:rPr>
                <w:lang w:val="en-US"/>
              </w:rPr>
            </w:pPr>
            <w:r>
              <w:rPr>
                <w:sz w:val="18"/>
                <w:szCs w:val="18"/>
                <w:lang w:val="en-US"/>
              </w:rPr>
              <w:t xml:space="preserve">Always up</w:t>
            </w:r>
          </w:p>
        </w:tc>
        <w:tc>
          <w:tcPr>
            <w:tcW w:w="1198" w:type="dxa"/>
            <w:vAlign w:val="center"/>
          </w:tcPr>
          <w:p>
            <w:pPr>
              <w:spacing w:before="30" w:after="30" w:line="240" w:lineRule="auto"/>
              <w:jc w:val="right"/>
              <w:rPr>
                <w:lang w:val="en-US"/>
              </w:rPr>
            </w:pPr>
            <w:r>
              <w:rPr>
                <w:sz w:val="18"/>
                <w:szCs w:val="18"/>
                <w:lang w:val="en-US"/>
              </w:rPr>
              <w:t xml:space="preserve">51.1%</w:t>
            </w:r>
          </w:p>
        </w:tc>
        <w:tc>
          <w:tcPr>
            <w:tcW w:w="878" w:type="dxa"/>
            <w:vAlign w:val="center"/>
          </w:tcPr>
          <w:p>
            <w:pPr>
              <w:spacing w:before="30" w:after="30" w:line="240" w:lineRule="auto"/>
              <w:jc w:val="right"/>
              <w:rPr>
                <w:lang w:val="en-US"/>
              </w:rPr>
            </w:pPr>
            <w:r>
              <w:rPr>
                <w:sz w:val="18"/>
                <w:szCs w:val="18"/>
                <w:lang w:val="en-US"/>
              </w:rPr>
              <w:t xml:space="preserve">–</w:t>
            </w:r>
          </w:p>
        </w:tc>
        <w:tc>
          <w:tcPr>
            <w:tcW w:w="1278" w:type="dxa"/>
            <w:vAlign w:val="center"/>
          </w:tcPr>
          <w:p>
            <w:pPr>
              <w:spacing w:before="30" w:after="30" w:line="240" w:lineRule="auto"/>
              <w:jc w:val="right"/>
              <w:rPr>
                <w:lang w:val="en-US"/>
              </w:rPr>
            </w:pPr>
            <w:r>
              <w:rPr>
                <w:sz w:val="18"/>
                <w:szCs w:val="18"/>
                <w:lang w:val="en-US"/>
              </w:rPr>
              <w:t xml:space="preserve">–</w:t>
            </w:r>
          </w:p>
        </w:tc>
        <w:tc>
          <w:tcPr>
            <w:tcW w:w="1198" w:type="dxa"/>
            <w:vAlign w:val="center"/>
          </w:tcPr>
          <w:p>
            <w:pPr>
              <w:spacing w:before="30" w:after="30" w:line="240" w:lineRule="auto"/>
              <w:jc w:val="right"/>
              <w:rPr>
                <w:lang w:val="en-US"/>
              </w:rPr>
            </w:pPr>
            <w:r>
              <w:rPr>
                <w:sz w:val="18"/>
                <w:szCs w:val="18"/>
                <w:lang w:val="en-US"/>
              </w:rPr>
              <w:t xml:space="preserve">59.5%</w:t>
            </w:r>
          </w:p>
        </w:tc>
        <w:tc>
          <w:tcPr>
            <w:tcW w:w="878" w:type="dxa"/>
            <w:vAlign w:val="center"/>
          </w:tcPr>
          <w:p>
            <w:pPr>
              <w:spacing w:before="30" w:after="30" w:line="240" w:lineRule="auto"/>
              <w:jc w:val="right"/>
              <w:rPr>
                <w:lang w:val="en-US"/>
              </w:rPr>
            </w:pPr>
            <w:r>
              <w:rPr>
                <w:sz w:val="18"/>
                <w:szCs w:val="18"/>
                <w:lang w:val="en-US"/>
              </w:rPr>
              <w:t xml:space="preserve">–</w:t>
            </w:r>
          </w:p>
        </w:tc>
        <w:tc>
          <w:tcPr>
            <w:tcW w:w="1280" w:type="dxa"/>
            <w:vAlign w:val="center"/>
          </w:tcPr>
          <w:p>
            <w:pPr>
              <w:spacing w:before="30" w:after="30" w:line="240" w:lineRule="auto"/>
              <w:jc w:val="right"/>
              <w:rPr>
                <w:lang w:val="en-US"/>
              </w:rPr>
            </w:pPr>
            <w:r>
              <w:rPr>
                <w:sz w:val="18"/>
                <w:szCs w:val="18"/>
                <w:lang w:val="en-US"/>
              </w:rPr>
              <w:t xml:space="preserve">–</w:t>
            </w:r>
          </w:p>
        </w:tc>
      </w:tr>
      <w:tr>
        <w:tc>
          <w:tcPr>
            <w:tcW w:w="2316" w:type="dxa"/>
            <w:vAlign w:val="center"/>
          </w:tcPr>
          <w:p>
            <w:pPr>
              <w:spacing w:before="30" w:after="30" w:line="240" w:lineRule="auto"/>
              <w:jc w:val="left"/>
              <w:rPr>
                <w:lang w:val="en-US"/>
              </w:rPr>
            </w:pPr>
            <w:r>
              <w:rPr>
                <w:sz w:val="18"/>
                <w:szCs w:val="18"/>
                <w:lang w:val="en-US"/>
              </w:rPr>
              <w:t xml:space="preserve">Same direction as last period</w:t>
            </w:r>
          </w:p>
        </w:tc>
        <w:tc>
          <w:tcPr>
            <w:tcW w:w="1198" w:type="dxa"/>
            <w:vAlign w:val="center"/>
          </w:tcPr>
          <w:p>
            <w:pPr>
              <w:spacing w:before="30" w:after="30" w:line="240" w:lineRule="auto"/>
              <w:jc w:val="right"/>
              <w:rPr>
                <w:lang w:val="en-US"/>
              </w:rPr>
            </w:pPr>
            <w:r>
              <w:rPr>
                <w:sz w:val="18"/>
                <w:szCs w:val="18"/>
                <w:lang w:val="en-US"/>
              </w:rPr>
              <w:t xml:space="preserve">45.0%</w:t>
            </w:r>
          </w:p>
        </w:tc>
        <w:tc>
          <w:tcPr>
            <w:tcW w:w="878" w:type="dxa"/>
            <w:vAlign w:val="center"/>
          </w:tcPr>
          <w:p>
            <w:pPr>
              <w:spacing w:before="30" w:after="30" w:line="240" w:lineRule="auto"/>
              <w:jc w:val="right"/>
              <w:rPr>
                <w:lang w:val="en-US"/>
              </w:rPr>
            </w:pPr>
            <w:r>
              <w:rPr>
                <w:sz w:val="18"/>
                <w:szCs w:val="18"/>
                <w:lang w:val="en-US"/>
              </w:rPr>
              <w:t xml:space="preserve">–</w:t>
            </w:r>
          </w:p>
        </w:tc>
        <w:tc>
          <w:tcPr>
            <w:tcW w:w="1278" w:type="dxa"/>
            <w:vAlign w:val="center"/>
          </w:tcPr>
          <w:p>
            <w:pPr>
              <w:spacing w:before="30" w:after="30" w:line="240" w:lineRule="auto"/>
              <w:jc w:val="right"/>
              <w:rPr>
                <w:lang w:val="en-US"/>
              </w:rPr>
            </w:pPr>
            <w:r>
              <w:rPr>
                <w:sz w:val="18"/>
                <w:szCs w:val="18"/>
                <w:lang w:val="en-US"/>
              </w:rPr>
              <w:t xml:space="preserve">–</w:t>
            </w:r>
          </w:p>
        </w:tc>
        <w:tc>
          <w:tcPr>
            <w:tcW w:w="1198" w:type="dxa"/>
            <w:vAlign w:val="center"/>
          </w:tcPr>
          <w:p>
            <w:pPr>
              <w:spacing w:before="30" w:after="30" w:line="240" w:lineRule="auto"/>
              <w:jc w:val="right"/>
              <w:rPr>
                <w:lang w:val="en-US"/>
              </w:rPr>
            </w:pPr>
            <w:r>
              <w:rPr>
                <w:sz w:val="18"/>
                <w:szCs w:val="18"/>
                <w:lang w:val="en-US"/>
              </w:rPr>
              <w:t xml:space="preserve">49.4%</w:t>
            </w:r>
          </w:p>
        </w:tc>
        <w:tc>
          <w:tcPr>
            <w:tcW w:w="878" w:type="dxa"/>
            <w:vAlign w:val="center"/>
          </w:tcPr>
          <w:p>
            <w:pPr>
              <w:spacing w:before="30" w:after="30" w:line="240" w:lineRule="auto"/>
              <w:jc w:val="right"/>
              <w:rPr>
                <w:lang w:val="en-US"/>
              </w:rPr>
            </w:pPr>
            <w:r>
              <w:rPr>
                <w:sz w:val="18"/>
                <w:szCs w:val="18"/>
                <w:lang w:val="en-US"/>
              </w:rPr>
              <w:t xml:space="preserve">–</w:t>
            </w:r>
          </w:p>
        </w:tc>
        <w:tc>
          <w:tcPr>
            <w:tcW w:w="1280" w:type="dxa"/>
            <w:vAlign w:val="center"/>
          </w:tcPr>
          <w:p>
            <w:pPr>
              <w:spacing w:before="30" w:after="30" w:line="240" w:lineRule="auto"/>
              <w:jc w:val="right"/>
              <w:rPr>
                <w:lang w:val="en-US"/>
              </w:rPr>
            </w:pPr>
            <w:r>
              <w:rPr>
                <w:sz w:val="18"/>
                <w:szCs w:val="18"/>
                <w:lang w:val="en-US"/>
              </w:rPr>
              <w:t xml:space="preserve">–</w:t>
            </w:r>
          </w:p>
        </w:tc>
      </w:tr>
      <w:tr>
        <w:tc>
          <w:tcPr>
            <w:tcW w:w="2316" w:type="dxa"/>
            <w:vAlign w:val="center"/>
          </w:tcPr>
          <w:p>
            <w:pPr>
              <w:spacing w:before="30" w:after="30" w:line="240" w:lineRule="auto"/>
              <w:jc w:val="left"/>
              <w:rPr>
                <w:lang w:val="en-US"/>
              </w:rPr>
            </w:pPr>
            <w:r>
              <w:rPr>
                <w:sz w:val="18"/>
                <w:szCs w:val="18"/>
                <w:lang w:val="en-US"/>
              </w:rPr>
              <w:t xml:space="preserve">Opposite of last period</w:t>
            </w:r>
          </w:p>
        </w:tc>
        <w:tc>
          <w:tcPr>
            <w:tcW w:w="1198" w:type="dxa"/>
            <w:vAlign w:val="center"/>
          </w:tcPr>
          <w:p>
            <w:pPr>
              <w:spacing w:before="30" w:after="30" w:line="240" w:lineRule="auto"/>
              <w:jc w:val="right"/>
              <w:rPr>
                <w:lang w:val="en-US"/>
              </w:rPr>
            </w:pPr>
            <w:r>
              <w:rPr>
                <w:b/>
                <w:bCs/>
                <w:sz w:val="18"/>
                <w:szCs w:val="18"/>
                <w:lang w:val="en-US"/>
              </w:rPr>
              <w:t xml:space="preserve">55.0%</w:t>
            </w:r>
          </w:p>
        </w:tc>
        <w:tc>
          <w:tcPr>
            <w:tcW w:w="878" w:type="dxa"/>
            <w:vAlign w:val="center"/>
          </w:tcPr>
          <w:p>
            <w:pPr>
              <w:spacing w:before="30" w:after="30" w:line="240" w:lineRule="auto"/>
              <w:jc w:val="right"/>
              <w:rPr>
                <w:lang w:val="en-US"/>
              </w:rPr>
            </w:pPr>
            <w:r>
              <w:rPr>
                <w:sz w:val="18"/>
                <w:szCs w:val="18"/>
                <w:lang w:val="en-US"/>
              </w:rPr>
              <w:t xml:space="preserve">–</w:t>
            </w:r>
          </w:p>
        </w:tc>
        <w:tc>
          <w:tcPr>
            <w:tcW w:w="1278" w:type="dxa"/>
            <w:vAlign w:val="center"/>
          </w:tcPr>
          <w:p>
            <w:pPr>
              <w:spacing w:before="30" w:after="30" w:line="240" w:lineRule="auto"/>
              <w:jc w:val="right"/>
              <w:rPr>
                <w:lang w:val="en-US"/>
              </w:rPr>
            </w:pPr>
            <w:r>
              <w:rPr>
                <w:sz w:val="18"/>
                <w:szCs w:val="18"/>
                <w:lang w:val="en-US"/>
              </w:rPr>
              <w:t xml:space="preserve">–</w:t>
            </w:r>
          </w:p>
        </w:tc>
        <w:tc>
          <w:tcPr>
            <w:tcW w:w="1198" w:type="dxa"/>
            <w:vAlign w:val="center"/>
          </w:tcPr>
          <w:p>
            <w:pPr>
              <w:spacing w:before="30" w:after="30" w:line="240" w:lineRule="auto"/>
              <w:jc w:val="right"/>
              <w:rPr>
                <w:lang w:val="en-US"/>
              </w:rPr>
            </w:pPr>
            <w:r>
              <w:rPr>
                <w:sz w:val="18"/>
                <w:szCs w:val="18"/>
                <w:lang w:val="en-US"/>
              </w:rPr>
              <w:t xml:space="preserve">50.6%</w:t>
            </w:r>
          </w:p>
        </w:tc>
        <w:tc>
          <w:tcPr>
            <w:tcW w:w="878" w:type="dxa"/>
            <w:vAlign w:val="center"/>
          </w:tcPr>
          <w:p>
            <w:pPr>
              <w:spacing w:before="30" w:after="30" w:line="240" w:lineRule="auto"/>
              <w:jc w:val="right"/>
              <w:rPr>
                <w:lang w:val="en-US"/>
              </w:rPr>
            </w:pPr>
            <w:r>
              <w:rPr>
                <w:sz w:val="18"/>
                <w:szCs w:val="18"/>
                <w:lang w:val="en-US"/>
              </w:rPr>
              <w:t xml:space="preserve">–</w:t>
            </w:r>
          </w:p>
        </w:tc>
        <w:tc>
          <w:tcPr>
            <w:tcW w:w="1280" w:type="dxa"/>
            <w:vAlign w:val="center"/>
          </w:tcPr>
          <w:p>
            <w:pPr>
              <w:spacing w:before="30" w:after="30" w:line="240" w:lineRule="auto"/>
              <w:jc w:val="right"/>
              <w:rPr>
                <w:lang w:val="en-US"/>
              </w:rPr>
            </w:pPr>
            <w:r>
              <w:rPr>
                <w:sz w:val="18"/>
                <w:szCs w:val="18"/>
                <w:lang w:val="en-US"/>
              </w:rPr>
              <w:t xml:space="preserve">–</w:t>
            </w:r>
          </w:p>
        </w:tc>
      </w:tr>
      <w:tr>
        <w:tc>
          <w:tcPr>
            <w:tcW w:w="2316" w:type="dxa"/>
            <w:vAlign w:val="center"/>
          </w:tcPr>
          <w:p>
            <w:pPr>
              <w:spacing w:before="30" w:after="30" w:line="240" w:lineRule="auto"/>
              <w:jc w:val="left"/>
              <w:rPr>
                <w:lang w:val="en-US"/>
              </w:rPr>
            </w:pPr>
            <w:r>
              <w:rPr>
                <w:sz w:val="18"/>
                <w:szCs w:val="18"/>
                <w:lang w:val="en-US"/>
              </w:rPr>
              <w:t xml:space="preserve">Last period's move</w:t>
            </w:r>
          </w:p>
        </w:tc>
        <w:tc>
          <w:tcPr>
            <w:tcW w:w="1198" w:type="dxa"/>
            <w:vAlign w:val="center"/>
          </w:tcPr>
          <w:p>
            <w:pPr>
              <w:spacing w:before="30" w:after="30" w:line="240" w:lineRule="auto"/>
              <w:jc w:val="right"/>
              <w:rPr>
                <w:lang w:val="en-US"/>
              </w:rPr>
            </w:pPr>
            <w:r>
              <w:rPr>
                <w:sz w:val="18"/>
                <w:szCs w:val="18"/>
                <w:lang w:val="en-US"/>
              </w:rPr>
              <w:t xml:space="preserve">–</w:t>
            </w:r>
          </w:p>
        </w:tc>
        <w:tc>
          <w:tcPr>
            <w:tcW w:w="878" w:type="dxa"/>
            <w:vAlign w:val="center"/>
          </w:tcPr>
          <w:p>
            <w:pPr>
              <w:spacing w:before="30" w:after="30" w:line="240" w:lineRule="auto"/>
              <w:jc w:val="right"/>
              <w:rPr>
                <w:lang w:val="en-US"/>
              </w:rPr>
            </w:pPr>
            <w:r>
              <w:rPr>
                <w:sz w:val="18"/>
                <w:szCs w:val="18"/>
                <w:lang w:val="en-US"/>
              </w:rPr>
              <w:t xml:space="preserve">–</w:t>
            </w:r>
          </w:p>
        </w:tc>
        <w:tc>
          <w:tcPr>
            <w:tcW w:w="1278" w:type="dxa"/>
            <w:vAlign w:val="center"/>
          </w:tcPr>
          <w:p>
            <w:pPr>
              <w:spacing w:before="30" w:after="30" w:line="240" w:lineRule="auto"/>
              <w:jc w:val="right"/>
              <w:rPr>
                <w:lang w:val="en-US"/>
              </w:rPr>
            </w:pPr>
            <w:r>
              <w:rPr>
                <w:sz w:val="18"/>
                <w:szCs w:val="18"/>
                <w:lang w:val="en-US"/>
              </w:rPr>
              <w:t xml:space="preserve">−6.2%</w:t>
            </w:r>
          </w:p>
        </w:tc>
        <w:tc>
          <w:tcPr>
            <w:tcW w:w="1198" w:type="dxa"/>
            <w:vAlign w:val="center"/>
          </w:tcPr>
          <w:p>
            <w:pPr>
              <w:spacing w:before="30" w:after="30" w:line="240" w:lineRule="auto"/>
              <w:jc w:val="right"/>
              <w:rPr>
                <w:lang w:val="en-US"/>
              </w:rPr>
            </w:pPr>
            <w:r>
              <w:rPr>
                <w:sz w:val="18"/>
                <w:szCs w:val="18"/>
                <w:lang w:val="en-US"/>
              </w:rPr>
              <w:t xml:space="preserve">–</w:t>
            </w:r>
          </w:p>
        </w:tc>
        <w:tc>
          <w:tcPr>
            <w:tcW w:w="878" w:type="dxa"/>
            <w:vAlign w:val="center"/>
          </w:tcPr>
          <w:p>
            <w:pPr>
              <w:spacing w:before="30" w:after="30" w:line="240" w:lineRule="auto"/>
              <w:jc w:val="right"/>
              <w:rPr>
                <w:lang w:val="en-US"/>
              </w:rPr>
            </w:pPr>
            <w:r>
              <w:rPr>
                <w:sz w:val="18"/>
                <w:szCs w:val="18"/>
                <w:lang w:val="en-US"/>
              </w:rPr>
              <w:t xml:space="preserve">–</w:t>
            </w:r>
          </w:p>
        </w:tc>
        <w:tc>
          <w:tcPr>
            <w:tcW w:w="1280" w:type="dxa"/>
            <w:vAlign w:val="center"/>
          </w:tcPr>
          <w:p>
            <w:pPr>
              <w:spacing w:before="30" w:after="30" w:line="240" w:lineRule="auto"/>
              <w:jc w:val="right"/>
              <w:rPr>
                <w:lang w:val="en-US"/>
              </w:rPr>
            </w:pPr>
            <w:r>
              <w:rPr>
                <w:sz w:val="18"/>
                <w:szCs w:val="18"/>
                <w:lang w:val="en-US"/>
              </w:rPr>
              <w:t xml:space="preserve">−36.2%</w:t>
            </w:r>
          </w:p>
        </w:tc>
      </w:tr>
      <w:tr>
        <w:tc>
          <w:tcPr>
            <w:tcW w:w="2316" w:type="dxa"/>
            <w:vAlign w:val="center"/>
          </w:tcPr>
          <w:p>
            <w:pPr>
              <w:spacing w:before="30" w:after="30" w:line="240" w:lineRule="auto"/>
              <w:jc w:val="left"/>
              <w:rPr>
                <w:lang w:val="en-US"/>
              </w:rPr>
            </w:pPr>
            <w:r>
              <w:rPr>
                <w:sz w:val="18"/>
                <w:szCs w:val="18"/>
                <w:lang w:val="en-US"/>
              </w:rPr>
              <w:t xml:space="preserve">Linear regression</w:t>
            </w:r>
          </w:p>
        </w:tc>
        <w:tc>
          <w:tcPr>
            <w:tcW w:w="1198" w:type="dxa"/>
            <w:vAlign w:val="center"/>
          </w:tcPr>
          <w:p>
            <w:pPr>
              <w:spacing w:before="30" w:after="30" w:line="240" w:lineRule="auto"/>
              <w:jc w:val="right"/>
              <w:rPr>
                <w:lang w:val="en-US"/>
              </w:rPr>
            </w:pPr>
            <w:r>
              <w:rPr>
                <w:sz w:val="18"/>
                <w:szCs w:val="18"/>
                <w:lang w:val="en-US"/>
              </w:rPr>
              <w:t xml:space="preserve">54.1%</w:t>
            </w:r>
          </w:p>
        </w:tc>
        <w:tc>
          <w:tcPr>
            <w:tcW w:w="878" w:type="dxa"/>
            <w:vAlign w:val="center"/>
          </w:tcPr>
          <w:p>
            <w:pPr>
              <w:spacing w:before="30" w:after="30" w:line="240" w:lineRule="auto"/>
              <w:jc w:val="right"/>
              <w:rPr>
                <w:lang w:val="en-US"/>
              </w:rPr>
            </w:pPr>
            <w:r>
              <w:rPr>
                <w:sz w:val="18"/>
                <w:szCs w:val="18"/>
                <w:lang w:val="en-US"/>
              </w:rPr>
              <w:t xml:space="preserve">80.3%</w:t>
            </w:r>
          </w:p>
        </w:tc>
        <w:tc>
          <w:tcPr>
            <w:tcW w:w="1278" w:type="dxa"/>
            <w:vAlign w:val="center"/>
          </w:tcPr>
          <w:p>
            <w:pPr>
              <w:spacing w:before="30" w:after="30" w:line="240" w:lineRule="auto"/>
              <w:jc w:val="right"/>
              <w:rPr>
                <w:lang w:val="en-US"/>
              </w:rPr>
            </w:pPr>
            <w:r>
              <w:rPr>
                <w:b/>
                <w:bCs/>
                <w:sz w:val="18"/>
                <w:szCs w:val="18"/>
                <w:lang w:val="en-US"/>
              </w:rPr>
              <w:t xml:space="preserve">+18.8%</w:t>
            </w:r>
          </w:p>
        </w:tc>
        <w:tc>
          <w:tcPr>
            <w:tcW w:w="1198" w:type="dxa"/>
            <w:vAlign w:val="center"/>
          </w:tcPr>
          <w:p>
            <w:pPr>
              <w:spacing w:before="30" w:after="30" w:line="240" w:lineRule="auto"/>
              <w:jc w:val="right"/>
              <w:rPr>
                <w:lang w:val="en-US"/>
              </w:rPr>
            </w:pPr>
            <w:r>
              <w:rPr>
                <w:sz w:val="18"/>
                <w:szCs w:val="18"/>
                <w:lang w:val="en-US"/>
              </w:rPr>
              <w:t xml:space="preserve">55.7%</w:t>
            </w:r>
          </w:p>
        </w:tc>
        <w:tc>
          <w:tcPr>
            <w:tcW w:w="878" w:type="dxa"/>
            <w:vAlign w:val="center"/>
          </w:tcPr>
          <w:p>
            <w:pPr>
              <w:spacing w:before="30" w:after="30" w:line="240" w:lineRule="auto"/>
              <w:jc w:val="right"/>
              <w:rPr>
                <w:lang w:val="en-US"/>
              </w:rPr>
            </w:pPr>
            <w:r>
              <w:rPr>
                <w:sz w:val="18"/>
                <w:szCs w:val="18"/>
                <w:lang w:val="en-US"/>
              </w:rPr>
              <w:t xml:space="preserve">76.0%</w:t>
            </w:r>
          </w:p>
        </w:tc>
        <w:tc>
          <w:tcPr>
            <w:tcW w:w="1280" w:type="dxa"/>
            <w:vAlign w:val="center"/>
          </w:tcPr>
          <w:p>
            <w:pPr>
              <w:spacing w:before="30" w:after="30" w:line="240" w:lineRule="auto"/>
              <w:jc w:val="right"/>
              <w:rPr>
                <w:lang w:val="en-US"/>
              </w:rPr>
            </w:pPr>
            <w:r>
              <w:rPr>
                <w:b/>
                <w:bCs/>
                <w:sz w:val="18"/>
                <w:szCs w:val="18"/>
                <w:lang w:val="en-US"/>
              </w:rPr>
              <w:t xml:space="preserve">+8.0%</w:t>
            </w:r>
          </w:p>
        </w:tc>
      </w:tr>
      <w:tr>
        <w:tc>
          <w:tcPr>
            <w:tcW w:w="2316" w:type="dxa"/>
            <w:vAlign w:val="center"/>
          </w:tcPr>
          <w:p>
            <w:pPr>
              <w:spacing w:before="30" w:after="30" w:line="240" w:lineRule="auto"/>
              <w:jc w:val="left"/>
              <w:rPr>
                <w:lang w:val="en-US"/>
              </w:rPr>
            </w:pPr>
            <w:r>
              <w:rPr>
                <w:b/>
                <w:bCs/>
                <w:sz w:val="18"/>
                <w:szCs w:val="18"/>
                <w:lang w:val="en-US"/>
              </w:rPr>
              <w:t xml:space="preserve">Ridge, alpha = 1 (chosen)</w:t>
            </w:r>
          </w:p>
        </w:tc>
        <w:tc>
          <w:tcPr>
            <w:tcW w:w="1198" w:type="dxa"/>
            <w:vAlign w:val="center"/>
          </w:tcPr>
          <w:p>
            <w:pPr>
              <w:spacing w:before="30" w:after="30" w:line="240" w:lineRule="auto"/>
              <w:jc w:val="right"/>
              <w:rPr>
                <w:lang w:val="en-US"/>
              </w:rPr>
            </w:pPr>
            <w:r>
              <w:rPr>
                <w:sz w:val="18"/>
                <w:szCs w:val="18"/>
                <w:lang w:val="en-US"/>
              </w:rPr>
              <w:t xml:space="preserve">54.1%</w:t>
            </w:r>
          </w:p>
        </w:tc>
        <w:tc>
          <w:tcPr>
            <w:tcW w:w="878" w:type="dxa"/>
            <w:vAlign w:val="center"/>
          </w:tcPr>
          <w:p>
            <w:pPr>
              <w:spacing w:before="30" w:after="30" w:line="240" w:lineRule="auto"/>
              <w:jc w:val="right"/>
              <w:rPr>
                <w:lang w:val="en-US"/>
              </w:rPr>
            </w:pPr>
            <w:r>
              <w:rPr>
                <w:sz w:val="18"/>
                <w:szCs w:val="18"/>
                <w:lang w:val="en-US"/>
              </w:rPr>
              <w:t xml:space="preserve">80.3%</w:t>
            </w:r>
          </w:p>
        </w:tc>
        <w:tc>
          <w:tcPr>
            <w:tcW w:w="1278" w:type="dxa"/>
            <w:vAlign w:val="center"/>
          </w:tcPr>
          <w:p>
            <w:pPr>
              <w:spacing w:before="30" w:after="30" w:line="240" w:lineRule="auto"/>
              <w:jc w:val="right"/>
              <w:rPr>
                <w:lang w:val="en-US"/>
              </w:rPr>
            </w:pPr>
            <w:r>
              <w:rPr>
                <w:b/>
                <w:bCs/>
                <w:sz w:val="18"/>
                <w:szCs w:val="18"/>
                <w:lang w:val="en-US"/>
              </w:rPr>
              <w:t xml:space="preserve">+18.8%</w:t>
            </w:r>
          </w:p>
        </w:tc>
        <w:tc>
          <w:tcPr>
            <w:tcW w:w="1198" w:type="dxa"/>
            <w:vAlign w:val="center"/>
          </w:tcPr>
          <w:p>
            <w:pPr>
              <w:spacing w:before="30" w:after="30" w:line="240" w:lineRule="auto"/>
              <w:jc w:val="right"/>
              <w:rPr>
                <w:lang w:val="en-US"/>
              </w:rPr>
            </w:pPr>
            <w:r>
              <w:rPr>
                <w:sz w:val="18"/>
                <w:szCs w:val="18"/>
                <w:lang w:val="en-US"/>
              </w:rPr>
              <w:t xml:space="preserve">55.7%</w:t>
            </w:r>
          </w:p>
        </w:tc>
        <w:tc>
          <w:tcPr>
            <w:tcW w:w="878" w:type="dxa"/>
            <w:vAlign w:val="center"/>
          </w:tcPr>
          <w:p>
            <w:pPr>
              <w:spacing w:before="30" w:after="30" w:line="240" w:lineRule="auto"/>
              <w:jc w:val="right"/>
              <w:rPr>
                <w:lang w:val="en-US"/>
              </w:rPr>
            </w:pPr>
            <w:r>
              <w:rPr>
                <w:sz w:val="18"/>
                <w:szCs w:val="18"/>
                <w:lang w:val="en-US"/>
              </w:rPr>
              <w:t xml:space="preserve">76.0%</w:t>
            </w:r>
          </w:p>
        </w:tc>
        <w:tc>
          <w:tcPr>
            <w:tcW w:w="1280" w:type="dxa"/>
            <w:vAlign w:val="center"/>
          </w:tcPr>
          <w:p>
            <w:pPr>
              <w:spacing w:before="30" w:after="30" w:line="240" w:lineRule="auto"/>
              <w:jc w:val="right"/>
              <w:rPr>
                <w:lang w:val="en-US"/>
              </w:rPr>
            </w:pPr>
            <w:r>
              <w:rPr>
                <w:b/>
                <w:bCs/>
                <w:sz w:val="18"/>
                <w:szCs w:val="18"/>
                <w:lang w:val="en-US"/>
              </w:rPr>
              <w:t xml:space="preserve">+8.0%</w:t>
            </w:r>
          </w:p>
        </w:tc>
      </w:tr>
      <w:tr>
        <w:tc>
          <w:tcPr>
            <w:tcW w:w="2316" w:type="dxa"/>
            <w:vAlign w:val="center"/>
          </w:tcPr>
          <w:p>
            <w:pPr>
              <w:spacing w:before="30" w:after="30" w:line="240" w:lineRule="auto"/>
              <w:jc w:val="left"/>
              <w:rPr>
                <w:lang w:val="en-US"/>
              </w:rPr>
            </w:pPr>
            <w:r>
              <w:rPr>
                <w:sz w:val="18"/>
                <w:szCs w:val="18"/>
                <w:lang w:val="en-US"/>
              </w:rPr>
              <w:t xml:space="preserve">Ridge, alpha = 1000</w:t>
            </w:r>
          </w:p>
        </w:tc>
        <w:tc>
          <w:tcPr>
            <w:tcW w:w="1198" w:type="dxa"/>
            <w:vAlign w:val="center"/>
          </w:tcPr>
          <w:p>
            <w:pPr>
              <w:spacing w:before="30" w:after="30" w:line="240" w:lineRule="auto"/>
              <w:jc w:val="right"/>
              <w:rPr>
                <w:lang w:val="en-US"/>
              </w:rPr>
            </w:pPr>
            <w:r>
              <w:rPr>
                <w:sz w:val="18"/>
                <w:szCs w:val="18"/>
                <w:lang w:val="en-US"/>
              </w:rPr>
              <w:t xml:space="preserve">54.3%</w:t>
            </w:r>
          </w:p>
        </w:tc>
        <w:tc>
          <w:tcPr>
            <w:tcW w:w="878" w:type="dxa"/>
            <w:vAlign w:val="center"/>
          </w:tcPr>
          <w:p>
            <w:pPr>
              <w:spacing w:before="30" w:after="30" w:line="240" w:lineRule="auto"/>
              <w:jc w:val="right"/>
              <w:rPr>
                <w:lang w:val="en-US"/>
              </w:rPr>
            </w:pPr>
            <w:r>
              <w:rPr>
                <w:sz w:val="18"/>
                <w:szCs w:val="18"/>
                <w:lang w:val="en-US"/>
              </w:rPr>
              <w:t xml:space="preserve">80.2%</w:t>
            </w:r>
          </w:p>
        </w:tc>
        <w:tc>
          <w:tcPr>
            <w:tcW w:w="1278" w:type="dxa"/>
            <w:vAlign w:val="center"/>
          </w:tcPr>
          <w:p>
            <w:pPr>
              <w:spacing w:before="30" w:after="30" w:line="240" w:lineRule="auto"/>
              <w:jc w:val="right"/>
              <w:rPr>
                <w:lang w:val="en-US"/>
              </w:rPr>
            </w:pPr>
            <w:r>
              <w:rPr>
                <w:sz w:val="18"/>
                <w:szCs w:val="18"/>
                <w:lang w:val="en-US"/>
              </w:rPr>
              <w:t xml:space="preserve">+18.8%</w:t>
            </w:r>
          </w:p>
        </w:tc>
        <w:tc>
          <w:tcPr>
            <w:tcW w:w="1198" w:type="dxa"/>
            <w:vAlign w:val="center"/>
          </w:tcPr>
          <w:p>
            <w:pPr>
              <w:spacing w:before="30" w:after="30" w:line="240" w:lineRule="auto"/>
              <w:jc w:val="right"/>
              <w:rPr>
                <w:lang w:val="en-US"/>
              </w:rPr>
            </w:pPr>
            <w:r>
              <w:rPr>
                <w:sz w:val="18"/>
                <w:szCs w:val="18"/>
                <w:lang w:val="en-US"/>
              </w:rPr>
              <w:t xml:space="preserve">53.2%</w:t>
            </w:r>
          </w:p>
        </w:tc>
        <w:tc>
          <w:tcPr>
            <w:tcW w:w="878" w:type="dxa"/>
            <w:vAlign w:val="center"/>
          </w:tcPr>
          <w:p>
            <w:pPr>
              <w:spacing w:before="30" w:after="30" w:line="240" w:lineRule="auto"/>
              <w:jc w:val="right"/>
              <w:rPr>
                <w:lang w:val="en-US"/>
              </w:rPr>
            </w:pPr>
            <w:r>
              <w:rPr>
                <w:sz w:val="18"/>
                <w:szCs w:val="18"/>
                <w:lang w:val="en-US"/>
              </w:rPr>
              <w:t xml:space="preserve">77.2%</w:t>
            </w:r>
          </w:p>
        </w:tc>
        <w:tc>
          <w:tcPr>
            <w:tcW w:w="1280" w:type="dxa"/>
            <w:vAlign w:val="center"/>
          </w:tcPr>
          <w:p>
            <w:pPr>
              <w:spacing w:before="30" w:after="30" w:line="240" w:lineRule="auto"/>
              <w:jc w:val="right"/>
              <w:rPr>
                <w:lang w:val="en-US"/>
              </w:rPr>
            </w:pPr>
            <w:r>
              <w:rPr>
                <w:sz w:val="18"/>
                <w:szCs w:val="18"/>
                <w:lang w:val="en-US"/>
              </w:rPr>
              <w:t xml:space="preserve">+5.9%</w:t>
            </w:r>
          </w:p>
        </w:tc>
      </w:tr>
      <w:tr>
        <w:tc>
          <w:tcPr>
            <w:tcW w:w="2316" w:type="dxa"/>
            <w:vAlign w:val="center"/>
          </w:tcPr>
          <w:p>
            <w:pPr>
              <w:spacing w:before="30" w:after="30" w:line="240" w:lineRule="auto"/>
              <w:jc w:val="left"/>
              <w:rPr>
                <w:lang w:val="en-US"/>
              </w:rPr>
            </w:pPr>
            <w:r>
              <w:rPr>
                <w:sz w:val="18"/>
                <w:szCs w:val="18"/>
                <w:lang w:val="en-US"/>
              </w:rPr>
              <w:t xml:space="preserve">Gradient boosting</w:t>
            </w:r>
          </w:p>
        </w:tc>
        <w:tc>
          <w:tcPr>
            <w:tcW w:w="1198" w:type="dxa"/>
            <w:vAlign w:val="center"/>
          </w:tcPr>
          <w:p>
            <w:pPr>
              <w:spacing w:before="30" w:after="30" w:line="240" w:lineRule="auto"/>
              <w:jc w:val="right"/>
              <w:rPr>
                <w:lang w:val="en-US"/>
              </w:rPr>
            </w:pPr>
            <w:r>
              <w:rPr>
                <w:sz w:val="18"/>
                <w:szCs w:val="18"/>
                <w:lang w:val="en-US"/>
              </w:rPr>
              <w:t xml:space="preserve">52.2%</w:t>
            </w:r>
          </w:p>
        </w:tc>
        <w:tc>
          <w:tcPr>
            <w:tcW w:w="878" w:type="dxa"/>
            <w:vAlign w:val="center"/>
          </w:tcPr>
          <w:p>
            <w:pPr>
              <w:spacing w:before="30" w:after="30" w:line="240" w:lineRule="auto"/>
              <w:jc w:val="right"/>
              <w:rPr>
                <w:lang w:val="en-US"/>
              </w:rPr>
            </w:pPr>
            <w:r>
              <w:rPr>
                <w:sz w:val="18"/>
                <w:szCs w:val="18"/>
                <w:lang w:val="en-US"/>
              </w:rPr>
              <w:t xml:space="preserve">78.1%</w:t>
            </w:r>
          </w:p>
        </w:tc>
        <w:tc>
          <w:tcPr>
            <w:tcW w:w="1278" w:type="dxa"/>
            <w:vAlign w:val="center"/>
          </w:tcPr>
          <w:p>
            <w:pPr>
              <w:spacing w:before="30" w:after="30" w:line="240" w:lineRule="auto"/>
              <w:jc w:val="right"/>
              <w:rPr>
                <w:lang w:val="en-US"/>
              </w:rPr>
            </w:pPr>
            <w:r>
              <w:rPr>
                <w:sz w:val="18"/>
                <w:szCs w:val="18"/>
                <w:lang w:val="en-US"/>
              </w:rPr>
              <w:t xml:space="preserve">+18.2%</w:t>
            </w:r>
          </w:p>
        </w:tc>
        <w:tc>
          <w:tcPr>
            <w:tcW w:w="1198" w:type="dxa"/>
            <w:vAlign w:val="center"/>
          </w:tcPr>
          <w:p>
            <w:pPr>
              <w:spacing w:before="30" w:after="30" w:line="240" w:lineRule="auto"/>
              <w:jc w:val="right"/>
              <w:rPr>
                <w:lang w:val="en-US"/>
              </w:rPr>
            </w:pPr>
            <w:r>
              <w:rPr>
                <w:sz w:val="18"/>
                <w:szCs w:val="18"/>
                <w:lang w:val="en-US"/>
              </w:rPr>
              <w:t xml:space="preserve">59.5%</w:t>
            </w:r>
          </w:p>
        </w:tc>
        <w:tc>
          <w:tcPr>
            <w:tcW w:w="878" w:type="dxa"/>
            <w:vAlign w:val="center"/>
          </w:tcPr>
          <w:p>
            <w:pPr>
              <w:spacing w:before="30" w:after="30" w:line="240" w:lineRule="auto"/>
              <w:jc w:val="right"/>
              <w:rPr>
                <w:lang w:val="en-US"/>
              </w:rPr>
            </w:pPr>
            <w:r>
              <w:rPr>
                <w:sz w:val="18"/>
                <w:szCs w:val="18"/>
                <w:lang w:val="en-US"/>
              </w:rPr>
              <w:t xml:space="preserve">30.4%</w:t>
            </w:r>
          </w:p>
        </w:tc>
        <w:tc>
          <w:tcPr>
            <w:tcW w:w="1280" w:type="dxa"/>
            <w:vAlign w:val="center"/>
          </w:tcPr>
          <w:p>
            <w:pPr>
              <w:spacing w:before="30" w:after="30" w:line="240" w:lineRule="auto"/>
              <w:jc w:val="right"/>
              <w:rPr>
                <w:lang w:val="en-US"/>
              </w:rPr>
            </w:pPr>
            <w:r>
              <w:rPr>
                <w:sz w:val="18"/>
                <w:szCs w:val="18"/>
                <w:lang w:val="en-US"/>
              </w:rPr>
              <w:t xml:space="preserve">−5.6%</w:t>
            </w:r>
          </w:p>
        </w:tc>
      </w:tr>
    </w:tbl>
    <w:p>
      <w:pPr>
        <w:spacing w:before="0" w:after="0"/>
        <w:rPr>
          <w:lang w:val="en-US"/>
        </w:rPr>
      </w:pPr>
    </w:p>
    <w:p>
      <w:pPr>
        <w:spacing w:after="160"/>
        <w:rPr>
          <w:lang w:val="en-US"/>
        </w:rPr>
      </w:pPr>
      <w:r>
        <w:rPr>
          <w:lang w:val="en-US"/>
        </w:rPr>
        <w:t xml:space="preserve">Ridge and linear regression give identical results: with tens of thousands of training rows and at most 39 features, the penalty hardly matters, and even alpha = 1000 changes little. Gradient boosting is worse on almost everything, and its ranges are far too narrow for weeks (30% coverage; 5% for months): it fits the training data so closely that its training errors are much smaller than its errors on new data, so ranges built from them are useless. For the hourly direction, the rule "guess the opposite of the last hour" was as good as any model. We chose ridge with alpha = 1, as good as the best model on every measure that worked, and simpler.</w:t>
      </w:r>
    </w:p>
    <w:p>
      <w:pPr>
        <w:spacing w:after="160"/>
        <w:rPr>
          <w:lang w:val="en-US"/>
        </w:rPr>
      </w:pPr>
      <w:r>
        <w:rPr>
          <w:lang w:val="en-US"/>
        </w:rPr>
        <w:t xml:space="preserve">We also tried looking back 1, 2, 4, 8 and 16 periods. Four was best for weeks (55.7% direction, +8.0% move skill); for hours, one period was slightly better on direction (54.9% against 54.1%), with the same move skill. We kept four for all horizons, so the website uses one setting. The full table is in </w:t>
      </w:r>
      <w:r>
        <w:rPr>
          <w:rFonts w:ascii="Courier New" w:hAnsi="Courier New" w:cs="Courier New"/>
          <w:sz w:val="20"/>
          <w:szCs w:val="20"/>
          <w:lang w:val="en-US"/>
        </w:rPr>
        <w:t xml:space="preserve">experiments.ipynb</w:t>
      </w:r>
      <w:r>
        <w:rPr>
          <w:lang w:val="en-US"/>
        </w:rPr>
        <w:t xml:space="preserve">.</w:t>
      </w:r>
    </w:p>
    <w:p>
      <w:pPr>
        <w:pStyle w:val="Heading2"/>
        <w:rPr>
          <w:lang w:val="en-US"/>
        </w:rPr>
      </w:pPr>
      <w:r>
        <w:rPr>
          <w:b/>
          <w:bCs/>
          <w:sz w:val="24"/>
          <w:szCs w:val="24"/>
          <w:lang w:val="en-US"/>
        </w:rPr>
        <w:t xml:space="preserve">RESULTS ON THE TEST PERIOD</w:t>
      </w:r>
    </w:p>
    <w:p>
      <w:pPr>
        <w:keepNext/>
        <w:spacing w:before="200" w:after="60"/>
        <w:rPr>
          <w:lang w:val="en-US"/>
        </w:rPr>
      </w:pPr>
      <w:r>
        <w:rPr>
          <w:i/>
          <w:iCs/>
          <w:sz w:val="18"/>
          <w:szCs w:val="18"/>
          <w:lang w:val="en-US"/>
        </w:rPr>
        <w:t xml:space="preserve">Table 2: Final results on the test period (1 January 2021 – 26 October 2026).</w:t>
      </w:r>
    </w:p>
    <w:tbl>
      <w:tblPr>
        <w:tblStyle w:val="TableGrid"/>
        <w:tblW w:w="9026" w:type="dxa"/>
        <w:tblBorders>
          <w:top w:val="single" w:sz="4" w:color="BFBFBF"/>
          <w:left w:val="nil"/>
          <w:bottom w:val="single" w:sz="4" w:color="BFBFBF"/>
          <w:right w:val="nil"/>
          <w:insideH w:val="single" w:sz="4" w:color="D9D9D9"/>
          <w:insideV w:val="nil"/>
        </w:tblBorders>
        <w:tblLayout w:type="fixed"/>
        <w:tblCellMar>
          <w:left w:w="80" w:type="dxa"/>
          <w:right w:w="80" w:type="dxa"/>
        </w:tblCellMar>
      </w:tblPr>
      <w:tblGrid>
        <w:gridCol w:w="3985"/>
        <w:gridCol w:w="1992"/>
        <w:gridCol w:w="1523"/>
        <w:gridCol w:w="1526"/>
      </w:tblGrid>
      <w:tr>
        <w:trPr>
          <w:tblHeader/>
        </w:trPr>
        <w:tc>
          <w:tcPr>
            <w:tcW w:w="3985" w:type="dxa"/>
            <w:shd w:val="clear" w:color="auto" w:fill="EFEFEF"/>
            <w:vAlign w:val="center"/>
          </w:tcPr>
          <w:p>
            <w:pPr>
              <w:spacing w:before="30" w:after="30" w:line="240" w:lineRule="auto"/>
              <w:jc w:val="left"/>
              <w:rPr>
                <w:lang w:val="en-US"/>
              </w:rPr>
            </w:pPr>
          </w:p>
        </w:tc>
        <w:tc>
          <w:tcPr>
            <w:tcW w:w="1992" w:type="dxa"/>
            <w:shd w:val="clear" w:color="auto" w:fill="EFEFEF"/>
            <w:vAlign w:val="center"/>
          </w:tcPr>
          <w:p>
            <w:pPr>
              <w:spacing w:before="30" w:after="30" w:line="240" w:lineRule="auto"/>
              <w:jc w:val="right"/>
              <w:rPr>
                <w:lang w:val="en-US"/>
              </w:rPr>
            </w:pPr>
            <w:r>
              <w:rPr>
                <w:b/>
                <w:bCs/>
                <w:sz w:val="18"/>
                <w:szCs w:val="18"/>
                <w:lang w:val="en-US"/>
              </w:rPr>
              <w:t xml:space="preserve">Hour</w:t>
            </w:r>
          </w:p>
        </w:tc>
        <w:tc>
          <w:tcPr>
            <w:tcW w:w="1523" w:type="dxa"/>
            <w:shd w:val="clear" w:color="auto" w:fill="EFEFEF"/>
            <w:vAlign w:val="center"/>
          </w:tcPr>
          <w:p>
            <w:pPr>
              <w:spacing w:before="30" w:after="30" w:line="240" w:lineRule="auto"/>
              <w:jc w:val="right"/>
              <w:rPr>
                <w:lang w:val="en-US"/>
              </w:rPr>
            </w:pPr>
            <w:r>
              <w:rPr>
                <w:b/>
                <w:bCs/>
                <w:sz w:val="18"/>
                <w:szCs w:val="18"/>
                <w:lang w:val="en-US"/>
              </w:rPr>
              <w:t xml:space="preserve">Week</w:t>
            </w:r>
          </w:p>
        </w:tc>
        <w:tc>
          <w:tcPr>
            <w:tcW w:w="1526" w:type="dxa"/>
            <w:shd w:val="clear" w:color="auto" w:fill="EFEFEF"/>
            <w:vAlign w:val="center"/>
          </w:tcPr>
          <w:p>
            <w:pPr>
              <w:spacing w:before="30" w:after="30" w:line="240" w:lineRule="auto"/>
              <w:jc w:val="right"/>
              <w:rPr>
                <w:lang w:val="en-US"/>
              </w:rPr>
            </w:pPr>
            <w:r>
              <w:rPr>
                <w:b/>
                <w:bCs/>
                <w:sz w:val="18"/>
                <w:szCs w:val="18"/>
                <w:lang w:val="en-US"/>
              </w:rPr>
              <w:t xml:space="preserve">Month</w:t>
            </w:r>
          </w:p>
        </w:tc>
      </w:tr>
      <w:tr>
        <w:tc>
          <w:tcPr>
            <w:tcW w:w="3985" w:type="dxa"/>
            <w:vAlign w:val="center"/>
          </w:tcPr>
          <w:p>
            <w:pPr>
              <w:spacing w:before="30" w:after="30" w:line="240" w:lineRule="auto"/>
              <w:jc w:val="left"/>
              <w:rPr>
                <w:lang w:val="en-US"/>
              </w:rPr>
            </w:pPr>
            <w:r>
              <w:rPr>
                <w:sz w:val="18"/>
                <w:szCs w:val="18"/>
                <w:lang w:val="en-US"/>
              </w:rPr>
              <w:t xml:space="preserve">Guesses</w:t>
            </w:r>
          </w:p>
        </w:tc>
        <w:tc>
          <w:tcPr>
            <w:tcW w:w="1992" w:type="dxa"/>
            <w:vAlign w:val="center"/>
          </w:tcPr>
          <w:p>
            <w:pPr>
              <w:spacing w:before="30" w:after="30" w:line="240" w:lineRule="auto"/>
              <w:jc w:val="right"/>
              <w:rPr>
                <w:lang w:val="en-US"/>
              </w:rPr>
            </w:pPr>
            <w:r>
              <w:rPr>
                <w:sz w:val="18"/>
                <w:szCs w:val="18"/>
                <w:lang w:val="en-US"/>
              </w:rPr>
              <w:t xml:space="preserve">50,927</w:t>
            </w:r>
          </w:p>
        </w:tc>
        <w:tc>
          <w:tcPr>
            <w:tcW w:w="1523" w:type="dxa"/>
            <w:vAlign w:val="center"/>
          </w:tcPr>
          <w:p>
            <w:pPr>
              <w:spacing w:before="30" w:after="30" w:line="240" w:lineRule="auto"/>
              <w:jc w:val="right"/>
              <w:rPr>
                <w:lang w:val="en-US"/>
              </w:rPr>
            </w:pPr>
            <w:r>
              <w:rPr>
                <w:sz w:val="18"/>
                <w:szCs w:val="18"/>
                <w:lang w:val="en-US"/>
              </w:rPr>
              <w:t xml:space="preserve">303</w:t>
            </w:r>
          </w:p>
        </w:tc>
        <w:tc>
          <w:tcPr>
            <w:tcW w:w="1526" w:type="dxa"/>
            <w:vAlign w:val="center"/>
          </w:tcPr>
          <w:p>
            <w:pPr>
              <w:spacing w:before="30" w:after="30" w:line="240" w:lineRule="auto"/>
              <w:jc w:val="right"/>
              <w:rPr>
                <w:lang w:val="en-US"/>
              </w:rPr>
            </w:pPr>
            <w:r>
              <w:rPr>
                <w:sz w:val="18"/>
                <w:szCs w:val="18"/>
                <w:lang w:val="en-US"/>
              </w:rPr>
              <w:t xml:space="preserve">69</w:t>
            </w:r>
          </w:p>
        </w:tc>
      </w:tr>
      <w:tr>
        <w:tc>
          <w:tcPr>
            <w:tcW w:w="3985" w:type="dxa"/>
            <w:vAlign w:val="center"/>
          </w:tcPr>
          <w:p>
            <w:pPr>
              <w:spacing w:before="30" w:after="30" w:line="240" w:lineRule="auto"/>
              <w:jc w:val="left"/>
              <w:rPr>
                <w:lang w:val="en-US"/>
              </w:rPr>
            </w:pPr>
            <w:r>
              <w:rPr>
                <w:b/>
                <w:bCs/>
                <w:sz w:val="18"/>
                <w:szCs w:val="18"/>
                <w:lang w:val="en-US"/>
              </w:rPr>
              <w:t xml:space="preserve">Right direction</w:t>
            </w:r>
            <w:r>
              <w:rPr>
                <w:sz w:val="18"/>
                <w:szCs w:val="18"/>
                <w:lang w:val="en-US"/>
              </w:rPr>
              <w:t xml:space="preserve"> (chance it's luck)</w:t>
            </w:r>
          </w:p>
        </w:tc>
        <w:tc>
          <w:tcPr>
            <w:tcW w:w="1992" w:type="dxa"/>
            <w:vAlign w:val="center"/>
          </w:tcPr>
          <w:p>
            <w:pPr>
              <w:spacing w:before="30" w:after="30" w:line="240" w:lineRule="auto"/>
              <w:jc w:val="right"/>
              <w:rPr>
                <w:lang w:val="en-US"/>
              </w:rPr>
            </w:pPr>
            <w:r>
              <w:rPr>
                <w:b/>
                <w:bCs/>
                <w:sz w:val="18"/>
                <w:szCs w:val="18"/>
                <w:lang w:val="en-US"/>
              </w:rPr>
              <w:t xml:space="preserve">52.6%</w:t>
            </w:r>
            <w:r>
              <w:rPr>
                <w:sz w:val="18"/>
                <w:szCs w:val="18"/>
                <w:lang w:val="en-US"/>
              </w:rPr>
              <w:t xml:space="preserve"> (&lt; 0.01%)</w:t>
            </w:r>
          </w:p>
        </w:tc>
        <w:tc>
          <w:tcPr>
            <w:tcW w:w="1523" w:type="dxa"/>
            <w:vAlign w:val="center"/>
          </w:tcPr>
          <w:p>
            <w:pPr>
              <w:spacing w:before="30" w:after="30" w:line="240" w:lineRule="auto"/>
              <w:jc w:val="right"/>
              <w:rPr>
                <w:lang w:val="en-US"/>
              </w:rPr>
            </w:pPr>
            <w:r>
              <w:rPr>
                <w:sz w:val="18"/>
                <w:szCs w:val="18"/>
                <w:lang w:val="en-US"/>
              </w:rPr>
              <w:t xml:space="preserve">47.5% (82%)</w:t>
            </w:r>
          </w:p>
        </w:tc>
        <w:tc>
          <w:tcPr>
            <w:tcW w:w="1526" w:type="dxa"/>
            <w:vAlign w:val="center"/>
          </w:tcPr>
          <w:p>
            <w:pPr>
              <w:spacing w:before="30" w:after="30" w:line="240" w:lineRule="auto"/>
              <w:jc w:val="right"/>
              <w:rPr>
                <w:lang w:val="en-US"/>
              </w:rPr>
            </w:pPr>
            <w:r>
              <w:rPr>
                <w:sz w:val="18"/>
                <w:szCs w:val="18"/>
                <w:lang w:val="en-US"/>
              </w:rPr>
              <w:t xml:space="preserve">58.0% (11%)</w:t>
            </w:r>
          </w:p>
        </w:tc>
      </w:tr>
      <w:tr>
        <w:tc>
          <w:tcPr>
            <w:tcW w:w="3985" w:type="dxa"/>
            <w:vAlign w:val="center"/>
          </w:tcPr>
          <w:p>
            <w:pPr>
              <w:spacing w:before="30" w:after="30" w:line="240" w:lineRule="auto"/>
              <w:jc w:val="left"/>
              <w:rPr>
                <w:lang w:val="en-US"/>
              </w:rPr>
            </w:pPr>
            <w:r>
              <w:rPr>
                <w:sz w:val="18"/>
                <w:szCs w:val="18"/>
                <w:lang w:val="en-US"/>
              </w:rPr>
              <w:t xml:space="preserve">Baseline: always up</w:t>
            </w:r>
          </w:p>
        </w:tc>
        <w:tc>
          <w:tcPr>
            <w:tcW w:w="1992" w:type="dxa"/>
            <w:vAlign w:val="center"/>
          </w:tcPr>
          <w:p>
            <w:pPr>
              <w:spacing w:before="30" w:after="30" w:line="240" w:lineRule="auto"/>
              <w:jc w:val="right"/>
              <w:rPr>
                <w:lang w:val="en-US"/>
              </w:rPr>
            </w:pPr>
            <w:r>
              <w:rPr>
                <w:sz w:val="18"/>
                <w:szCs w:val="18"/>
                <w:lang w:val="en-US"/>
              </w:rPr>
              <w:t xml:space="preserve">50.5%</w:t>
            </w:r>
          </w:p>
        </w:tc>
        <w:tc>
          <w:tcPr>
            <w:tcW w:w="1523" w:type="dxa"/>
            <w:vAlign w:val="center"/>
          </w:tcPr>
          <w:p>
            <w:pPr>
              <w:spacing w:before="30" w:after="30" w:line="240" w:lineRule="auto"/>
              <w:jc w:val="right"/>
              <w:rPr>
                <w:lang w:val="en-US"/>
              </w:rPr>
            </w:pPr>
            <w:r>
              <w:rPr>
                <w:sz w:val="18"/>
                <w:szCs w:val="18"/>
                <w:lang w:val="en-US"/>
              </w:rPr>
              <w:t xml:space="preserve">50.8%</w:t>
            </w:r>
          </w:p>
        </w:tc>
        <w:tc>
          <w:tcPr>
            <w:tcW w:w="1526" w:type="dxa"/>
            <w:vAlign w:val="center"/>
          </w:tcPr>
          <w:p>
            <w:pPr>
              <w:spacing w:before="30" w:after="30" w:line="240" w:lineRule="auto"/>
              <w:jc w:val="right"/>
              <w:rPr>
                <w:lang w:val="en-US"/>
              </w:rPr>
            </w:pPr>
            <w:r>
              <w:rPr>
                <w:sz w:val="18"/>
                <w:szCs w:val="18"/>
                <w:lang w:val="en-US"/>
              </w:rPr>
              <w:t xml:space="preserve">58.0%</w:t>
            </w:r>
          </w:p>
        </w:tc>
      </w:tr>
      <w:tr>
        <w:tc>
          <w:tcPr>
            <w:tcW w:w="3985" w:type="dxa"/>
            <w:vAlign w:val="center"/>
          </w:tcPr>
          <w:p>
            <w:pPr>
              <w:spacing w:before="30" w:after="30" w:line="240" w:lineRule="auto"/>
              <w:jc w:val="left"/>
              <w:rPr>
                <w:lang w:val="en-US"/>
              </w:rPr>
            </w:pPr>
            <w:r>
              <w:rPr>
                <w:sz w:val="18"/>
                <w:szCs w:val="18"/>
                <w:lang w:val="en-US"/>
              </w:rPr>
              <w:t xml:space="preserve">Baseline: opposite of last period</w:t>
            </w:r>
          </w:p>
        </w:tc>
        <w:tc>
          <w:tcPr>
            <w:tcW w:w="1992" w:type="dxa"/>
            <w:vAlign w:val="center"/>
          </w:tcPr>
          <w:p>
            <w:pPr>
              <w:spacing w:before="30" w:after="30" w:line="240" w:lineRule="auto"/>
              <w:jc w:val="right"/>
              <w:rPr>
                <w:lang w:val="en-US"/>
              </w:rPr>
            </w:pPr>
            <w:r>
              <w:rPr>
                <w:sz w:val="18"/>
                <w:szCs w:val="18"/>
                <w:lang w:val="en-US"/>
              </w:rPr>
              <w:t xml:space="preserve">52.7%</w:t>
            </w:r>
          </w:p>
        </w:tc>
        <w:tc>
          <w:tcPr>
            <w:tcW w:w="1523" w:type="dxa"/>
            <w:vAlign w:val="center"/>
          </w:tcPr>
          <w:p>
            <w:pPr>
              <w:spacing w:before="30" w:after="30" w:line="240" w:lineRule="auto"/>
              <w:jc w:val="right"/>
              <w:rPr>
                <w:lang w:val="en-US"/>
              </w:rPr>
            </w:pPr>
            <w:r>
              <w:rPr>
                <w:sz w:val="18"/>
                <w:szCs w:val="18"/>
                <w:lang w:val="en-US"/>
              </w:rPr>
              <w:t xml:space="preserve">51.5%</w:t>
            </w:r>
          </w:p>
        </w:tc>
        <w:tc>
          <w:tcPr>
            <w:tcW w:w="1526" w:type="dxa"/>
            <w:vAlign w:val="center"/>
          </w:tcPr>
          <w:p>
            <w:pPr>
              <w:spacing w:before="30" w:after="30" w:line="240" w:lineRule="auto"/>
              <w:jc w:val="right"/>
              <w:rPr>
                <w:lang w:val="en-US"/>
              </w:rPr>
            </w:pPr>
            <w:r>
              <w:rPr>
                <w:sz w:val="18"/>
                <w:szCs w:val="18"/>
                <w:lang w:val="en-US"/>
              </w:rPr>
              <w:t xml:space="preserve">49.3%</w:t>
            </w:r>
          </w:p>
        </w:tc>
      </w:tr>
      <w:tr>
        <w:tc>
          <w:tcPr>
            <w:tcW w:w="3985" w:type="dxa"/>
            <w:vAlign w:val="center"/>
          </w:tcPr>
          <w:p>
            <w:pPr>
              <w:spacing w:before="30" w:after="30" w:line="240" w:lineRule="auto"/>
              <w:jc w:val="left"/>
              <w:rPr>
                <w:lang w:val="en-US"/>
              </w:rPr>
            </w:pPr>
            <w:r>
              <w:rPr>
                <w:sz w:val="18"/>
                <w:szCs w:val="18"/>
                <w:lang w:val="en-US"/>
              </w:rPr>
              <w:t xml:space="preserve">Right direction, confident guesses</w:t>
            </w:r>
          </w:p>
        </w:tc>
        <w:tc>
          <w:tcPr>
            <w:tcW w:w="1992" w:type="dxa"/>
            <w:vAlign w:val="center"/>
          </w:tcPr>
          <w:p>
            <w:pPr>
              <w:spacing w:before="30" w:after="30" w:line="240" w:lineRule="auto"/>
              <w:jc w:val="right"/>
              <w:rPr>
                <w:lang w:val="en-US"/>
              </w:rPr>
            </w:pPr>
            <w:r>
              <w:rPr>
                <w:sz w:val="18"/>
                <w:szCs w:val="18"/>
                <w:lang w:val="en-US"/>
              </w:rPr>
              <w:t xml:space="preserve">55.0% (of 11,207)</w:t>
            </w:r>
          </w:p>
        </w:tc>
        <w:tc>
          <w:tcPr>
            <w:tcW w:w="1523" w:type="dxa"/>
            <w:vAlign w:val="center"/>
          </w:tcPr>
          <w:p>
            <w:pPr>
              <w:spacing w:before="30" w:after="30" w:line="240" w:lineRule="auto"/>
              <w:jc w:val="right"/>
              <w:rPr>
                <w:lang w:val="en-US"/>
              </w:rPr>
            </w:pPr>
            <w:r>
              <w:rPr>
                <w:sz w:val="18"/>
                <w:szCs w:val="18"/>
                <w:lang w:val="en-US"/>
              </w:rPr>
              <w:t xml:space="preserve">49.0% (of 96)</w:t>
            </w:r>
          </w:p>
        </w:tc>
        <w:tc>
          <w:tcPr>
            <w:tcW w:w="1526" w:type="dxa"/>
            <w:vAlign w:val="center"/>
          </w:tcPr>
          <w:p>
            <w:pPr>
              <w:spacing w:before="30" w:after="30" w:line="240" w:lineRule="auto"/>
              <w:jc w:val="right"/>
              <w:rPr>
                <w:lang w:val="en-US"/>
              </w:rPr>
            </w:pPr>
            <w:r>
              <w:rPr>
                <w:sz w:val="18"/>
                <w:szCs w:val="18"/>
                <w:lang w:val="en-US"/>
              </w:rPr>
              <w:t xml:space="preserve">60.0% (of 15)</w:t>
            </w:r>
          </w:p>
        </w:tc>
      </w:tr>
      <w:tr>
        <w:tc>
          <w:tcPr>
            <w:tcW w:w="3985" w:type="dxa"/>
            <w:vAlign w:val="center"/>
          </w:tcPr>
          <w:p>
            <w:pPr>
              <w:spacing w:before="30" w:after="30" w:line="240" w:lineRule="auto"/>
              <w:jc w:val="left"/>
              <w:rPr>
                <w:lang w:val="en-US"/>
              </w:rPr>
            </w:pPr>
            <w:r>
              <w:rPr>
                <w:b/>
                <w:bCs/>
                <w:sz w:val="18"/>
                <w:szCs w:val="18"/>
                <w:lang w:val="en-US"/>
              </w:rPr>
              <w:t xml:space="preserve">Real price inside the 80% range</w:t>
            </w:r>
          </w:p>
        </w:tc>
        <w:tc>
          <w:tcPr>
            <w:tcW w:w="1992" w:type="dxa"/>
            <w:vAlign w:val="center"/>
          </w:tcPr>
          <w:p>
            <w:pPr>
              <w:spacing w:before="30" w:after="30" w:line="240" w:lineRule="auto"/>
              <w:jc w:val="right"/>
              <w:rPr>
                <w:lang w:val="en-US"/>
              </w:rPr>
            </w:pPr>
            <w:r>
              <w:rPr>
                <w:b/>
                <w:bCs/>
                <w:sz w:val="18"/>
                <w:szCs w:val="18"/>
                <w:lang w:val="en-US"/>
              </w:rPr>
              <w:t xml:space="preserve">79.4%</w:t>
            </w:r>
          </w:p>
        </w:tc>
        <w:tc>
          <w:tcPr>
            <w:tcW w:w="1523" w:type="dxa"/>
            <w:vAlign w:val="center"/>
          </w:tcPr>
          <w:p>
            <w:pPr>
              <w:spacing w:before="30" w:after="30" w:line="240" w:lineRule="auto"/>
              <w:jc w:val="right"/>
              <w:rPr>
                <w:lang w:val="en-US"/>
              </w:rPr>
            </w:pPr>
            <w:r>
              <w:rPr>
                <w:b/>
                <w:bCs/>
                <w:sz w:val="18"/>
                <w:szCs w:val="18"/>
                <w:lang w:val="en-US"/>
              </w:rPr>
              <w:t xml:space="preserve">75.9%</w:t>
            </w:r>
          </w:p>
        </w:tc>
        <w:tc>
          <w:tcPr>
            <w:tcW w:w="1526" w:type="dxa"/>
            <w:vAlign w:val="center"/>
          </w:tcPr>
          <w:p>
            <w:pPr>
              <w:spacing w:before="30" w:after="30" w:line="240" w:lineRule="auto"/>
              <w:jc w:val="right"/>
              <w:rPr>
                <w:lang w:val="en-US"/>
              </w:rPr>
            </w:pPr>
            <w:r>
              <w:rPr>
                <w:b/>
                <w:bCs/>
                <w:sz w:val="18"/>
                <w:szCs w:val="18"/>
                <w:lang w:val="en-US"/>
              </w:rPr>
              <w:t xml:space="preserve">79.7%</w:t>
            </w:r>
          </w:p>
        </w:tc>
      </w:tr>
      <w:tr>
        <w:tc>
          <w:tcPr>
            <w:tcW w:w="3985" w:type="dxa"/>
            <w:vAlign w:val="center"/>
          </w:tcPr>
          <w:p>
            <w:pPr>
              <w:spacing w:before="30" w:after="30" w:line="240" w:lineRule="auto"/>
              <w:jc w:val="left"/>
              <w:rPr>
                <w:lang w:val="en-US"/>
              </w:rPr>
            </w:pPr>
            <w:r>
              <w:rPr>
                <w:b/>
                <w:bCs/>
                <w:sz w:val="18"/>
                <w:szCs w:val="18"/>
                <w:lang w:val="en-US"/>
              </w:rPr>
              <w:t xml:space="preserve">Move skill</w:t>
            </w:r>
            <w:r>
              <w:rPr>
                <w:sz w:val="18"/>
                <w:szCs w:val="18"/>
                <w:lang w:val="en-US"/>
              </w:rPr>
              <w:t xml:space="preserve"> vs. the average move</w:t>
            </w:r>
          </w:p>
        </w:tc>
        <w:tc>
          <w:tcPr>
            <w:tcW w:w="1992" w:type="dxa"/>
            <w:vAlign w:val="center"/>
          </w:tcPr>
          <w:p>
            <w:pPr>
              <w:spacing w:before="30" w:after="30" w:line="240" w:lineRule="auto"/>
              <w:jc w:val="right"/>
              <w:rPr>
                <w:lang w:val="en-US"/>
              </w:rPr>
            </w:pPr>
            <w:r>
              <w:rPr>
                <w:b/>
                <w:bCs/>
                <w:sz w:val="18"/>
                <w:szCs w:val="18"/>
                <w:lang w:val="en-US"/>
              </w:rPr>
              <w:t xml:space="preserve">+22.6%</w:t>
            </w:r>
          </w:p>
        </w:tc>
        <w:tc>
          <w:tcPr>
            <w:tcW w:w="1523" w:type="dxa"/>
            <w:vAlign w:val="center"/>
          </w:tcPr>
          <w:p>
            <w:pPr>
              <w:spacing w:before="30" w:after="30" w:line="240" w:lineRule="auto"/>
              <w:jc w:val="right"/>
              <w:rPr>
                <w:lang w:val="en-US"/>
              </w:rPr>
            </w:pPr>
            <w:r>
              <w:rPr>
                <w:b/>
                <w:bCs/>
                <w:sz w:val="18"/>
                <w:szCs w:val="18"/>
                <w:lang w:val="en-US"/>
              </w:rPr>
              <w:t xml:space="preserve">+10.2%</w:t>
            </w:r>
          </w:p>
        </w:tc>
        <w:tc>
          <w:tcPr>
            <w:tcW w:w="1526" w:type="dxa"/>
            <w:vAlign w:val="center"/>
          </w:tcPr>
          <w:p>
            <w:pPr>
              <w:spacing w:before="30" w:after="30" w:line="240" w:lineRule="auto"/>
              <w:jc w:val="right"/>
              <w:rPr>
                <w:lang w:val="en-US"/>
              </w:rPr>
            </w:pPr>
            <w:r>
              <w:rPr>
                <w:sz w:val="18"/>
                <w:szCs w:val="18"/>
                <w:lang w:val="en-US"/>
              </w:rPr>
              <w:t xml:space="preserve">−6.9%</w:t>
            </w:r>
          </w:p>
        </w:tc>
      </w:tr>
      <w:tr>
        <w:tc>
          <w:tcPr>
            <w:tcW w:w="3985" w:type="dxa"/>
            <w:vAlign w:val="center"/>
          </w:tcPr>
          <w:p>
            <w:pPr>
              <w:spacing w:before="30" w:after="30" w:line="240" w:lineRule="auto"/>
              <w:jc w:val="left"/>
              <w:rPr>
                <w:lang w:val="en-US"/>
              </w:rPr>
            </w:pPr>
            <w:r>
              <w:rPr>
                <w:sz w:val="18"/>
                <w:szCs w:val="18"/>
                <w:lang w:val="en-US"/>
              </w:rPr>
              <w:t xml:space="preserve">Baseline: last period's move</w:t>
            </w:r>
          </w:p>
        </w:tc>
        <w:tc>
          <w:tcPr>
            <w:tcW w:w="1992" w:type="dxa"/>
            <w:vAlign w:val="center"/>
          </w:tcPr>
          <w:p>
            <w:pPr>
              <w:spacing w:before="30" w:after="30" w:line="240" w:lineRule="auto"/>
              <w:jc w:val="right"/>
              <w:rPr>
                <w:lang w:val="en-US"/>
              </w:rPr>
            </w:pPr>
            <w:r>
              <w:rPr>
                <w:sz w:val="18"/>
                <w:szCs w:val="18"/>
                <w:lang w:val="en-US"/>
              </w:rPr>
              <w:t xml:space="preserve">−2.1%</w:t>
            </w:r>
          </w:p>
        </w:tc>
        <w:tc>
          <w:tcPr>
            <w:tcW w:w="1523" w:type="dxa"/>
            <w:vAlign w:val="center"/>
          </w:tcPr>
          <w:p>
            <w:pPr>
              <w:spacing w:before="30" w:after="30" w:line="240" w:lineRule="auto"/>
              <w:jc w:val="right"/>
              <w:rPr>
                <w:lang w:val="en-US"/>
              </w:rPr>
            </w:pPr>
            <w:r>
              <w:rPr>
                <w:sz w:val="18"/>
                <w:szCs w:val="18"/>
                <w:lang w:val="en-US"/>
              </w:rPr>
              <w:t xml:space="preserve">−21.7%</w:t>
            </w:r>
          </w:p>
        </w:tc>
        <w:tc>
          <w:tcPr>
            <w:tcW w:w="1526" w:type="dxa"/>
            <w:vAlign w:val="center"/>
          </w:tcPr>
          <w:p>
            <w:pPr>
              <w:spacing w:before="30" w:after="30" w:line="240" w:lineRule="auto"/>
              <w:jc w:val="right"/>
              <w:rPr>
                <w:lang w:val="en-US"/>
              </w:rPr>
            </w:pPr>
            <w:r>
              <w:rPr>
                <w:sz w:val="18"/>
                <w:szCs w:val="18"/>
                <w:lang w:val="en-US"/>
              </w:rPr>
              <w:t xml:space="preserve">−26.7%</w:t>
            </w:r>
          </w:p>
        </w:tc>
      </w:tr>
      <w:tr>
        <w:tc>
          <w:tcPr>
            <w:tcW w:w="3985" w:type="dxa"/>
            <w:vAlign w:val="center"/>
          </w:tcPr>
          <w:p>
            <w:pPr>
              <w:spacing w:before="30" w:after="30" w:line="240" w:lineRule="auto"/>
              <w:jc w:val="left"/>
              <w:rPr>
                <w:lang w:val="en-US"/>
              </w:rPr>
            </w:pPr>
            <w:r>
              <w:rPr>
                <w:sz w:val="18"/>
                <w:szCs w:val="18"/>
                <w:lang w:val="en-US"/>
              </w:rPr>
              <w:t xml:space="preserve">Price accuracy</w:t>
            </w:r>
          </w:p>
        </w:tc>
        <w:tc>
          <w:tcPr>
            <w:tcW w:w="1992" w:type="dxa"/>
            <w:vAlign w:val="center"/>
          </w:tcPr>
          <w:p>
            <w:pPr>
              <w:spacing w:before="30" w:after="30" w:line="240" w:lineRule="auto"/>
              <w:jc w:val="right"/>
              <w:rPr>
                <w:lang w:val="en-US"/>
              </w:rPr>
            </w:pPr>
            <w:r>
              <w:rPr>
                <w:sz w:val="18"/>
                <w:szCs w:val="18"/>
                <w:lang w:val="en-US"/>
              </w:rPr>
              <w:t xml:space="preserve">99.62%</w:t>
            </w:r>
          </w:p>
        </w:tc>
        <w:tc>
          <w:tcPr>
            <w:tcW w:w="1523" w:type="dxa"/>
            <w:vAlign w:val="center"/>
          </w:tcPr>
          <w:p>
            <w:pPr>
              <w:spacing w:before="30" w:after="30" w:line="240" w:lineRule="auto"/>
              <w:jc w:val="right"/>
              <w:rPr>
                <w:lang w:val="en-US"/>
              </w:rPr>
            </w:pPr>
            <w:r>
              <w:rPr>
                <w:sz w:val="18"/>
                <w:szCs w:val="18"/>
                <w:lang w:val="en-US"/>
              </w:rPr>
              <w:t xml:space="preserve">96.33%</w:t>
            </w:r>
          </w:p>
        </w:tc>
        <w:tc>
          <w:tcPr>
            <w:tcW w:w="1526" w:type="dxa"/>
            <w:vAlign w:val="center"/>
          </w:tcPr>
          <w:p>
            <w:pPr>
              <w:spacing w:before="30" w:after="30" w:line="240" w:lineRule="auto"/>
              <w:jc w:val="right"/>
              <w:rPr>
                <w:lang w:val="en-US"/>
              </w:rPr>
            </w:pPr>
            <w:r>
              <w:rPr>
                <w:sz w:val="18"/>
                <w:szCs w:val="18"/>
                <w:lang w:val="en-US"/>
              </w:rPr>
              <w:t xml:space="preserve">91.80%</w:t>
            </w:r>
          </w:p>
        </w:tc>
      </w:tr>
      <w:tr>
        <w:tc>
          <w:tcPr>
            <w:tcW w:w="3985" w:type="dxa"/>
            <w:vAlign w:val="center"/>
          </w:tcPr>
          <w:p>
            <w:pPr>
              <w:spacing w:before="30" w:after="30" w:line="240" w:lineRule="auto"/>
              <w:jc w:val="left"/>
              <w:rPr>
                <w:lang w:val="en-US"/>
              </w:rPr>
            </w:pPr>
            <w:r>
              <w:rPr>
                <w:sz w:val="18"/>
                <w:szCs w:val="18"/>
                <w:lang w:val="en-US"/>
              </w:rPr>
              <w:t xml:space="preserve">Baseline: same as last price</w:t>
            </w:r>
          </w:p>
        </w:tc>
        <w:tc>
          <w:tcPr>
            <w:tcW w:w="1992" w:type="dxa"/>
            <w:vAlign w:val="center"/>
          </w:tcPr>
          <w:p>
            <w:pPr>
              <w:spacing w:before="30" w:after="30" w:line="240" w:lineRule="auto"/>
              <w:jc w:val="right"/>
              <w:rPr>
                <w:lang w:val="en-US"/>
              </w:rPr>
            </w:pPr>
            <w:r>
              <w:rPr>
                <w:sz w:val="18"/>
                <w:szCs w:val="18"/>
                <w:lang w:val="en-US"/>
              </w:rPr>
              <w:t xml:space="preserve">99.62%</w:t>
            </w:r>
          </w:p>
        </w:tc>
        <w:tc>
          <w:tcPr>
            <w:tcW w:w="1523" w:type="dxa"/>
            <w:vAlign w:val="center"/>
          </w:tcPr>
          <w:p>
            <w:pPr>
              <w:spacing w:before="30" w:after="30" w:line="240" w:lineRule="auto"/>
              <w:jc w:val="right"/>
              <w:rPr>
                <w:lang w:val="en-US"/>
              </w:rPr>
            </w:pPr>
            <w:r>
              <w:rPr>
                <w:sz w:val="18"/>
                <w:szCs w:val="18"/>
                <w:lang w:val="en-US"/>
              </w:rPr>
              <w:t xml:space="preserve">96.44%</w:t>
            </w:r>
          </w:p>
        </w:tc>
        <w:tc>
          <w:tcPr>
            <w:tcW w:w="1526" w:type="dxa"/>
            <w:vAlign w:val="center"/>
          </w:tcPr>
          <w:p>
            <w:pPr>
              <w:spacing w:before="30" w:after="30" w:line="240" w:lineRule="auto"/>
              <w:jc w:val="right"/>
              <w:rPr>
                <w:lang w:val="en-US"/>
              </w:rPr>
            </w:pPr>
            <w:r>
              <w:rPr>
                <w:sz w:val="18"/>
                <w:szCs w:val="18"/>
                <w:lang w:val="en-US"/>
              </w:rPr>
              <w:t xml:space="preserve">92.49%</w:t>
            </w:r>
          </w:p>
        </w:tc>
      </w:tr>
    </w:tbl>
    <w:p>
      <w:pPr>
        <w:spacing w:before="0" w:after="0"/>
        <w:rPr>
          <w:lang w:val="en-US"/>
        </w:rPr>
      </w:pPr>
    </w:p>
    <w:p>
      <w:pPr>
        <w:keepNext/>
        <w:spacing w:before="120" w:after="0"/>
        <w:jc w:val="center"/>
        <w:rPr>
          <w:lang w:val="en-US"/>
        </w:rPr>
      </w:pPr>
      <w:r>
        <w:rPr>
          <w:lang w:val="en-US"/>
        </w:rPr>
        <w:drawing>
          <wp:inline distT="0" distB="0" distL="0" distR="0">
            <wp:extent cx="4815452" cy="3840480"/>
            <wp:docPr id="2" name="Picture 2" descr="Figure 2: Guessed and real prices on the test period. The guess stays close to the last price, so the dashed line looks like the real line moved one step to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X1003"/>
                    <a:stretch>
                      <a:fillRect/>
                    </a:stretch>
                  </pic:blipFill>
                  <pic:spPr>
                    <a:xfrm>
                      <a:off x="0" y="0"/>
                      <a:ext cx="4815452" cy="3840480"/>
                    </a:xfrm>
                    <a:prstGeom prst="rect">
                      <a:avLst/>
                    </a:prstGeom>
                  </pic:spPr>
                </pic:pic>
              </a:graphicData>
            </a:graphic>
          </wp:inline>
        </w:drawing>
      </w:r>
    </w:p>
    <w:p>
      <w:pPr>
        <w:spacing w:before="60" w:after="200"/>
        <w:jc w:val="center"/>
        <w:rPr>
          <w:lang w:val="en-US"/>
        </w:rPr>
      </w:pPr>
      <w:r>
        <w:rPr>
          <w:i/>
          <w:iCs/>
          <w:sz w:val="18"/>
          <w:szCs w:val="18"/>
          <w:lang w:val="en-US"/>
        </w:rPr>
        <w:t xml:space="preserve">Figure 2: Guessed and real prices on the test period. The guess stays close to the last price, so the dashed line looks like the real line moved one step to the right.</w:t>
      </w:r>
    </w:p>
    <w:p>
      <w:pPr>
        <w:keepNext/>
        <w:spacing w:before="120" w:after="0"/>
        <w:jc w:val="center"/>
        <w:rPr>
          <w:lang w:val="en-US"/>
        </w:rPr>
      </w:pPr>
      <w:r>
        <w:rPr>
          <w:lang w:val="en-US"/>
        </w:rPr>
        <w:drawing>
          <wp:inline distT="0" distB="0" distL="0" distR="0">
            <wp:extent cx="5731510" cy="2793115"/>
            <wp:docPr id="3" name="Picture 3" descr="Figure 3: The expected size of the hourly move follows the calm and wild stretches of the market; the baseline is a fla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X1004"/>
                    <a:stretch>
                      <a:fillRect/>
                    </a:stretch>
                  </pic:blipFill>
                  <pic:spPr>
                    <a:xfrm>
                      <a:off x="0" y="0"/>
                      <a:ext cx="5731510" cy="2793115"/>
                    </a:xfrm>
                    <a:prstGeom prst="rect">
                      <a:avLst/>
                    </a:prstGeom>
                  </pic:spPr>
                </pic:pic>
              </a:graphicData>
            </a:graphic>
          </wp:inline>
        </w:drawing>
      </w:r>
    </w:p>
    <w:p>
      <w:pPr>
        <w:spacing w:before="60" w:after="200"/>
        <w:jc w:val="center"/>
        <w:rPr>
          <w:lang w:val="en-US"/>
        </w:rPr>
      </w:pPr>
      <w:r>
        <w:rPr>
          <w:i/>
          <w:iCs/>
          <w:sz w:val="18"/>
          <w:szCs w:val="18"/>
          <w:lang w:val="en-US"/>
        </w:rPr>
        <w:t xml:space="preserve">Figure 3: The expected size of the hourly move follows the calm and wild stretches of the market; the baseline is a flat line.</w:t>
      </w:r>
    </w:p>
    <w:p>
      <w:pPr>
        <w:spacing w:after="160"/>
        <w:rPr>
          <w:lang w:val="en-US"/>
        </w:rPr>
      </w:pPr>
      <w:r>
        <w:rPr>
          <w:lang w:val="en-US"/>
        </w:rPr>
        <w:t xml:space="preserve">Against our success criteria:</w:t>
      </w:r>
    </w:p>
    <w:p>
      <w:pPr>
        <w:pStyle w:val="ListParagraph"/>
        <w:numPr>
          <w:ilvl w:val="0"/>
          <w:numId w:val="1"/>
        </w:numPr>
        <w:spacing w:after="60"/>
        <w:rPr>
          <w:lang w:val="en-US"/>
        </w:rPr>
      </w:pPr>
      <w:r>
        <w:rPr>
          <w:b/>
          <w:bCs/>
          <w:lang w:val="en-US"/>
        </w:rPr>
        <w:t xml:space="preserve">(1) Range coverage between 75% and 85%: reached</w:t>
      </w:r>
      <w:r>
        <w:rPr>
          <w:lang w:val="en-US"/>
        </w:rPr>
        <w:t xml:space="preserve"> for all horizons (79.4%, 75.9%, 79.7%), with weeks close to the limit.</w:t>
      </w:r>
    </w:p>
    <w:p>
      <w:pPr>
        <w:pStyle w:val="ListParagraph"/>
        <w:numPr>
          <w:ilvl w:val="0"/>
          <w:numId w:val="1"/>
        </w:numPr>
        <w:spacing w:after="60"/>
        <w:rPr>
          <w:lang w:val="en-US"/>
        </w:rPr>
      </w:pPr>
      <w:r>
        <w:rPr>
          <w:b/>
          <w:bCs/>
          <w:lang w:val="en-US"/>
        </w:rPr>
        <w:t xml:space="preserve">(2) Move guess better than the average: reached for hours (+22.6%) and weeks (+10.2%), not for months (−6.9%).</w:t>
      </w:r>
      <w:r>
        <w:rPr>
          <w:lang w:val="en-US"/>
        </w:rPr>
        <w:t xml:space="preserve"> The "last period's move" baseline is worse than the average for all three.</w:t>
      </w:r>
    </w:p>
    <w:p>
      <w:pPr>
        <w:pStyle w:val="ListParagraph"/>
        <w:numPr>
          <w:ilvl w:val="0"/>
          <w:numId w:val="1"/>
        </w:numPr>
        <w:spacing w:after="60"/>
        <w:rPr>
          <w:lang w:val="en-US"/>
        </w:rPr>
      </w:pPr>
      <w:r>
        <w:rPr>
          <w:b/>
          <w:bCs/>
          <w:lang w:val="en-US"/>
        </w:rPr>
        <w:t xml:space="preserve">(3) Hourly direction better than a coin flip: reached</w:t>
      </w:r>
      <w:r>
        <w:rPr>
          <w:lang w:val="en-US"/>
        </w:rPr>
        <w:t xml:space="preserve">, 52.6% over 50,927 guesses and 55.0% for confident guesses, with a chance of luck far below 5%. But "opposite of the last hour" scores 52.7%, so the model is no better than this simple rule.</w:t>
      </w:r>
    </w:p>
    <w:p>
      <w:pPr>
        <w:pStyle w:val="ListParagraph"/>
        <w:numPr>
          <w:ilvl w:val="0"/>
          <w:numId w:val="1"/>
        </w:numPr>
        <w:spacing w:after="60"/>
        <w:rPr>
          <w:lang w:val="en-US"/>
        </w:rPr>
      </w:pPr>
      <w:r>
        <w:rPr>
          <w:b/>
          <w:bCs/>
          <w:lang w:val="en-US"/>
        </w:rPr>
        <w:t xml:space="preserve">(4) Speed: reached</w:t>
      </w:r>
      <w:r>
        <w:rPr>
          <w:lang w:val="en-US"/>
        </w:rPr>
        <w:t xml:space="preserve"> (Section 4).</w:t>
      </w:r>
    </w:p>
    <w:p>
      <w:pPr>
        <w:spacing w:after="160"/>
        <w:rPr>
          <w:lang w:val="en-US"/>
        </w:rPr>
      </w:pPr>
      <w:r>
        <w:rPr>
          <w:lang w:val="en-US"/>
        </w:rPr>
        <w:t xml:space="preserve">For weeks and months, the direction is no better than luck, and the price accuracy is slightly </w:t>
      </w:r>
      <w:r>
        <w:rPr>
          <w:i/>
          <w:iCs/>
          <w:lang w:val="en-US"/>
        </w:rPr>
        <w:t xml:space="preserve">worse</w:t>
      </w:r>
      <w:r>
        <w:rPr>
          <w:lang w:val="en-US"/>
        </w:rPr>
        <w:t xml:space="preserve"> than guessing the last price. With so few guesses, small changes move the results a lot: in an earlier version of our code, where weekly guesses were spaced 7 days apart from 1 January 2021 instead of starting on Mondays, the hit rates were 51.5% for weeks and 47.1% for months.</w:t>
      </w:r>
    </w:p>
    <w:p>
      <w:pPr>
        <w:pStyle w:val="Heading2"/>
        <w:rPr>
          <w:lang w:val="en-US"/>
        </w:rPr>
      </w:pPr>
      <w:r>
        <w:rPr>
          <w:b/>
          <w:bCs/>
          <w:sz w:val="24"/>
          <w:szCs w:val="24"/>
          <w:lang w:val="en-US"/>
        </w:rPr>
        <w:t xml:space="preserve">WHAT THE MODEL LOOKS AT</w:t>
      </w:r>
    </w:p>
    <w:p>
      <w:pPr>
        <w:spacing w:after="160"/>
        <w:rPr>
          <w:lang w:val="en-US"/>
        </w:rPr>
      </w:pPr>
      <w:r>
        <w:rPr>
          <w:lang w:val="en-US"/>
        </w:rPr>
        <w:t xml:space="preserve">The features are standardized, so the size of a ridge coefficient shows how much the model relies on a feature (Figure 4). For hours, the change model puts negative weights on the price changes of the last two hours: after a rise, it guesses a small fall. This </w:t>
      </w:r>
      <w:r>
        <w:rPr>
          <w:i/>
          <w:iCs/>
          <w:lang w:val="en-US"/>
        </w:rPr>
        <w:t xml:space="preserve">mean reversion</w:t>
      </w:r>
      <w:r>
        <w:rPr>
          <w:lang w:val="en-US"/>
        </w:rPr>
        <w:t xml:space="preserve"> is the whole hourly direction edge, and it is exactly what the "opposite of last period" baseline does. For weeks and months, the weights flip sign from one period to the next, a sign of fitting noise.</w:t>
      </w:r>
    </w:p>
    <w:p>
      <w:pPr>
        <w:keepNext/>
        <w:spacing w:before="120" w:after="0"/>
        <w:jc w:val="center"/>
        <w:rPr>
          <w:lang w:val="en-US"/>
        </w:rPr>
      </w:pPr>
      <w:r>
        <w:rPr>
          <w:lang w:val="en-US"/>
        </w:rPr>
        <w:drawing>
          <wp:inline distT="0" distB="0" distL="0" distR="0">
            <wp:extent cx="5731510" cy="2381726"/>
            <wp:docPr id="4" name="Picture 4" descr="Figure 4: Change model coefficients (trained on all data until 26 October 2026). Blue pushes the guess up, red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X1005"/>
                    <a:stretch>
                      <a:fillRect/>
                    </a:stretch>
                  </pic:blipFill>
                  <pic:spPr>
                    <a:xfrm>
                      <a:off x="0" y="0"/>
                      <a:ext cx="5731510" cy="2381726"/>
                    </a:xfrm>
                    <a:prstGeom prst="rect">
                      <a:avLst/>
                    </a:prstGeom>
                  </pic:spPr>
                </pic:pic>
              </a:graphicData>
            </a:graphic>
          </wp:inline>
        </w:drawing>
      </w:r>
    </w:p>
    <w:p>
      <w:pPr>
        <w:spacing w:before="60" w:after="200"/>
        <w:jc w:val="center"/>
        <w:rPr>
          <w:lang w:val="en-US"/>
        </w:rPr>
      </w:pPr>
      <w:r>
        <w:rPr>
          <w:i/>
          <w:iCs/>
          <w:sz w:val="18"/>
          <w:szCs w:val="18"/>
          <w:lang w:val="en-US"/>
        </w:rPr>
        <w:t xml:space="preserve">Figure 4: Change model coefficients (trained on all data until 26 October 2026). Blue pushes the guess up, red down.</w:t>
      </w:r>
    </w:p>
    <w:p>
      <w:pPr>
        <w:spacing w:after="160"/>
        <w:rPr>
          <w:lang w:val="en-US"/>
        </w:rPr>
      </w:pPr>
      <w:r>
        <w:rPr>
          <w:lang w:val="en-US"/>
        </w:rPr>
        <w:t xml:space="preserve">The move model relies most on the high–low range of the last period and the average move over the last 24 hours and 7 days: big moves follow big moves, the volatility clustering known from finance (Cont, 2001). The time of day matters too (Figure 5): the hourly move is 0.83 times the usual size at 03:00 UTC and 1.29 times at 14:00 UTC, around the time US markets open and US economic news comes out.</w:t>
      </w:r>
    </w:p>
    <w:p>
      <w:pPr>
        <w:keepNext/>
        <w:spacing w:before="120" w:after="0"/>
        <w:jc w:val="center"/>
        <w:rPr>
          <w:lang w:val="en-US"/>
        </w:rPr>
      </w:pPr>
      <w:r>
        <w:rPr>
          <w:lang w:val="en-US"/>
        </w:rPr>
        <w:drawing>
          <wp:inline distT="0" distB="0" distL="0" distR="0">
            <wp:extent cx="5731510" cy="2686054"/>
            <wp:docPr id="5" name="Picture 5" descr="Figure 5: Expected size of the hourly move by hour of day, from the mo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X1006"/>
                    <a:stretch>
                      <a:fillRect/>
                    </a:stretch>
                  </pic:blipFill>
                  <pic:spPr>
                    <a:xfrm>
                      <a:off x="0" y="0"/>
                      <a:ext cx="5731510" cy="2686054"/>
                    </a:xfrm>
                    <a:prstGeom prst="rect">
                      <a:avLst/>
                    </a:prstGeom>
                  </pic:spPr>
                </pic:pic>
              </a:graphicData>
            </a:graphic>
          </wp:inline>
        </w:drawing>
      </w:r>
    </w:p>
    <w:p>
      <w:pPr>
        <w:spacing w:before="60" w:after="200"/>
        <w:jc w:val="center"/>
        <w:rPr>
          <w:lang w:val="en-US"/>
        </w:rPr>
      </w:pPr>
      <w:r>
        <w:rPr>
          <w:i/>
          <w:iCs/>
          <w:sz w:val="18"/>
          <w:szCs w:val="18"/>
          <w:lang w:val="en-US"/>
        </w:rPr>
        <w:t xml:space="preserve">Figure 5: Expected size of the hourly move by hour of day, from the move model.</w:t>
      </w:r>
    </w:p>
    <w:p>
      <w:pPr>
        <w:pStyle w:val="Heading2"/>
        <w:rPr>
          <w:lang w:val="en-US"/>
        </w:rPr>
      </w:pPr>
      <w:r>
        <w:rPr>
          <w:b/>
          <w:bCs/>
          <w:sz w:val="24"/>
          <w:szCs w:val="24"/>
          <w:lang w:val="en-US"/>
        </w:rPr>
        <w:t xml:space="preserve">WHERE IT GOES WRONG</w:t>
      </w:r>
    </w:p>
    <w:p>
      <w:pPr>
        <w:spacing w:after="160"/>
        <w:rPr>
          <w:lang w:val="en-US"/>
        </w:rPr>
      </w:pPr>
      <w:r>
        <w:rPr>
          <w:b/>
          <w:bCs/>
          <w:lang w:val="en-US"/>
        </w:rPr>
        <w:t xml:space="preserve">One lucky year?</w:t>
      </w:r>
      <w:r>
        <w:rPr>
          <w:lang w:val="en-US"/>
        </w:rPr>
        <w:t xml:space="preserve"> No: the hourly hit rate is between 51.6% and 53.5% in every year of the test, and 53–58% for confident guesses (Figure 6). The range coverage is between 78.7% and 80.7% every year.</w:t>
      </w:r>
    </w:p>
    <w:p>
      <w:pPr>
        <w:keepNext/>
        <w:spacing w:before="120" w:after="0"/>
        <w:jc w:val="center"/>
        <w:rPr>
          <w:lang w:val="en-US"/>
        </w:rPr>
      </w:pPr>
      <w:r>
        <w:rPr>
          <w:lang w:val="en-US"/>
        </w:rPr>
        <w:drawing>
          <wp:inline distT="0" distB="0" distL="0" distR="0">
            <wp:extent cx="5731510" cy="2541287"/>
            <wp:docPr id="6" name="Picture 6" descr="Figure 6: Hourly guesses with the right direction, by year. The bars start at the coin-flip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X1007"/>
                    <a:stretch>
                      <a:fillRect/>
                    </a:stretch>
                  </pic:blipFill>
                  <pic:spPr>
                    <a:xfrm>
                      <a:off x="0" y="0"/>
                      <a:ext cx="5731510" cy="2541287"/>
                    </a:xfrm>
                    <a:prstGeom prst="rect">
                      <a:avLst/>
                    </a:prstGeom>
                  </pic:spPr>
                </pic:pic>
              </a:graphicData>
            </a:graphic>
          </wp:inline>
        </w:drawing>
      </w:r>
    </w:p>
    <w:p>
      <w:pPr>
        <w:spacing w:before="60" w:after="200"/>
        <w:jc w:val="center"/>
        <w:rPr>
          <w:lang w:val="en-US"/>
        </w:rPr>
      </w:pPr>
      <w:r>
        <w:rPr>
          <w:i/>
          <w:iCs/>
          <w:sz w:val="18"/>
          <w:szCs w:val="18"/>
          <w:lang w:val="en-US"/>
        </w:rPr>
        <w:t xml:space="preserve">Figure 6: Hourly guesses with the right direction, by year. The bars start at the coin-flip line.</w:t>
      </w:r>
    </w:p>
    <w:p>
      <w:pPr>
        <w:spacing w:after="160"/>
        <w:rPr>
          <w:lang w:val="en-US"/>
        </w:rPr>
      </w:pPr>
      <w:r>
        <w:rPr>
          <w:b/>
          <w:bCs/>
          <w:lang w:val="en-US"/>
        </w:rPr>
        <w:t xml:space="preserve">Calm and wild markets.</w:t>
      </w:r>
      <w:r>
        <w:rPr>
          <w:lang w:val="en-US"/>
        </w:rPr>
        <w:t xml:space="preserve"> Split into three equal groups by the expected move, the hourly range holds the real price 80.0%, 79.2% and 79.0% of the time in calm, normal and wild markets, so the ranges adapt as intended. For weeks it is 73.3%, 77.2% and 77.2%: a little too narrow in calm weeks.</w:t>
      </w:r>
    </w:p>
    <w:p>
      <w:pPr>
        <w:spacing w:after="160"/>
        <w:rPr>
          <w:lang w:val="en-US"/>
        </w:rPr>
      </w:pPr>
      <w:r>
        <w:rPr>
          <w:b/>
          <w:bCs/>
          <w:lang w:val="en-US"/>
        </w:rPr>
        <w:t xml:space="preserve">The biggest misses.</w:t>
      </w:r>
      <w:r>
        <w:rPr>
          <w:lang w:val="en-US"/>
        </w:rPr>
        <w:t xml:space="preserve"> The eight weeks with the biggest misses were all sudden shocks, with the real price far outside the 80% range. Six of them followed well-known news: the collapse of the crypto lender Celsius (June 2022, −20%), the FTX collapse (November 2022, −14%), Tesla dropping Bitcoin payments and China's crackdown (May 2021, −10% and −14%), Tesla's Bitcoin purchase (February 2021, +19%) and the rally after the US bank failures (March 2023, +16%). A model that only sees prices cannot see such news coming.</w:t>
      </w:r>
    </w:p>
    <w:p>
      <w:pPr>
        <w:spacing w:after="160"/>
        <w:rPr>
          <w:lang w:val="en-US"/>
        </w:rPr>
      </w:pPr>
      <w:r>
        <w:rPr>
          <w:b/>
          <w:bCs/>
          <w:lang w:val="en-US"/>
        </w:rPr>
        <w:t xml:space="preserve">Could you make money?</w:t>
      </w:r>
      <w:r>
        <w:rPr>
          <w:lang w:val="en-US"/>
        </w:rPr>
        <w:t xml:space="preserve"> We tested a simple strategy: buy when the model says up, sell short when it says down, and exit at the end of the period, paying about 0.2% per round trip (Binance, 2026). The hourly model earns about 0.002% per trade before fees, even though it is right 52.6% of the time: it is right more often on small moves, so its wins are smaller than its losses. After fees, it loses about 0.2% per trade (Table 3). The monthly "profit" comes from guessing up in 80% of months while BTC mostly went up, the same as "always up". The model gives no edge for trading; its value is in the move size and the ranges.</w:t>
      </w:r>
    </w:p>
    <w:p>
      <w:pPr>
        <w:keepNext/>
        <w:spacing w:before="200" w:after="60"/>
        <w:rPr>
          <w:lang w:val="en-US"/>
        </w:rPr>
      </w:pPr>
      <w:r>
        <w:rPr>
          <w:i/>
          <w:iCs/>
          <w:sz w:val="18"/>
          <w:szCs w:val="18"/>
          <w:lang w:val="en-US"/>
        </w:rPr>
        <w:t xml:space="preserve">Table 3: Simple trading test on the test period, with a 0.2% round-trip fee.</w:t>
      </w:r>
    </w:p>
    <w:tbl>
      <w:tblPr>
        <w:tblStyle w:val="TableGrid"/>
        <w:tblW w:w="9026" w:type="dxa"/>
        <w:tblBorders>
          <w:top w:val="single" w:sz="4" w:color="BFBFBF"/>
          <w:left w:val="nil"/>
          <w:bottom w:val="single" w:sz="4" w:color="BFBFBF"/>
          <w:right w:val="nil"/>
          <w:insideH w:val="single" w:sz="4" w:color="D9D9D9"/>
          <w:insideV w:val="nil"/>
        </w:tblBorders>
        <w:tblLayout w:type="fixed"/>
        <w:tblCellMar>
          <w:left w:w="80" w:type="dxa"/>
          <w:right w:w="80" w:type="dxa"/>
        </w:tblCellMar>
      </w:tblPr>
      <w:tblGrid>
        <w:gridCol w:w="3008"/>
        <w:gridCol w:w="902"/>
        <w:gridCol w:w="1504"/>
        <w:gridCol w:w="2106"/>
        <w:gridCol w:w="1506"/>
      </w:tblGrid>
      <w:tr>
        <w:trPr>
          <w:tblHeader/>
        </w:trPr>
        <w:tc>
          <w:tcPr>
            <w:tcW w:w="3008" w:type="dxa"/>
            <w:shd w:val="clear" w:color="auto" w:fill="EFEFEF"/>
            <w:vAlign w:val="center"/>
          </w:tcPr>
          <w:p>
            <w:pPr>
              <w:spacing w:before="30" w:after="30" w:line="240" w:lineRule="auto"/>
              <w:jc w:val="left"/>
              <w:rPr>
                <w:lang w:val="en-US"/>
              </w:rPr>
            </w:pPr>
            <w:r>
              <w:rPr>
                <w:b/>
                <w:bCs/>
                <w:sz w:val="18"/>
                <w:szCs w:val="18"/>
                <w:lang w:val="en-US"/>
              </w:rPr>
              <w:t xml:space="preserve">Guesses</w:t>
            </w:r>
          </w:p>
        </w:tc>
        <w:tc>
          <w:tcPr>
            <w:tcW w:w="902" w:type="dxa"/>
            <w:shd w:val="clear" w:color="auto" w:fill="EFEFEF"/>
            <w:vAlign w:val="center"/>
          </w:tcPr>
          <w:p>
            <w:pPr>
              <w:spacing w:before="30" w:after="30" w:line="240" w:lineRule="auto"/>
              <w:jc w:val="right"/>
              <w:rPr>
                <w:lang w:val="en-US"/>
              </w:rPr>
            </w:pPr>
            <w:r>
              <w:rPr>
                <w:b/>
                <w:bCs/>
                <w:sz w:val="18"/>
                <w:szCs w:val="18"/>
                <w:lang w:val="en-US"/>
              </w:rPr>
              <w:t xml:space="preserve">Trades</w:t>
            </w:r>
          </w:p>
        </w:tc>
        <w:tc>
          <w:tcPr>
            <w:tcW w:w="1504" w:type="dxa"/>
            <w:shd w:val="clear" w:color="auto" w:fill="EFEFEF"/>
            <w:vAlign w:val="center"/>
          </w:tcPr>
          <w:p>
            <w:pPr>
              <w:spacing w:before="30" w:after="30" w:line="240" w:lineRule="auto"/>
              <w:jc w:val="right"/>
              <w:rPr>
                <w:lang w:val="en-US"/>
              </w:rPr>
            </w:pPr>
            <w:r>
              <w:rPr>
                <w:b/>
                <w:bCs/>
                <w:sz w:val="18"/>
                <w:szCs w:val="18"/>
                <w:lang w:val="en-US"/>
              </w:rPr>
              <w:t xml:space="preserve">Guessed up</w:t>
            </w:r>
          </w:p>
        </w:tc>
        <w:tc>
          <w:tcPr>
            <w:tcW w:w="2106" w:type="dxa"/>
            <w:shd w:val="clear" w:color="auto" w:fill="EFEFEF"/>
            <w:vAlign w:val="center"/>
          </w:tcPr>
          <w:p>
            <w:pPr>
              <w:spacing w:before="30" w:after="30" w:line="240" w:lineRule="auto"/>
              <w:jc w:val="right"/>
              <w:rPr>
                <w:lang w:val="en-US"/>
              </w:rPr>
            </w:pPr>
            <w:r>
              <w:rPr>
                <w:b/>
                <w:bCs/>
                <w:sz w:val="18"/>
                <w:szCs w:val="18"/>
                <w:lang w:val="en-US"/>
              </w:rPr>
              <w:t xml:space="preserve">Gain per trade</w:t>
            </w:r>
          </w:p>
        </w:tc>
        <w:tc>
          <w:tcPr>
            <w:tcW w:w="1506" w:type="dxa"/>
            <w:shd w:val="clear" w:color="auto" w:fill="EFEFEF"/>
            <w:vAlign w:val="center"/>
          </w:tcPr>
          <w:p>
            <w:pPr>
              <w:spacing w:before="30" w:after="30" w:line="240" w:lineRule="auto"/>
              <w:jc w:val="right"/>
              <w:rPr>
                <w:lang w:val="en-US"/>
              </w:rPr>
            </w:pPr>
            <w:r>
              <w:rPr>
                <w:b/>
                <w:bCs/>
                <w:sz w:val="18"/>
                <w:szCs w:val="18"/>
                <w:lang w:val="en-US"/>
              </w:rPr>
              <w:t xml:space="preserve">After fees</w:t>
            </w:r>
          </w:p>
        </w:tc>
      </w:tr>
      <w:tr>
        <w:tc>
          <w:tcPr>
            <w:tcW w:w="3008" w:type="dxa"/>
            <w:vAlign w:val="center"/>
          </w:tcPr>
          <w:p>
            <w:pPr>
              <w:spacing w:before="30" w:after="30" w:line="240" w:lineRule="auto"/>
              <w:jc w:val="left"/>
              <w:rPr>
                <w:lang w:val="en-US"/>
              </w:rPr>
            </w:pPr>
            <w:r>
              <w:rPr>
                <w:sz w:val="18"/>
                <w:szCs w:val="18"/>
                <w:lang w:val="en-US"/>
              </w:rPr>
              <w:t xml:space="preserve">Hour, all</w:t>
            </w:r>
          </w:p>
        </w:tc>
        <w:tc>
          <w:tcPr>
            <w:tcW w:w="902" w:type="dxa"/>
            <w:vAlign w:val="center"/>
          </w:tcPr>
          <w:p>
            <w:pPr>
              <w:spacing w:before="30" w:after="30" w:line="240" w:lineRule="auto"/>
              <w:jc w:val="right"/>
              <w:rPr>
                <w:lang w:val="en-US"/>
              </w:rPr>
            </w:pPr>
            <w:r>
              <w:rPr>
                <w:sz w:val="18"/>
                <w:szCs w:val="18"/>
                <w:lang w:val="en-US"/>
              </w:rPr>
              <w:t xml:space="preserve">50,927</w:t>
            </w:r>
          </w:p>
        </w:tc>
        <w:tc>
          <w:tcPr>
            <w:tcW w:w="1504" w:type="dxa"/>
            <w:vAlign w:val="center"/>
          </w:tcPr>
          <w:p>
            <w:pPr>
              <w:spacing w:before="30" w:after="30" w:line="240" w:lineRule="auto"/>
              <w:jc w:val="right"/>
              <w:rPr>
                <w:lang w:val="en-US"/>
              </w:rPr>
            </w:pPr>
            <w:r>
              <w:rPr>
                <w:sz w:val="18"/>
                <w:szCs w:val="18"/>
                <w:lang w:val="en-US"/>
              </w:rPr>
              <w:t xml:space="preserve">61%</w:t>
            </w:r>
          </w:p>
        </w:tc>
        <w:tc>
          <w:tcPr>
            <w:tcW w:w="2106" w:type="dxa"/>
            <w:vAlign w:val="center"/>
          </w:tcPr>
          <w:p>
            <w:pPr>
              <w:spacing w:before="30" w:after="30" w:line="240" w:lineRule="auto"/>
              <w:jc w:val="right"/>
              <w:rPr>
                <w:lang w:val="en-US"/>
              </w:rPr>
            </w:pPr>
            <w:r>
              <w:rPr>
                <w:sz w:val="18"/>
                <w:szCs w:val="18"/>
                <w:lang w:val="en-US"/>
              </w:rPr>
              <w:t xml:space="preserve">+0.002%</w:t>
            </w:r>
          </w:p>
        </w:tc>
        <w:tc>
          <w:tcPr>
            <w:tcW w:w="1506" w:type="dxa"/>
            <w:vAlign w:val="center"/>
          </w:tcPr>
          <w:p>
            <w:pPr>
              <w:spacing w:before="30" w:after="30" w:line="240" w:lineRule="auto"/>
              <w:jc w:val="right"/>
              <w:rPr>
                <w:lang w:val="en-US"/>
              </w:rPr>
            </w:pPr>
            <w:r>
              <w:rPr>
                <w:sz w:val="18"/>
                <w:szCs w:val="18"/>
                <w:lang w:val="en-US"/>
              </w:rPr>
              <w:t xml:space="preserve">−0.198%</w:t>
            </w:r>
          </w:p>
        </w:tc>
      </w:tr>
      <w:tr>
        <w:tc>
          <w:tcPr>
            <w:tcW w:w="3008" w:type="dxa"/>
            <w:vAlign w:val="center"/>
          </w:tcPr>
          <w:p>
            <w:pPr>
              <w:spacing w:before="30" w:after="30" w:line="240" w:lineRule="auto"/>
              <w:jc w:val="left"/>
              <w:rPr>
                <w:lang w:val="en-US"/>
              </w:rPr>
            </w:pPr>
            <w:r>
              <w:rPr>
                <w:sz w:val="18"/>
                <w:szCs w:val="18"/>
                <w:lang w:val="en-US"/>
              </w:rPr>
              <w:t xml:space="preserve">Hour, confident only</w:t>
            </w:r>
          </w:p>
        </w:tc>
        <w:tc>
          <w:tcPr>
            <w:tcW w:w="902" w:type="dxa"/>
            <w:vAlign w:val="center"/>
          </w:tcPr>
          <w:p>
            <w:pPr>
              <w:spacing w:before="30" w:after="30" w:line="240" w:lineRule="auto"/>
              <w:jc w:val="right"/>
              <w:rPr>
                <w:lang w:val="en-US"/>
              </w:rPr>
            </w:pPr>
            <w:r>
              <w:rPr>
                <w:sz w:val="18"/>
                <w:szCs w:val="18"/>
                <w:lang w:val="en-US"/>
              </w:rPr>
              <w:t xml:space="preserve">11,207</w:t>
            </w:r>
          </w:p>
        </w:tc>
        <w:tc>
          <w:tcPr>
            <w:tcW w:w="1504" w:type="dxa"/>
            <w:vAlign w:val="center"/>
          </w:tcPr>
          <w:p>
            <w:pPr>
              <w:spacing w:before="30" w:after="30" w:line="240" w:lineRule="auto"/>
              <w:jc w:val="right"/>
              <w:rPr>
                <w:lang w:val="en-US"/>
              </w:rPr>
            </w:pPr>
            <w:r>
              <w:rPr>
                <w:sz w:val="18"/>
                <w:szCs w:val="18"/>
                <w:lang w:val="en-US"/>
              </w:rPr>
              <w:t xml:space="preserve">73%</w:t>
            </w:r>
          </w:p>
        </w:tc>
        <w:tc>
          <w:tcPr>
            <w:tcW w:w="2106" w:type="dxa"/>
            <w:vAlign w:val="center"/>
          </w:tcPr>
          <w:p>
            <w:pPr>
              <w:spacing w:before="30" w:after="30" w:line="240" w:lineRule="auto"/>
              <w:jc w:val="right"/>
              <w:rPr>
                <w:lang w:val="en-US"/>
              </w:rPr>
            </w:pPr>
            <w:r>
              <w:rPr>
                <w:sz w:val="18"/>
                <w:szCs w:val="18"/>
                <w:lang w:val="en-US"/>
              </w:rPr>
              <w:t xml:space="preserve">+0.001%</w:t>
            </w:r>
          </w:p>
        </w:tc>
        <w:tc>
          <w:tcPr>
            <w:tcW w:w="1506" w:type="dxa"/>
            <w:vAlign w:val="center"/>
          </w:tcPr>
          <w:p>
            <w:pPr>
              <w:spacing w:before="30" w:after="30" w:line="240" w:lineRule="auto"/>
              <w:jc w:val="right"/>
              <w:rPr>
                <w:lang w:val="en-US"/>
              </w:rPr>
            </w:pPr>
            <w:r>
              <w:rPr>
                <w:sz w:val="18"/>
                <w:szCs w:val="18"/>
                <w:lang w:val="en-US"/>
              </w:rPr>
              <w:t xml:space="preserve">−0.199%</w:t>
            </w:r>
          </w:p>
        </w:tc>
      </w:tr>
      <w:tr>
        <w:tc>
          <w:tcPr>
            <w:tcW w:w="3008" w:type="dxa"/>
            <w:vAlign w:val="center"/>
          </w:tcPr>
          <w:p>
            <w:pPr>
              <w:spacing w:before="30" w:after="30" w:line="240" w:lineRule="auto"/>
              <w:jc w:val="left"/>
              <w:rPr>
                <w:lang w:val="en-US"/>
              </w:rPr>
            </w:pPr>
            <w:r>
              <w:rPr>
                <w:sz w:val="18"/>
                <w:szCs w:val="18"/>
                <w:lang w:val="en-US"/>
              </w:rPr>
              <w:t xml:space="preserve">Week, all</w:t>
            </w:r>
          </w:p>
        </w:tc>
        <w:tc>
          <w:tcPr>
            <w:tcW w:w="902" w:type="dxa"/>
            <w:vAlign w:val="center"/>
          </w:tcPr>
          <w:p>
            <w:pPr>
              <w:spacing w:before="30" w:after="30" w:line="240" w:lineRule="auto"/>
              <w:jc w:val="right"/>
              <w:rPr>
                <w:lang w:val="en-US"/>
              </w:rPr>
            </w:pPr>
            <w:r>
              <w:rPr>
                <w:sz w:val="18"/>
                <w:szCs w:val="18"/>
                <w:lang w:val="en-US"/>
              </w:rPr>
              <w:t xml:space="preserve">303</w:t>
            </w:r>
          </w:p>
        </w:tc>
        <w:tc>
          <w:tcPr>
            <w:tcW w:w="1504" w:type="dxa"/>
            <w:vAlign w:val="center"/>
          </w:tcPr>
          <w:p>
            <w:pPr>
              <w:spacing w:before="30" w:after="30" w:line="240" w:lineRule="auto"/>
              <w:jc w:val="right"/>
              <w:rPr>
                <w:lang w:val="en-US"/>
              </w:rPr>
            </w:pPr>
            <w:r>
              <w:rPr>
                <w:sz w:val="18"/>
                <w:szCs w:val="18"/>
                <w:lang w:val="en-US"/>
              </w:rPr>
              <w:t xml:space="preserve">88%</w:t>
            </w:r>
          </w:p>
        </w:tc>
        <w:tc>
          <w:tcPr>
            <w:tcW w:w="2106" w:type="dxa"/>
            <w:vAlign w:val="center"/>
          </w:tcPr>
          <w:p>
            <w:pPr>
              <w:spacing w:before="30" w:after="30" w:line="240" w:lineRule="auto"/>
              <w:jc w:val="right"/>
              <w:rPr>
                <w:lang w:val="en-US"/>
              </w:rPr>
            </w:pPr>
            <w:r>
              <w:rPr>
                <w:sz w:val="18"/>
                <w:szCs w:val="18"/>
                <w:lang w:val="en-US"/>
              </w:rPr>
              <w:t xml:space="preserve">−0.127%</w:t>
            </w:r>
          </w:p>
        </w:tc>
        <w:tc>
          <w:tcPr>
            <w:tcW w:w="1506" w:type="dxa"/>
            <w:vAlign w:val="center"/>
          </w:tcPr>
          <w:p>
            <w:pPr>
              <w:spacing w:before="30" w:after="30" w:line="240" w:lineRule="auto"/>
              <w:jc w:val="right"/>
              <w:rPr>
                <w:lang w:val="en-US"/>
              </w:rPr>
            </w:pPr>
            <w:r>
              <w:rPr>
                <w:sz w:val="18"/>
                <w:szCs w:val="18"/>
                <w:lang w:val="en-US"/>
              </w:rPr>
              <w:t xml:space="preserve">−0.327%</w:t>
            </w:r>
          </w:p>
        </w:tc>
      </w:tr>
      <w:tr>
        <w:tc>
          <w:tcPr>
            <w:tcW w:w="3008" w:type="dxa"/>
            <w:vAlign w:val="center"/>
          </w:tcPr>
          <w:p>
            <w:pPr>
              <w:spacing w:before="30" w:after="30" w:line="240" w:lineRule="auto"/>
              <w:jc w:val="left"/>
              <w:rPr>
                <w:lang w:val="en-US"/>
              </w:rPr>
            </w:pPr>
            <w:r>
              <w:rPr>
                <w:sz w:val="18"/>
                <w:szCs w:val="18"/>
                <w:lang w:val="en-US"/>
              </w:rPr>
              <w:t xml:space="preserve">Month, all</w:t>
            </w:r>
          </w:p>
        </w:tc>
        <w:tc>
          <w:tcPr>
            <w:tcW w:w="902" w:type="dxa"/>
            <w:vAlign w:val="center"/>
          </w:tcPr>
          <w:p>
            <w:pPr>
              <w:spacing w:before="30" w:after="30" w:line="240" w:lineRule="auto"/>
              <w:jc w:val="right"/>
              <w:rPr>
                <w:lang w:val="en-US"/>
              </w:rPr>
            </w:pPr>
            <w:r>
              <w:rPr>
                <w:sz w:val="18"/>
                <w:szCs w:val="18"/>
                <w:lang w:val="en-US"/>
              </w:rPr>
              <w:t xml:space="preserve">69</w:t>
            </w:r>
          </w:p>
        </w:tc>
        <w:tc>
          <w:tcPr>
            <w:tcW w:w="1504" w:type="dxa"/>
            <w:vAlign w:val="center"/>
          </w:tcPr>
          <w:p>
            <w:pPr>
              <w:spacing w:before="30" w:after="30" w:line="240" w:lineRule="auto"/>
              <w:jc w:val="right"/>
              <w:rPr>
                <w:lang w:val="en-US"/>
              </w:rPr>
            </w:pPr>
            <w:r>
              <w:rPr>
                <w:sz w:val="18"/>
                <w:szCs w:val="18"/>
                <w:lang w:val="en-US"/>
              </w:rPr>
              <w:t xml:space="preserve">80%</w:t>
            </w:r>
          </w:p>
        </w:tc>
        <w:tc>
          <w:tcPr>
            <w:tcW w:w="2106" w:type="dxa"/>
            <w:vAlign w:val="center"/>
          </w:tcPr>
          <w:p>
            <w:pPr>
              <w:spacing w:before="30" w:after="30" w:line="240" w:lineRule="auto"/>
              <w:jc w:val="right"/>
              <w:rPr>
                <w:lang w:val="en-US"/>
              </w:rPr>
            </w:pPr>
            <w:r>
              <w:rPr>
                <w:sz w:val="18"/>
                <w:szCs w:val="18"/>
                <w:lang w:val="en-US"/>
              </w:rPr>
              <w:t xml:space="preserve">+1.736%</w:t>
            </w:r>
          </w:p>
        </w:tc>
        <w:tc>
          <w:tcPr>
            <w:tcW w:w="1506" w:type="dxa"/>
            <w:vAlign w:val="center"/>
          </w:tcPr>
          <w:p>
            <w:pPr>
              <w:spacing w:before="30" w:after="30" w:line="240" w:lineRule="auto"/>
              <w:jc w:val="right"/>
              <w:rPr>
                <w:lang w:val="en-US"/>
              </w:rPr>
            </w:pPr>
            <w:r>
              <w:rPr>
                <w:sz w:val="18"/>
                <w:szCs w:val="18"/>
                <w:lang w:val="en-US"/>
              </w:rPr>
              <w:t xml:space="preserve">+1.536%</w:t>
            </w:r>
          </w:p>
        </w:tc>
      </w:tr>
    </w:tbl>
    <w:p>
      <w:pPr>
        <w:spacing w:before="0" w:after="0"/>
        <w:rPr>
          <w:lang w:val="en-US"/>
        </w:rPr>
      </w:pPr>
    </w:p>
    <w:p>
      <w:pPr>
        <w:pStyle w:val="Heading1"/>
        <w:rPr>
          <w:lang w:val="en-US"/>
        </w:rPr>
      </w:pPr>
      <w:r>
        <w:rPr>
          <w:b/>
          <w:bCs/>
          <w:sz w:val="30"/>
          <w:szCs w:val="30"/>
          <w:lang w:val="en-US"/>
        </w:rPr>
        <w:t xml:space="preserve">4: DEPLOYMENT</w:t>
      </w:r>
    </w:p>
    <w:p>
      <w:pPr>
        <w:spacing w:after="160"/>
        <w:rPr>
          <w:lang w:val="en-US"/>
        </w:rPr>
      </w:pPr>
      <w:r>
        <w:rPr>
          <w:b/>
          <w:bCs/>
          <w:lang w:val="en-US"/>
        </w:rPr>
        <w:t xml:space="preserve">How it is deployed.</w:t>
      </w:r>
      <w:r>
        <w:rPr>
          <w:lang w:val="en-US"/>
        </w:rPr>
        <w:t xml:space="preserve"> The website is a Flask app (</w:t>
      </w:r>
      <w:r>
        <w:rPr>
          <w:rFonts w:ascii="Courier New" w:hAnsi="Courier New" w:cs="Courier New"/>
          <w:sz w:val="20"/>
          <w:szCs w:val="20"/>
          <w:lang w:val="en-US"/>
        </w:rPr>
        <w:t xml:space="preserve">app.py</w:t>
      </w:r>
      <w:r>
        <w:rPr>
          <w:lang w:val="en-US"/>
        </w:rPr>
        <w:t xml:space="preserve">) that uses the same modules as the notebooks (</w:t>
      </w:r>
      <w:r>
        <w:rPr>
          <w:rFonts w:ascii="Courier New" w:hAnsi="Courier New" w:cs="Courier New"/>
          <w:sz w:val="20"/>
          <w:szCs w:val="20"/>
          <w:lang w:val="en-US"/>
        </w:rPr>
        <w:t xml:space="preserve">btc_data.py</w:t>
      </w:r>
      <w:r>
        <w:rPr>
          <w:lang w:val="en-US"/>
        </w:rPr>
        <w:t xml:space="preserve"> and </w:t>
      </w:r>
      <w:r>
        <w:rPr>
          <w:rFonts w:ascii="Courier New" w:hAnsi="Courier New" w:cs="Courier New"/>
          <w:sz w:val="20"/>
          <w:szCs w:val="20"/>
          <w:lang w:val="en-US"/>
        </w:rPr>
        <w:t xml:space="preserve">btc_model.py</w:t>
      </w:r>
      <w:r>
        <w:rPr>
          <w:lang w:val="en-US"/>
        </w:rPr>
        <w:t xml:space="preserve">), so the site shows exactly what this report measures. It runs under the gunicorn web server in a Docker container, and the repository contains a </w:t>
      </w:r>
      <w:r>
        <w:rPr>
          <w:rFonts w:ascii="Courier New" w:hAnsi="Courier New" w:cs="Courier New"/>
          <w:sz w:val="20"/>
          <w:szCs w:val="20"/>
          <w:lang w:val="en-US"/>
        </w:rPr>
        <w:t xml:space="preserve">render.yaml</w:t>
      </w:r>
      <w:r>
        <w:rPr>
          <w:lang w:val="en-US"/>
        </w:rPr>
        <w:t xml:space="preserve"> blueprint for Render's free plan. We use Render's Frankfurt region because Binance blocks some countries, such as the US. The README describes how to run the site locally and how to deploy it.</w:t>
      </w:r>
    </w:p>
    <w:p>
      <w:pPr>
        <w:spacing w:after="160"/>
        <w:rPr>
          <w:lang w:val="en-US"/>
        </w:rPr>
      </w:pPr>
      <w:r>
        <w:rPr>
          <w:b/>
          <w:bCs/>
          <w:lang w:val="en-US"/>
        </w:rPr>
        <w:t xml:space="preserve">What happens on a visit.</w:t>
      </w:r>
      <w:r>
        <w:rPr>
          <w:lang w:val="en-US"/>
        </w:rPr>
        <w:t xml:space="preserve"> The site fetches new hours from Binance at most every 10 minutes. When a new hour has finished, it trains the three models on all prices so far and keeps the forecasts until the next hour. The test bench runs the walk-forward test for the period the user picks. If Binance cannot be reached, the site keeps working with its saved prices, and bad input gives an error message instead of a crash.</w:t>
      </w:r>
    </w:p>
    <w:p>
      <w:pPr>
        <w:spacing w:after="160"/>
        <w:rPr>
          <w:lang w:val="en-US"/>
        </w:rPr>
      </w:pPr>
      <w:r>
        <w:rPr>
          <w:b/>
          <w:bCs/>
          <w:lang w:val="en-US"/>
        </w:rPr>
        <w:t xml:space="preserve">Performance.</w:t>
      </w:r>
      <w:r>
        <w:rPr>
          <w:lang w:val="en-US"/>
        </w:rPr>
        <w:t xml:space="preserve"> Measured in the production container on a laptop, the first visit after a new hour takes 1.8 seconds (training the three models), and later visits are answered at once. The test bench takes 0.4 seconds for the default view (the last 7 days, hour by hour), about 3 seconds for every week or month since 2021, and 8.3 seconds for the heaviest request, every hour since 2021. The table shows at most the latest 500 guesses, so no page is larger than about 130 kB. The app uses at most about 360 MB of memory, within the free plan's 512 MB. The free plan only has a fraction of a CPU, so long tests are slower on the live site, and the site sleeps after 15 minutes without visitors, so the first visit after a quiet period takes up to a minute.</w:t>
      </w:r>
    </w:p>
    <w:p>
      <w:pPr>
        <w:keepNext/>
        <w:spacing w:before="120" w:after="0"/>
        <w:jc w:val="center"/>
        <w:rPr>
          <w:lang w:val="en-US"/>
        </w:rPr>
      </w:pPr>
      <w:r>
        <w:rPr>
          <w:lang w:val="en-US"/>
        </w:rPr>
        <w:drawing>
          <wp:inline distT="0" distB="0" distL="0" distR="0">
            <wp:extent cx="3593431" cy="3840480"/>
            <wp:docPr id="7" name="Picture 7" descr="Figure 7: The front page, with the forecasts and the form for testing the model on pa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X1008"/>
                    <a:stretch>
                      <a:fillRect/>
                    </a:stretch>
                  </pic:blipFill>
                  <pic:spPr>
                    <a:xfrm>
                      <a:off x="0" y="0"/>
                      <a:ext cx="3593431" cy="3840480"/>
                    </a:xfrm>
                    <a:prstGeom prst="rect">
                      <a:avLst/>
                    </a:prstGeom>
                  </pic:spPr>
                </pic:pic>
              </a:graphicData>
            </a:graphic>
          </wp:inline>
        </w:drawing>
      </w:r>
    </w:p>
    <w:p>
      <w:pPr>
        <w:spacing w:before="60" w:after="200"/>
        <w:jc w:val="center"/>
        <w:rPr>
          <w:lang w:val="en-US"/>
        </w:rPr>
      </w:pPr>
      <w:r>
        <w:rPr>
          <w:i/>
          <w:iCs/>
          <w:sz w:val="18"/>
          <w:szCs w:val="18"/>
          <w:lang w:val="en-US"/>
        </w:rPr>
        <w:t xml:space="preserve">Figure 7: The front page, with the forecasts and the form for testing the model on past data.</w:t>
      </w:r>
    </w:p>
    <w:p>
      <w:pPr>
        <w:keepNext/>
        <w:spacing w:before="120" w:after="0"/>
        <w:jc w:val="center"/>
        <w:rPr>
          <w:lang w:val="en-US"/>
        </w:rPr>
      </w:pPr>
      <w:r>
        <w:rPr>
          <w:lang w:val="en-US"/>
        </w:rPr>
        <w:drawing>
          <wp:inline distT="0" distB="0" distL="0" distR="0">
            <wp:extent cx="2743200" cy="3840480"/>
            <wp:docPr id="8" name="Picture 8" descr="Figure 8: The test bench, week by week from January 2024, with the chart and the report card. A table with every guess follow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X1009"/>
                    <a:stretch>
                      <a:fillRect/>
                    </a:stretch>
                  </pic:blipFill>
                  <pic:spPr>
                    <a:xfrm>
                      <a:off x="0" y="0"/>
                      <a:ext cx="2743200" cy="3840480"/>
                    </a:xfrm>
                    <a:prstGeom prst="rect">
                      <a:avLst/>
                    </a:prstGeom>
                  </pic:spPr>
                </pic:pic>
              </a:graphicData>
            </a:graphic>
          </wp:inline>
        </w:drawing>
      </w:r>
    </w:p>
    <w:p>
      <w:pPr>
        <w:spacing w:before="60" w:after="200"/>
        <w:jc w:val="center"/>
        <w:rPr>
          <w:lang w:val="en-US"/>
        </w:rPr>
      </w:pPr>
      <w:r>
        <w:rPr>
          <w:i/>
          <w:iCs/>
          <w:sz w:val="18"/>
          <w:szCs w:val="18"/>
          <w:lang w:val="en-US"/>
        </w:rPr>
        <w:t xml:space="preserve">Figure 8: The test bench, week by week from January 2024, with the chart and the report card. A table with every guess follows below.</w:t>
      </w:r>
    </w:p>
    <w:p>
      <w:pPr>
        <w:spacing w:after="160"/>
        <w:rPr>
          <w:lang w:val="en-US"/>
        </w:rPr>
      </w:pPr>
      <w:r>
        <w:rPr>
          <w:b/>
          <w:bCs/>
          <w:lang w:val="en-US"/>
        </w:rPr>
        <w:t xml:space="preserve">Monitoring and maintenance.</w:t>
      </w:r>
      <w:r>
        <w:rPr>
          <w:lang w:val="en-US"/>
        </w:rPr>
        <w:t xml:space="preserve"> The model retrains itself, so normal changes in the market are handled automatically. For a real product we would add:</w:t>
      </w:r>
    </w:p>
    <w:p>
      <w:pPr>
        <w:pStyle w:val="ListParagraph"/>
        <w:numPr>
          <w:ilvl w:val="0"/>
          <w:numId w:val="1"/>
        </w:numPr>
        <w:spacing w:after="60"/>
        <w:rPr>
          <w:lang w:val="en-US"/>
        </w:rPr>
      </w:pPr>
      <w:r>
        <w:rPr>
          <w:b/>
          <w:bCs/>
          <w:lang w:val="en-US"/>
        </w:rPr>
        <w:t xml:space="preserve">Scoring of live forecasts:</w:t>
      </w:r>
      <w:r>
        <w:rPr>
          <w:lang w:val="en-US"/>
        </w:rPr>
        <w:t xml:space="preserve"> save every forecast, score it when the period is over, and raise an alert if the range coverage leaves 75–85% or the move skill drops below zero.</w:t>
      </w:r>
    </w:p>
    <w:p>
      <w:pPr>
        <w:pStyle w:val="ListParagraph"/>
        <w:numPr>
          <w:ilvl w:val="0"/>
          <w:numId w:val="1"/>
        </w:numPr>
        <w:spacing w:after="60"/>
        <w:rPr>
          <w:lang w:val="en-US"/>
        </w:rPr>
      </w:pPr>
      <w:r>
        <w:rPr>
          <w:b/>
          <w:bCs/>
          <w:lang w:val="en-US"/>
        </w:rPr>
        <w:t xml:space="preserve">Data alerts</w:t>
      </w:r>
      <w:r>
        <w:rPr>
          <w:lang w:val="en-US"/>
        </w:rPr>
        <w:t xml:space="preserve">, for example when Binance has not answered for an hour.</w:t>
      </w:r>
    </w:p>
    <w:p>
      <w:pPr>
        <w:pStyle w:val="ListParagraph"/>
        <w:numPr>
          <w:ilvl w:val="0"/>
          <w:numId w:val="1"/>
        </w:numPr>
        <w:spacing w:after="60"/>
        <w:rPr>
          <w:lang w:val="en-US"/>
        </w:rPr>
      </w:pPr>
      <w:r>
        <w:rPr>
          <w:b/>
          <w:bCs/>
          <w:lang w:val="en-US"/>
        </w:rPr>
        <w:t xml:space="preserve">A yearly drift check</w:t>
      </w:r>
      <w:r>
        <w:rPr>
          <w:lang w:val="en-US"/>
        </w:rPr>
        <w:t xml:space="preserve"> with the by-year table (Figure 6).</w:t>
      </w:r>
    </w:p>
    <w:p>
      <w:pPr>
        <w:spacing w:after="160"/>
        <w:rPr>
          <w:lang w:val="en-US"/>
        </w:rPr>
      </w:pPr>
      <w:r>
        <w:rPr>
          <w:b/>
          <w:bCs/>
          <w:lang w:val="en-US"/>
        </w:rPr>
        <w:t xml:space="preserve">Improvements.</w:t>
      </w:r>
      <w:r>
        <w:rPr>
          <w:lang w:val="en-US"/>
        </w:rPr>
        <w:t xml:space="preserve"> The most promising next steps are data the price chart does not have (options-implied volatility and futures funding rates for the move model, and news for the large shocks), quantile regression or GARCH (Bollerslev, 1986) for wider tails in the ranges, and more coins, which would also give the week and month models more data.</w:t>
      </w:r>
    </w:p>
    <w:p>
      <w:pPr>
        <w:pStyle w:val="Heading1"/>
        <w:rPr>
          <w:lang w:val="en-US"/>
        </w:rPr>
      </w:pPr>
      <w:r>
        <w:rPr>
          <w:b/>
          <w:bCs/>
          <w:sz w:val="30"/>
          <w:szCs w:val="30"/>
          <w:lang w:val="en-US"/>
        </w:rPr>
        <w:t xml:space="preserve">5: REFERENCES</w:t>
      </w:r>
    </w:p>
    <w:p>
      <w:pPr>
        <w:pStyle w:val="ListParagraph"/>
        <w:numPr>
          <w:ilvl w:val="0"/>
          <w:numId w:val="1"/>
        </w:numPr>
        <w:spacing w:after="60"/>
        <w:rPr>
          <w:lang w:val="en-US"/>
        </w:rPr>
      </w:pPr>
      <w:r>
        <w:rPr>
          <w:lang w:val="en-US"/>
        </w:rPr>
        <w:t xml:space="preserve">Binance (2026). </w:t>
      </w:r>
      <w:r>
        <w:rPr>
          <w:i/>
          <w:iCs/>
          <w:lang w:val="en-US"/>
        </w:rPr>
        <w:t xml:space="preserve">Spot API documentation: market data endpoints.</w:t>
      </w:r>
      <w:r>
        <w:rPr>
          <w:lang w:val="en-US"/>
        </w:rPr>
        <w:t xml:space="preserve"> https://developers.binance.com/docs/binance-spot-api-docs/rest-api/market-data-endpoints</w:t>
      </w:r>
    </w:p>
    <w:p>
      <w:pPr>
        <w:pStyle w:val="ListParagraph"/>
        <w:numPr>
          <w:ilvl w:val="0"/>
          <w:numId w:val="1"/>
        </w:numPr>
        <w:spacing w:after="60"/>
        <w:rPr>
          <w:lang w:val="en-US"/>
        </w:rPr>
      </w:pPr>
      <w:r>
        <w:rPr>
          <w:lang w:val="en-US"/>
        </w:rPr>
        <w:t xml:space="preserve">Binance (2026). </w:t>
      </w:r>
      <w:r>
        <w:rPr>
          <w:i/>
          <w:iCs/>
          <w:lang w:val="en-US"/>
        </w:rPr>
        <w:t xml:space="preserve">Fee schedule.</w:t>
      </w:r>
      <w:r>
        <w:rPr>
          <w:lang w:val="en-US"/>
        </w:rPr>
        <w:t xml:space="preserve"> https://www.binance.com/en/fee/schedule</w:t>
      </w:r>
    </w:p>
    <w:p>
      <w:pPr>
        <w:pStyle w:val="ListParagraph"/>
        <w:numPr>
          <w:ilvl w:val="0"/>
          <w:numId w:val="1"/>
        </w:numPr>
        <w:spacing w:after="60"/>
        <w:rPr>
          <w:lang w:val="en-US"/>
        </w:rPr>
      </w:pPr>
      <w:r>
        <w:rPr>
          <w:lang w:val="en-US"/>
        </w:rPr>
        <w:t xml:space="preserve">Bollerslev, T. (1986). Generalized autoregressive conditional heteroskedasticity. </w:t>
      </w:r>
      <w:r>
        <w:rPr>
          <w:i/>
          <w:iCs/>
          <w:lang w:val="en-US"/>
        </w:rPr>
        <w:t xml:space="preserve">Journal of Econometrics</w:t>
      </w:r>
      <w:r>
        <w:rPr>
          <w:lang w:val="en-US"/>
        </w:rPr>
        <w:t xml:space="preserve">, 31(3), 307–327.</w:t>
      </w:r>
    </w:p>
    <w:p>
      <w:pPr>
        <w:pStyle w:val="ListParagraph"/>
        <w:numPr>
          <w:ilvl w:val="0"/>
          <w:numId w:val="1"/>
        </w:numPr>
        <w:spacing w:after="60"/>
        <w:rPr>
          <w:lang w:val="en-US"/>
        </w:rPr>
      </w:pPr>
      <w:r>
        <w:rPr>
          <w:lang w:val="en-US"/>
        </w:rPr>
        <w:t xml:space="preserve">Cont, R. (2001). Empirical properties of asset returns: stylized facts and statistical issues. </w:t>
      </w:r>
      <w:r>
        <w:rPr>
          <w:i/>
          <w:iCs/>
          <w:lang w:val="en-US"/>
        </w:rPr>
        <w:t xml:space="preserve">Quantitative Finance</w:t>
      </w:r>
      <w:r>
        <w:rPr>
          <w:lang w:val="en-US"/>
        </w:rPr>
        <w:t xml:space="preserve">, 1(2), 223–236.</w:t>
      </w:r>
    </w:p>
    <w:p>
      <w:pPr>
        <w:pStyle w:val="ListParagraph"/>
        <w:numPr>
          <w:ilvl w:val="0"/>
          <w:numId w:val="1"/>
        </w:numPr>
        <w:spacing w:after="60"/>
        <w:rPr>
          <w:lang w:val="en-US"/>
        </w:rPr>
      </w:pPr>
      <w:r>
        <w:rPr>
          <w:lang w:val="en-US"/>
        </w:rPr>
        <w:t xml:space="preserve">Fama, E. F. (1970). Efficient capital markets: a review of theory and empirical work. </w:t>
      </w:r>
      <w:r>
        <w:rPr>
          <w:i/>
          <w:iCs/>
          <w:lang w:val="en-US"/>
        </w:rPr>
        <w:t xml:space="preserve">The Journal of Finance</w:t>
      </w:r>
      <w:r>
        <w:rPr>
          <w:lang w:val="en-US"/>
        </w:rPr>
        <w:t xml:space="preserve">, 25(2), 383–417.</w:t>
      </w:r>
    </w:p>
    <w:p>
      <w:pPr>
        <w:pStyle w:val="ListParagraph"/>
        <w:numPr>
          <w:ilvl w:val="0"/>
          <w:numId w:val="1"/>
        </w:numPr>
        <w:spacing w:after="60"/>
        <w:rPr>
          <w:lang w:val="en-US"/>
        </w:rPr>
      </w:pPr>
      <w:r>
        <w:rPr>
          <w:lang w:val="en-US"/>
        </w:rPr>
        <w:t xml:space="preserve">Harris, C. R. et al. (2020). Array programming with NumPy. </w:t>
      </w:r>
      <w:r>
        <w:rPr>
          <w:i/>
          <w:iCs/>
          <w:lang w:val="en-US"/>
        </w:rPr>
        <w:t xml:space="preserve">Nature</w:t>
      </w:r>
      <w:r>
        <w:rPr>
          <w:lang w:val="en-US"/>
        </w:rPr>
        <w:t xml:space="preserve">, 585, 357–362.</w:t>
      </w:r>
    </w:p>
    <w:p>
      <w:pPr>
        <w:pStyle w:val="ListParagraph"/>
        <w:numPr>
          <w:ilvl w:val="0"/>
          <w:numId w:val="1"/>
        </w:numPr>
        <w:spacing w:after="60"/>
        <w:rPr>
          <w:lang w:val="en-US"/>
        </w:rPr>
      </w:pPr>
      <w:r>
        <w:rPr>
          <w:lang w:val="en-US"/>
        </w:rPr>
        <w:t xml:space="preserve">Hoerl, A. E. &amp; Kennard, R. W. (1970). Ridge regression: biased estimation for nonorthogonal problems. </w:t>
      </w:r>
      <w:r>
        <w:rPr>
          <w:i/>
          <w:iCs/>
          <w:lang w:val="en-US"/>
        </w:rPr>
        <w:t xml:space="preserve">Technometrics</w:t>
      </w:r>
      <w:r>
        <w:rPr>
          <w:lang w:val="en-US"/>
        </w:rPr>
        <w:t xml:space="preserve">, 12(1), 55–67.</w:t>
      </w:r>
    </w:p>
    <w:p>
      <w:pPr>
        <w:pStyle w:val="ListParagraph"/>
        <w:numPr>
          <w:ilvl w:val="0"/>
          <w:numId w:val="1"/>
        </w:numPr>
        <w:spacing w:after="60"/>
        <w:rPr>
          <w:lang w:val="en-US"/>
        </w:rPr>
      </w:pPr>
      <w:r>
        <w:rPr>
          <w:lang w:val="en-US"/>
        </w:rPr>
        <w:t xml:space="preserve">Hunter, J. D. (2007). Matplotlib: a 2D graphics environment. </w:t>
      </w:r>
      <w:r>
        <w:rPr>
          <w:i/>
          <w:iCs/>
          <w:lang w:val="en-US"/>
        </w:rPr>
        <w:t xml:space="preserve">Computing in Science &amp; Engineering</w:t>
      </w:r>
      <w:r>
        <w:rPr>
          <w:lang w:val="en-US"/>
        </w:rPr>
        <w:t xml:space="preserve">, 9(3), 90–95. The website's chart code follows the Matplotlib example "Embedding in a web application server": https://matplotlib.org/stable/gallery/user_interfaces/web_application_server_sgskip.html</w:t>
      </w:r>
    </w:p>
    <w:p>
      <w:pPr>
        <w:pStyle w:val="ListParagraph"/>
        <w:numPr>
          <w:ilvl w:val="0"/>
          <w:numId w:val="1"/>
        </w:numPr>
        <w:spacing w:after="60"/>
        <w:rPr>
          <w:lang w:val="en-US"/>
        </w:rPr>
      </w:pPr>
      <w:r>
        <w:rPr>
          <w:lang w:val="en-US"/>
        </w:rPr>
        <w:t xml:space="preserve">Hyndman, R. J. &amp; Athanasopoulos, G. (2021). </w:t>
      </w:r>
      <w:r>
        <w:rPr>
          <w:i/>
          <w:iCs/>
          <w:lang w:val="en-US"/>
        </w:rPr>
        <w:t xml:space="preserve">Forecasting: principles and practice</w:t>
      </w:r>
      <w:r>
        <w:rPr>
          <w:lang w:val="en-US"/>
        </w:rPr>
        <w:t xml:space="preserve"> (3rd ed.), section 5.10. OTexts. https://otexts.com/fpp3/tscv.html</w:t>
      </w:r>
    </w:p>
    <w:p>
      <w:pPr>
        <w:pStyle w:val="ListParagraph"/>
        <w:numPr>
          <w:ilvl w:val="0"/>
          <w:numId w:val="1"/>
        </w:numPr>
        <w:spacing w:after="60"/>
        <w:rPr>
          <w:lang w:val="en-US"/>
        </w:rPr>
      </w:pPr>
      <w:r>
        <w:rPr>
          <w:lang w:val="en-US"/>
        </w:rPr>
        <w:t xml:space="preserve">Ke, G. et al. (2017). LightGBM: a highly efficient gradient boosting decision tree. </w:t>
      </w:r>
      <w:r>
        <w:rPr>
          <w:i/>
          <w:iCs/>
          <w:lang w:val="en-US"/>
        </w:rPr>
        <w:t xml:space="preserve">Advances in Neural Information Processing Systems</w:t>
      </w:r>
      <w:r>
        <w:rPr>
          <w:lang w:val="en-US"/>
        </w:rPr>
        <w:t xml:space="preserve">, 30.</w:t>
      </w:r>
    </w:p>
    <w:p>
      <w:pPr>
        <w:pStyle w:val="ListParagraph"/>
        <w:numPr>
          <w:ilvl w:val="0"/>
          <w:numId w:val="1"/>
        </w:numPr>
        <w:spacing w:after="60"/>
        <w:rPr>
          <w:lang w:val="en-US"/>
        </w:rPr>
      </w:pPr>
      <w:r>
        <w:rPr>
          <w:lang w:val="en-US"/>
        </w:rPr>
        <w:t xml:space="preserve">McKinney, W. (2010). Data structures for statistical computing in Python. </w:t>
      </w:r>
      <w:r>
        <w:rPr>
          <w:i/>
          <w:iCs/>
          <w:lang w:val="en-US"/>
        </w:rPr>
        <w:t xml:space="preserve">Proceedings of the 9th Python in Science Conference</w:t>
      </w:r>
      <w:r>
        <w:rPr>
          <w:lang w:val="en-US"/>
        </w:rPr>
        <w:t xml:space="preserve">, 56–61.</w:t>
      </w:r>
    </w:p>
    <w:p>
      <w:pPr>
        <w:pStyle w:val="ListParagraph"/>
        <w:numPr>
          <w:ilvl w:val="0"/>
          <w:numId w:val="1"/>
        </w:numPr>
        <w:spacing w:after="60"/>
        <w:rPr>
          <w:lang w:val="en-US"/>
        </w:rPr>
      </w:pPr>
      <w:r>
        <w:rPr>
          <w:lang w:val="en-US"/>
        </w:rPr>
        <w:t xml:space="preserve">Pedregosa, F. et al. (2011). Scikit-learn: machine learning in Python. </w:t>
      </w:r>
      <w:r>
        <w:rPr>
          <w:i/>
          <w:iCs/>
          <w:lang w:val="en-US"/>
        </w:rPr>
        <w:t xml:space="preserve">Journal of Machine Learning Research</w:t>
      </w:r>
      <w:r>
        <w:rPr>
          <w:lang w:val="en-US"/>
        </w:rPr>
        <w:t xml:space="preserve">, 12, 2825–2830.</w:t>
      </w:r>
    </w:p>
    <w:p>
      <w:pPr>
        <w:pStyle w:val="ListParagraph"/>
        <w:numPr>
          <w:ilvl w:val="0"/>
          <w:numId w:val="1"/>
        </w:numPr>
        <w:spacing w:after="60"/>
        <w:rPr>
          <w:lang w:val="en-US"/>
        </w:rPr>
      </w:pPr>
      <w:r>
        <w:rPr>
          <w:lang w:val="en-US"/>
        </w:rPr>
        <w:t xml:space="preserve">Virtanen, P. et al. (2020). SciPy 1.0: fundamental algorithms for scientific computing in Python. </w:t>
      </w:r>
      <w:r>
        <w:rPr>
          <w:i/>
          <w:iCs/>
          <w:lang w:val="en-US"/>
        </w:rPr>
        <w:t xml:space="preserve">Nature Methods</w:t>
      </w:r>
      <w:r>
        <w:rPr>
          <w:lang w:val="en-US"/>
        </w:rPr>
        <w:t xml:space="preserve">, 17, 261–272.</w:t>
      </w:r>
    </w:p>
    <w:p>
      <w:pPr>
        <w:pStyle w:val="ListParagraph"/>
        <w:numPr>
          <w:ilvl w:val="0"/>
          <w:numId w:val="1"/>
        </w:numPr>
        <w:spacing w:after="60"/>
        <w:rPr>
          <w:lang w:val="en-US"/>
        </w:rPr>
      </w:pPr>
      <w:r>
        <w:rPr>
          <w:lang w:val="en-US"/>
        </w:rPr>
        <w:t xml:space="preserve">Documentation for Flask (https://flask.palletsprojects.com), gunicorn (https://gunicorn.org), Docker (https://docs.docker.com) and Render (https://render.com/docs).</w:t>
      </w:r>
    </w:p>
    <w:p>
      <w:pPr>
        <w:pStyle w:val="ListParagraph"/>
        <w:numPr>
          <w:ilvl w:val="0"/>
          <w:numId w:val="1"/>
        </w:numPr>
        <w:spacing w:after="60"/>
        <w:rPr>
          <w:lang w:val="en-US"/>
        </w:rPr>
      </w:pPr>
      <w:r>
        <w:rPr>
          <w:b/>
          <w:bCs/>
          <w:lang w:val="en-US"/>
        </w:rPr>
        <w:t xml:space="preserve">AI tools:</w:t>
      </w:r>
      <w:r>
        <w:rPr>
          <w:lang w:val="en-US"/>
        </w:rPr>
        <w:t xml:space="preserve"> Claude Code (Anthropic) was used as a coding assistant for parts of the code (among them the experiments notebook, the deployment files and changes to the website) and to draft this report. All numbers come from the code in the repository. [GROUP: describe exactly how you used AI tools.]</w:t>
      </w:r>
    </w:p>
    <w:sectPr w:rsidR="00C62693" w:rsidRPr="00CA01F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60503" w14:textId="77777777" w:rsidR="006B0294" w:rsidRDefault="006B0294">
      <w:pPr>
        <w:spacing w:line="240" w:lineRule="auto"/>
      </w:pPr>
      <w:r>
        <w:separator/>
      </w:r>
    </w:p>
  </w:endnote>
  <w:endnote w:type="continuationSeparator" w:id="0">
    <w:p w14:paraId="7362C1C4" w14:textId="77777777" w:rsidR="006B0294" w:rsidRDefault="006B0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4D266A" w14:textId="77777777" w:rsidR="003A2322" w:rsidRDefault="003A2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60759D4D" w14:textId="77777777" w:rsidTr="42BE7F48">
      <w:trPr>
        <w:trHeight w:val="300"/>
      </w:trPr>
      <w:tc>
        <w:tcPr>
          <w:tcW w:w="3005" w:type="dxa"/>
        </w:tcPr>
        <w:p w14:paraId="65DA193E" w14:textId="777FFCE5" w:rsidR="42BE7F48" w:rsidRDefault="42BE7F48" w:rsidP="42BE7F48">
          <w:pPr>
            <w:pStyle w:val="Header"/>
            <w:ind w:left="-115"/>
          </w:pPr>
        </w:p>
      </w:tc>
      <w:tc>
        <w:tcPr>
          <w:tcW w:w="3005" w:type="dxa"/>
        </w:tcPr>
        <w:p w14:paraId="49E14F95" w14:textId="5F5180C5" w:rsidR="42BE7F48" w:rsidRDefault="42BE7F48" w:rsidP="42BE7F48">
          <w:pPr>
            <w:pStyle w:val="Header"/>
            <w:jc w:val="center"/>
          </w:pPr>
        </w:p>
      </w:tc>
      <w:tc>
        <w:tcPr>
          <w:tcW w:w="3005" w:type="dxa"/>
        </w:tcPr>
        <w:p w14:paraId="7821C7FF" w14:textId="2B480517" w:rsidR="42BE7F48" w:rsidRDefault="42BE7F48" w:rsidP="42BE7F48">
          <w:pPr>
            <w:pStyle w:val="Header"/>
            <w:ind w:right="-115"/>
            <w:jc w:val="right"/>
          </w:pPr>
        </w:p>
      </w:tc>
    </w:tr>
  </w:tbl>
  <w:p w14:paraId="129B78C8" w14:textId="6910FE44" w:rsidR="42BE7F48" w:rsidRDefault="42BE7F48" w:rsidP="42BE7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2BE7F48" w14:paraId="0B6492C5" w14:textId="77777777" w:rsidTr="42BE7F48">
      <w:trPr>
        <w:trHeight w:val="300"/>
      </w:trPr>
      <w:tc>
        <w:tcPr>
          <w:tcW w:w="3005" w:type="dxa"/>
        </w:tcPr>
        <w:p w14:paraId="3455DF7F" w14:textId="3B437209" w:rsidR="42BE7F48" w:rsidRDefault="42BE7F48" w:rsidP="42BE7F48">
          <w:pPr>
            <w:pStyle w:val="Header"/>
            <w:ind w:left="-115"/>
          </w:pPr>
        </w:p>
      </w:tc>
      <w:tc>
        <w:tcPr>
          <w:tcW w:w="3005" w:type="dxa"/>
        </w:tcPr>
        <w:p w14:paraId="2A80EE96" w14:textId="33F09685" w:rsidR="42BE7F48" w:rsidRDefault="42BE7F48" w:rsidP="42BE7F48">
          <w:pPr>
            <w:pStyle w:val="Header"/>
            <w:jc w:val="center"/>
          </w:pPr>
        </w:p>
      </w:tc>
      <w:tc>
        <w:tcPr>
          <w:tcW w:w="3005" w:type="dxa"/>
        </w:tcPr>
        <w:p w14:paraId="1990C90B" w14:textId="49A8A5FE" w:rsidR="42BE7F48" w:rsidRDefault="42BE7F48" w:rsidP="42BE7F48">
          <w:pPr>
            <w:pStyle w:val="Header"/>
            <w:ind w:right="-115"/>
            <w:jc w:val="right"/>
          </w:pPr>
        </w:p>
      </w:tc>
    </w:tr>
  </w:tbl>
  <w:p w14:paraId="3903AAFD" w14:textId="71C8F38D" w:rsidR="42BE7F48" w:rsidRDefault="42BE7F48" w:rsidP="42BE7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A224B0" w14:textId="77777777" w:rsidR="006B0294" w:rsidRDefault="006B0294">
      <w:pPr>
        <w:spacing w:line="240" w:lineRule="auto"/>
      </w:pPr>
      <w:r>
        <w:separator/>
      </w:r>
    </w:p>
  </w:footnote>
  <w:footnote w:type="continuationSeparator" w:id="0">
    <w:p w14:paraId="2E731124" w14:textId="77777777" w:rsidR="006B0294" w:rsidRDefault="006B02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C14513" w14:textId="77777777" w:rsidR="00DD0584" w:rsidRDefault="00DD05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1" w14:textId="0A4C108D" w:rsidR="00C62693" w:rsidRPr="005539F5" w:rsidRDefault="42BE7F48">
    <w:pPr>
      <w:ind w:right="-1140"/>
      <w:jc w:val="right"/>
      <w:rPr>
        <w:lang w:val="en-US"/>
      </w:rPr>
    </w:pPr>
    <w:r>
      <w:rPr>
        <w:lang w:val="en-US"/>
      </w:rPr>
      <w:t xml:space="preserve">DAT158, assignment 2</w:t>
    </w:r>
    <w:r>
      <w:br/>
    </w:r>
    <w:r>
      <w:rPr>
        <w:lang w:val="en-US"/>
      </w:rPr>
      <w:t xml:space="preserve">Final project report</w:t>
    </w:r>
  </w:p>
  <w:p w14:paraId="05A87D9F" w14:textId="12E32340" w:rsidR="42BE7F48" w:rsidRDefault="42BE7F48" w:rsidP="42BE7F48">
    <w:pPr>
      <w:ind w:right="-1140"/>
      <w:jc w:val="right"/>
      <w:rPr>
        <w:lang w:val="en-US"/>
      </w:rPr>
    </w:pPr>
  </w:p>
  <w:p w14:paraId="00000022" w14:textId="77777777" w:rsidR="00C62693" w:rsidRPr="005539F5" w:rsidRDefault="00C62693">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0"/>
  </w:num>
  <w:num w:numId="2" w16cid:durableId="5292240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047649"/>
    <w:rsid w:val="000D06FC"/>
    <w:rsid w:val="000F63DC"/>
    <w:rsid w:val="001446A8"/>
    <w:rsid w:val="001F45C3"/>
    <w:rsid w:val="001F7A1E"/>
    <w:rsid w:val="00282D44"/>
    <w:rsid w:val="00305D28"/>
    <w:rsid w:val="003A2322"/>
    <w:rsid w:val="004F488E"/>
    <w:rsid w:val="0053247F"/>
    <w:rsid w:val="005539F5"/>
    <w:rsid w:val="005D6D2D"/>
    <w:rsid w:val="00613D87"/>
    <w:rsid w:val="006B0294"/>
    <w:rsid w:val="007A5B08"/>
    <w:rsid w:val="00885CF2"/>
    <w:rsid w:val="008D50E9"/>
    <w:rsid w:val="00920569"/>
    <w:rsid w:val="00B86ADE"/>
    <w:rsid w:val="00C22FB7"/>
    <w:rsid w:val="00C62693"/>
    <w:rsid w:val="00C71FE6"/>
    <w:rsid w:val="00CA01FE"/>
    <w:rsid w:val="00CE1E1B"/>
    <w:rsid w:val="00D84D79"/>
    <w:rsid w:val="00D85F17"/>
    <w:rsid w:val="00DC0CA4"/>
    <w:rsid w:val="00DD0584"/>
    <w:rsid w:val="00E06158"/>
    <w:rsid w:val="00F620D1"/>
    <w:rsid w:val="00FB64F3"/>
    <w:rsid w:val="05239893"/>
    <w:rsid w:val="0812AE4E"/>
    <w:rsid w:val="0D635D2D"/>
    <w:rsid w:val="0F27B216"/>
    <w:rsid w:val="113F6A9D"/>
    <w:rsid w:val="15ED05AE"/>
    <w:rsid w:val="16A157A1"/>
    <w:rsid w:val="1D04303F"/>
    <w:rsid w:val="1E9ACE75"/>
    <w:rsid w:val="1ED7D94F"/>
    <w:rsid w:val="22534B67"/>
    <w:rsid w:val="281F829C"/>
    <w:rsid w:val="28226620"/>
    <w:rsid w:val="2855A366"/>
    <w:rsid w:val="2B5A8D80"/>
    <w:rsid w:val="3A20E34C"/>
    <w:rsid w:val="42BE7F48"/>
    <w:rsid w:val="42F22C0F"/>
    <w:rsid w:val="47EC82AC"/>
    <w:rsid w:val="47F849E1"/>
    <w:rsid w:val="481DE327"/>
    <w:rsid w:val="483E5CC5"/>
    <w:rsid w:val="536991D5"/>
    <w:rsid w:val="567EF218"/>
    <w:rsid w:val="5B99E309"/>
    <w:rsid w:val="5EF3692F"/>
    <w:rsid w:val="61307982"/>
    <w:rsid w:val="64A6884D"/>
    <w:rsid w:val="6529415B"/>
    <w:rsid w:val="6B01A5F5"/>
    <w:rsid w:val="6E9969F7"/>
    <w:rsid w:val="71C9105D"/>
    <w:rsid w:val="73FB7125"/>
    <w:rsid w:val="77DB4831"/>
    <w:rsid w:val="7B1C0F1C"/>
    <w:rsid w:val="7E4EA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D06FC"/>
    <w:pPr>
      <w:tabs>
        <w:tab w:val="center" w:pos="4680"/>
        <w:tab w:val="right" w:pos="9360"/>
      </w:tabs>
      <w:spacing w:line="240" w:lineRule="auto"/>
    </w:pPr>
  </w:style>
  <w:style w:type="character" w:customStyle="1" w:styleId="HeaderChar">
    <w:name w:val="Header Char"/>
    <w:basedOn w:val="DefaultParagraphFont"/>
    <w:link w:val="Header"/>
    <w:uiPriority w:val="99"/>
    <w:rsid w:val="000D06FC"/>
  </w:style>
  <w:style w:type="paragraph" w:styleId="Footer">
    <w:name w:val="footer"/>
    <w:basedOn w:val="Normal"/>
    <w:link w:val="FooterChar"/>
    <w:uiPriority w:val="99"/>
    <w:unhideWhenUsed/>
    <w:rsid w:val="000D06FC"/>
    <w:pPr>
      <w:tabs>
        <w:tab w:val="center" w:pos="4680"/>
        <w:tab w:val="right" w:pos="9360"/>
      </w:tabs>
      <w:spacing w:line="240" w:lineRule="auto"/>
    </w:pPr>
  </w:style>
  <w:style w:type="character" w:customStyle="1" w:styleId="FooterChar">
    <w:name w:val="Footer Char"/>
    <w:basedOn w:val="DefaultParagraphFont"/>
    <w:link w:val="Footer"/>
    <w:uiPriority w:val="99"/>
    <w:rsid w:val="000D06FC"/>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32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X1001" Type="http://schemas.openxmlformats.org/officeDocument/2006/relationships/hyperlink" Target="https://github.com/tjommilaskus/ml-innlevering_2" TargetMode="External"/><Relationship Id="rIdX1002" Type="http://schemas.openxmlformats.org/officeDocument/2006/relationships/image" Target="media/image1.png"/><Relationship Id="rIdX1003" Type="http://schemas.openxmlformats.org/officeDocument/2006/relationships/image" Target="media/image2.png"/><Relationship Id="rIdX1004" Type="http://schemas.openxmlformats.org/officeDocument/2006/relationships/image" Target="media/image3.png"/><Relationship Id="rIdX1005" Type="http://schemas.openxmlformats.org/officeDocument/2006/relationships/image" Target="media/image4.png"/><Relationship Id="rIdX1006" Type="http://schemas.openxmlformats.org/officeDocument/2006/relationships/image" Target="media/image5.png"/><Relationship Id="rIdX1007" Type="http://schemas.openxmlformats.org/officeDocument/2006/relationships/image" Target="media/image6.png"/><Relationship Id="rIdX1008" Type="http://schemas.openxmlformats.org/officeDocument/2006/relationships/image" Target="media/image7.png"/><Relationship Id="rIdX100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Mæland</cp:lastModifiedBy>
  <cp:revision>26</cp:revision>
  <dcterms:created xsi:type="dcterms:W3CDTF">2022-10-04T12:47:00Z</dcterms:created>
  <dcterms:modified xsi:type="dcterms:W3CDTF">2026-10-01T12:00:00Z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