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DD38" w14:textId="77777777" w:rsidR="0044214A" w:rsidRDefault="0044214A">
      <w:pPr>
        <w:pStyle w:val="Heading1"/>
        <w:widowControl/>
        <w:ind w:left="0" w:firstLine="0"/>
      </w:pPr>
      <w:r>
        <w:t>Directive 3c.2: Gate Repair + Substitution-Structured Cannibalization</w:t>
      </w:r>
    </w:p>
    <w:p w14:paraId="381258BA" w14:textId="77777777" w:rsidR="0044214A" w:rsidRDefault="0044214A">
      <w:pPr>
        <w:pStyle w:val="Heading2"/>
      </w:pPr>
      <w:r>
        <w:t>Part 1: Pearson gate repair (statistical, no simulation changes)</w:t>
      </w:r>
    </w:p>
    <w:p w14:paraId="32E2B7EE" w14:textId="77777777" w:rsidR="0044214A" w:rsidRDefault="0044214A">
      <w:pPr>
        <w:pStyle w:val="BodyText"/>
        <w:numPr>
          <w:ilvl w:val="0"/>
          <w:numId w:val="1"/>
        </w:numPr>
        <w:tabs>
          <w:tab w:val="left" w:pos="707"/>
        </w:tabs>
        <w:spacing w:after="0"/>
      </w:pPr>
      <w:r>
        <w:t>Per-seed paired-delta floor widens from −0.03 to </w:t>
      </w:r>
      <w:r>
        <w:rPr>
          <w:rStyle w:val="Strong"/>
        </w:rPr>
        <w:t>−</w:t>
      </w:r>
      <w:r>
        <w:rPr>
          <w:rStyle w:val="Strong"/>
        </w:rPr>
        <w:t>0.06</w:t>
      </w:r>
      <w:r>
        <w:t> (~2σ of the paired-delta noise at N≈900, r≈0.5; derivation above goes in the audit record). Mean-delta gate stays binding at </w:t>
      </w:r>
      <w:r>
        <w:rPr>
          <w:rStyle w:val="Strong"/>
        </w:rPr>
        <w:t>≥ −0.02</w:t>
      </w:r>
      <w:r>
        <w:t>.</w:t>
      </w:r>
    </w:p>
    <w:p w14:paraId="3EB6EF91" w14:textId="77777777" w:rsidR="0044214A" w:rsidRDefault="0044214A">
      <w:pPr>
        <w:pStyle w:val="BodyText"/>
        <w:numPr>
          <w:ilvl w:val="0"/>
          <w:numId w:val="1"/>
        </w:numPr>
        <w:tabs>
          <w:tab w:val="left" w:pos="707"/>
        </w:tabs>
        <w:spacing w:after="0"/>
      </w:pPr>
      <w:r>
        <w:t>Under the repaired gate, </w:t>
      </w:r>
      <w:r>
        <w:rPr>
          <w:rStyle w:val="Strong"/>
        </w:rPr>
        <w:t>3c's freshness checkpoint retroactively passes</w:t>
      </w:r>
      <w:r>
        <w:t> (deltas −0.033/−0.017/+0.025, mean −0.008). Freshness mechanics, counters, and telemetry are frozen as delivered. Re</w:t>
      </w:r>
      <w:r>
        <w:t>cord the determination.</w:t>
      </w:r>
    </w:p>
    <w:p w14:paraId="0B1159CE" w14:textId="77777777" w:rsidR="0044214A" w:rsidRDefault="0044214A">
      <w:pPr>
        <w:pStyle w:val="BodyText"/>
        <w:numPr>
          <w:ilvl w:val="0"/>
          <w:numId w:val="1"/>
        </w:numPr>
        <w:tabs>
          <w:tab w:val="left" w:pos="707"/>
        </w:tabs>
      </w:pPr>
      <w:r>
        <w:t>For 3d, the Pearson guard will use ≥6 seeds with the same mean/floor structure — note this now so the 3d directive inherits it.</w:t>
      </w:r>
    </w:p>
    <w:p w14:paraId="33AEFC4B" w14:textId="77777777" w:rsidR="0044214A" w:rsidRDefault="0044214A">
      <w:pPr>
        <w:pStyle w:val="Heading2"/>
      </w:pPr>
      <w:r>
        <w:t>Part 2: Substitution-structured B5 arithmetic</w:t>
      </w:r>
    </w:p>
    <w:p w14:paraId="5B119586" w14:textId="77777777" w:rsidR="0044214A" w:rsidRDefault="0044214A">
      <w:pPr>
        <w:pStyle w:val="BodyText"/>
        <w:rPr>
          <w:rStyle w:val="SourceText"/>
        </w:rPr>
      </w:pPr>
      <w:r>
        <w:t>Replace the cannibalization debit:</w:t>
      </w:r>
    </w:p>
    <w:p w14:paraId="4CA20C12" w14:textId="77777777" w:rsidR="0044214A" w:rsidRDefault="0044214A">
      <w:pPr>
        <w:pStyle w:val="BodyText"/>
        <w:numPr>
          <w:ilvl w:val="0"/>
          <w:numId w:val="2"/>
        </w:numPr>
        <w:tabs>
          <w:tab w:val="left" w:pos="707"/>
        </w:tabs>
        <w:spacing w:after="0"/>
        <w:rPr>
          <w:rStyle w:val="SourceText"/>
        </w:rPr>
      </w:pPr>
      <w:r>
        <w:rPr>
          <w:rStyle w:val="SourceText"/>
        </w:rPr>
        <w:t>expectedSingleUnits = (bucketMeanNet + singleProductionCost) ÷ exported singleNetMarginPerUnit</w:t>
      </w:r>
      <w:r>
        <w:t> (default </w:t>
      </w:r>
      <w:r>
        <w:rPr>
          <w:rStyle w:val="Strong"/>
        </w:rPr>
        <w:t>$0.40</w:t>
      </w:r>
      <w:r>
        <w:t>, documented as the implied per-unit label net; derivation from price/pressing/skim/royalty conventions shown in audit).</w:t>
      </w:r>
    </w:p>
    <w:p w14:paraId="7FB5F8EF" w14:textId="77777777" w:rsidR="0044214A" w:rsidRDefault="0044214A">
      <w:pPr>
        <w:pStyle w:val="BodyText"/>
        <w:numPr>
          <w:ilvl w:val="0"/>
          <w:numId w:val="2"/>
        </w:numPr>
        <w:tabs>
          <w:tab w:val="left" w:pos="707"/>
        </w:tabs>
        <w:spacing w:after="0"/>
        <w:rPr>
          <w:rStyle w:val="SourceText"/>
        </w:rPr>
      </w:pPr>
      <w:r>
        <w:rPr>
          <w:rStyle w:val="SourceText"/>
        </w:rPr>
        <w:t>substitutionPropensity = clamp(substitutionK × al</w:t>
      </w:r>
      <w:r>
        <w:rPr>
          <w:rStyle w:val="SourceText"/>
        </w:rPr>
        <w:t>bumDemandFactor(genre, year), 0, substitutionCap)</w:t>
      </w:r>
      <w:r>
        <w:t> — exported </w:t>
      </w:r>
      <w:r>
        <w:rPr>
          <w:rStyle w:val="SourceText"/>
        </w:rPr>
        <w:t>substitutionK</w:t>
      </w:r>
      <w:r>
        <w:t> default </w:t>
      </w:r>
      <w:r>
        <w:rPr>
          <w:rStyle w:val="Strong"/>
        </w:rPr>
        <w:t>1.0</w:t>
      </w:r>
      <w:r>
        <w:t>, </w:t>
      </w:r>
      <w:r>
        <w:rPr>
          <w:rStyle w:val="SourceText"/>
        </w:rPr>
        <w:t>substitutionCap</w:t>
      </w:r>
      <w:r>
        <w:t> default </w:t>
      </w:r>
      <w:r>
        <w:rPr>
          <w:rStyle w:val="Strong"/>
        </w:rPr>
        <w:t>0.85</w:t>
      </w:r>
      <w:r>
        <w:t>. The album demand factor is the same term already computed in the album prior; one source, two readers.</w:t>
      </w:r>
    </w:p>
    <w:p w14:paraId="031BE655" w14:textId="77777777" w:rsidR="0044214A" w:rsidRDefault="0044214A">
      <w:pPr>
        <w:pStyle w:val="BodyText"/>
        <w:numPr>
          <w:ilvl w:val="0"/>
          <w:numId w:val="2"/>
        </w:numPr>
        <w:tabs>
          <w:tab w:val="left" w:pos="707"/>
        </w:tabs>
        <w:spacing w:after="0"/>
        <w:rPr>
          <w:rStyle w:val="SourceText"/>
        </w:rPr>
      </w:pPr>
      <w:r>
        <w:rPr>
          <w:rStyle w:val="SourceText"/>
        </w:rPr>
        <w:t>divertedUnits = substitutionPropensity × expectedOverlapFraction × expectedSingleUnits</w:t>
      </w:r>
      <w:r>
        <w:t> (overlap stays (gap-adjusted) 0.60 as built).</w:t>
      </w:r>
    </w:p>
    <w:p w14:paraId="606007F2" w14:textId="77777777" w:rsidR="0044214A" w:rsidRDefault="0044214A">
      <w:pPr>
        <w:pStyle w:val="BodyText"/>
        <w:numPr>
          <w:ilvl w:val="0"/>
          <w:numId w:val="2"/>
        </w:numPr>
        <w:tabs>
          <w:tab w:val="left" w:pos="707"/>
        </w:tabs>
        <w:spacing w:after="0"/>
      </w:pPr>
      <w:r>
        <w:rPr>
          <w:rStyle w:val="SourceText"/>
        </w:rPr>
        <w:t>cannibalizationLoss = divertedUnits × albumMarginPerUnit</w:t>
      </w:r>
      <w:r>
        <w:t> (the existing at-margin value). </w:t>
      </w:r>
      <w:r>
        <w:rPr>
          <w:rStyle w:val="SourceText"/>
        </w:rPr>
        <w:t>cannibalizationStrength</w:t>
      </w:r>
      <w:r>
        <w:t> no longer appears in the decision estimate.</w:t>
      </w:r>
    </w:p>
    <w:p w14:paraId="5F1DAA2D" w14:textId="77777777" w:rsidR="0044214A" w:rsidRDefault="0044214A">
      <w:pPr>
        <w:pStyle w:val="BodyText"/>
        <w:numPr>
          <w:ilvl w:val="0"/>
          <w:numId w:val="2"/>
        </w:numPr>
        <w:tabs>
          <w:tab w:val="left" w:pos="707"/>
        </w:tabs>
      </w:pPr>
      <w:r>
        <w:t>P</w:t>
      </w:r>
      <w:r>
        <w:t>romo branch: </w:t>
      </w:r>
      <w:r>
        <w:rPr>
          <w:rStyle w:val="SourceText"/>
        </w:rPr>
        <w:t>promoLift + expectedSingleNet − cannibalizationLoss</w:t>
      </w:r>
      <w:r>
        <w:t>, unchanged otherwise. Deterministic, no RNG, evaluated after the frozen format decision as before.</w:t>
      </w:r>
    </w:p>
    <w:p w14:paraId="10167A56" w14:textId="77777777" w:rsidR="0044214A" w:rsidRDefault="0044214A">
      <w:pPr>
        <w:pStyle w:val="Heading2"/>
        <w:rPr>
          <w:rStyle w:val="SourceText"/>
        </w:rPr>
      </w:pPr>
      <w:r>
        <w:t>Part 3: Applied-side consistency (B4)</w:t>
      </w:r>
    </w:p>
    <w:p w14:paraId="495FDDA1" w14:textId="77777777" w:rsidR="0044214A" w:rsidRDefault="0044214A">
      <w:pPr>
        <w:pStyle w:val="BodyText"/>
      </w:pPr>
      <w:r>
        <w:rPr>
          <w:rStyle w:val="SourceText"/>
        </w:rPr>
        <w:t>suppression = cannibalizationStrength × singleHeat × substitutionPropensity(genre, year)</w:t>
      </w:r>
      <w:r>
        <w:t> — same propensity function, same clamp. Unlinked/retired-link inertness rules unchanged (propensity multiplies an already-zero term). Report the new demand-weighted suppression for 1960 (expected: well under 1%).</w:t>
      </w:r>
    </w:p>
    <w:p w14:paraId="7DC63FA7" w14:textId="77777777" w:rsidR="0044214A" w:rsidRDefault="0044214A">
      <w:pPr>
        <w:pStyle w:val="Heading2"/>
      </w:pPr>
      <w:r>
        <w:lastRenderedPageBreak/>
        <w:t xml:space="preserve">Part 4: </w:t>
      </w:r>
      <w:r>
        <w:t>Validation (52 weeks, seeds 1001/1002/1003 + disabled baseline)</w:t>
      </w:r>
    </w:p>
    <w:p w14:paraId="3984E586" w14:textId="77777777" w:rsidR="0044214A" w:rsidRDefault="0044214A">
      <w:pPr>
        <w:pStyle w:val="BodyText"/>
        <w:numPr>
          <w:ilvl w:val="0"/>
          <w:numId w:val="3"/>
        </w:numPr>
        <w:tabs>
          <w:tab w:val="left" w:pos="707"/>
        </w:tabs>
        <w:spacing w:after="0"/>
        <w:rPr>
          <w:rStyle w:val="Strong"/>
        </w:rPr>
      </w:pPr>
      <w:r>
        <w:t>All current gates at the repaired Pearson bands; checksums exact; determinism 2× seed-1001.</w:t>
      </w:r>
    </w:p>
    <w:p w14:paraId="3A662943" w14:textId="77777777" w:rsidR="0044214A" w:rsidRDefault="0044214A">
      <w:pPr>
        <w:pStyle w:val="BodyText"/>
        <w:numPr>
          <w:ilvl w:val="0"/>
          <w:numId w:val="3"/>
        </w:numPr>
        <w:tabs>
          <w:tab w:val="left" w:pos="707"/>
        </w:tabs>
        <w:spacing w:after="0"/>
      </w:pPr>
      <w:r>
        <w:rPr>
          <w:rStyle w:val="Strong"/>
        </w:rPr>
        <w:t>Closed-form reachability re-run, both vectors, term-by-term (audit requirement):</w:t>
      </w:r>
      <w:r>
        <w:t> (a) 1960 adult New/Unsigned selects promo; (b) 1968-curve Q4 Superstar selects standalone. If (b) fails to flip under the new structure, stop and report — no constant chasing.</w:t>
      </w:r>
    </w:p>
    <w:p w14:paraId="7C49B22C" w14:textId="77777777" w:rsidR="0044214A" w:rsidRDefault="0044214A">
      <w:pPr>
        <w:pStyle w:val="BodyText"/>
        <w:numPr>
          <w:ilvl w:val="0"/>
          <w:numId w:val="3"/>
        </w:numPr>
        <w:tabs>
          <w:tab w:val="left" w:pos="707"/>
        </w:tabs>
        <w:spacing w:after="0"/>
        <w:rPr>
          <w:rStyle w:val="Strong"/>
        </w:rPr>
      </w:pPr>
      <w:r>
        <w:t>1960 dynamic standalone share: report; ≈0% remains the expected and correct result.</w:t>
      </w:r>
    </w:p>
    <w:p w14:paraId="32454316" w14:textId="77777777" w:rsidR="0044214A" w:rsidRDefault="0044214A">
      <w:pPr>
        <w:pStyle w:val="BodyText"/>
        <w:numPr>
          <w:ilvl w:val="0"/>
          <w:numId w:val="3"/>
        </w:numPr>
        <w:tabs>
          <w:tab w:val="left" w:pos="707"/>
        </w:tabs>
        <w:spacing w:after="0"/>
      </w:pPr>
      <w:r>
        <w:rPr>
          <w:rStyle w:val="Strong"/>
        </w:rPr>
        <w:t>New sanity chec</w:t>
      </w:r>
      <w:r>
        <w:rPr>
          <w:rStyle w:val="Strong"/>
        </w:rPr>
        <w:t>k:</w:t>
      </w:r>
      <w:r>
        <w:t> report the B5 promo-vs-standalone margin distribution by genre group — the margin should </w:t>
      </w:r>
      <w:r>
        <w:rPr>
          <w:rStyle w:val="Emphasis"/>
        </w:rPr>
        <w:t>narrow</w:t>
      </w:r>
      <w:r>
        <w:t> as album demand factor rises even within 1960 (adult acts closer to indifference than youth). That gradient is the observable precursor of the late-decade flip and our best 52-week evidence the seam works.</w:t>
      </w:r>
    </w:p>
    <w:p w14:paraId="262B7BA2" w14:textId="77777777" w:rsidR="0044214A" w:rsidRDefault="0044214A">
      <w:pPr>
        <w:pStyle w:val="BodyText"/>
        <w:numPr>
          <w:ilvl w:val="0"/>
          <w:numId w:val="3"/>
        </w:numPr>
        <w:tabs>
          <w:tab w:val="left" w:pos="707"/>
        </w:tabs>
      </w:pPr>
      <w:r>
        <w:t>Watch cohorts continue unchanged.</w:t>
      </w:r>
    </w:p>
    <w:p w14:paraId="6D32CB1E" w14:textId="77777777" w:rsidR="0044214A" w:rsidRDefault="0044214A">
      <w:pPr>
        <w:pStyle w:val="Heading2"/>
      </w:pPr>
      <w:r>
        <w:t>Guardrails</w:t>
      </w:r>
    </w:p>
    <w:p w14:paraId="50A732DC" w14:textId="77777777" w:rsidR="0044214A" w:rsidRDefault="0044214A">
      <w:pPr>
        <w:pStyle w:val="BodyText"/>
        <w:numPr>
          <w:ilvl w:val="0"/>
          <w:numId w:val="4"/>
        </w:numPr>
        <w:tabs>
          <w:tab w:val="left" w:pos="707"/>
        </w:tabs>
        <w:spacing w:after="0"/>
      </w:pPr>
      <w:r>
        <w:t>Frozen: Single table, album scalars, comp weights, freshness factor/counters, all demand/chart/retirement/generation constants outside the specified B4 line.</w:t>
      </w:r>
    </w:p>
    <w:p w14:paraId="39571097" w14:textId="77777777" w:rsidR="0044214A" w:rsidRDefault="0044214A">
      <w:pPr>
        <w:pStyle w:val="BodyText"/>
        <w:numPr>
          <w:ilvl w:val="0"/>
          <w:numId w:val="4"/>
        </w:numPr>
        <w:tabs>
          <w:tab w:val="left" w:pos="707"/>
        </w:tabs>
        <w:spacing w:after="0"/>
      </w:pPr>
      <w:r>
        <w:t>No s</w:t>
      </w:r>
      <w:r>
        <w:t>tature or year conditionals anywhere in the new arithmetic — propensity must come exclusively through the affinity input.</w:t>
      </w:r>
    </w:p>
    <w:p w14:paraId="5C24558F" w14:textId="77777777" w:rsidR="0044214A" w:rsidRDefault="0044214A">
      <w:pPr>
        <w:pStyle w:val="BodyText"/>
        <w:numPr>
          <w:ilvl w:val="0"/>
          <w:numId w:val="4"/>
        </w:numPr>
        <w:tabs>
          <w:tab w:val="left" w:pos="707"/>
        </w:tabs>
      </w:pPr>
      <w:r>
        <w:t>If seed-level youth or adult mix drifts out of band from the B4 suppression change (unlikely — it weakens an already-small 1960 effect), stop and report rather than retune scalars.</w:t>
      </w:r>
    </w:p>
    <w:p w14:paraId="78F32D95" w14:textId="77777777" w:rsidR="0044214A" w:rsidRDefault="0044214A">
      <w:pPr>
        <w:pStyle w:val="BodyText"/>
        <w:widowControl/>
      </w:pPr>
    </w:p>
    <w:sectPr w:rsidR="0044214A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372921632">
    <w:abstractNumId w:val="0"/>
  </w:num>
  <w:num w:numId="2" w16cid:durableId="1986007289">
    <w:abstractNumId w:val="1"/>
  </w:num>
  <w:num w:numId="3" w16cid:durableId="1369798093">
    <w:abstractNumId w:val="2"/>
  </w:num>
  <w:num w:numId="4" w16cid:durableId="117797609">
    <w:abstractNumId w:val="3"/>
  </w:num>
  <w:num w:numId="5" w16cid:durableId="4245453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1C3C"/>
    <w:rsid w:val="00211C3C"/>
    <w:rsid w:val="0044214A"/>
    <w:rsid w:val="004D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7448D03"/>
  <w15:chartTrackingRefBased/>
  <w15:docId w15:val="{8F782EC1-748B-4D16-AA6D-2533CC530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paragraph" w:styleId="Heading1">
    <w:name w:val="heading 1"/>
    <w:basedOn w:val="Heading"/>
    <w:next w:val="BodyText"/>
    <w:qFormat/>
    <w:pPr>
      <w:numPr>
        <w:numId w:val="5"/>
      </w:numPr>
      <w:outlineLvl w:val="0"/>
    </w:pPr>
    <w:rPr>
      <w:rFonts w:ascii="Times New Roman" w:eastAsia="SimSun" w:hAnsi="Times New Roman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5"/>
      </w:numPr>
      <w:outlineLvl w:val="1"/>
    </w:pPr>
    <w:rPr>
      <w:rFonts w:ascii="Times New Roman" w:eastAsia="SimSun" w:hAnsi="Times New Roman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5"/>
      </w:numPr>
      <w:outlineLvl w:val="2"/>
    </w:pPr>
    <w:rPr>
      <w:rFonts w:ascii="Times New Roman" w:eastAsia="SimSu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rPr>
      <w:rFonts w:ascii="Courier New" w:eastAsia="NSimSun" w:hAnsi="Courier New" w:cs="Courier New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character" w:customStyle="1" w:styleId="NumberingSymbols">
    <w:name w:val="Numbering Symbols"/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Symbol" w:hAnsi="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HorizontalLine">
    <w:name w:val="Horizontal Line"/>
    <w:basedOn w:val="Normal"/>
    <w:next w:val="BodyText"/>
    <w:pPr>
      <w:suppressLineNumbers/>
      <w:pBdr>
        <w:bottom w:val="double" w:sz="1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rPr>
      <w:rFonts w:ascii="Courier New" w:eastAsia="NSimSun" w:hAnsi="Courier New" w:cs="Courier New"/>
      <w:sz w:val="20"/>
      <w:szCs w:val="20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503</Words>
  <Characters>2873</Characters>
  <Application>Microsoft Office Word</Application>
  <DocSecurity>4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Jones</dc:creator>
  <cp:keywords/>
  <cp:lastModifiedBy>Chris Jones</cp:lastModifiedBy>
  <cp:revision>2</cp:revision>
  <cp:lastPrinted>1601-01-01T00:00:00Z</cp:lastPrinted>
  <dcterms:created xsi:type="dcterms:W3CDTF">2026-07-05T02:59:00Z</dcterms:created>
  <dcterms:modified xsi:type="dcterms:W3CDTF">2026-07-05T02:59:00Z</dcterms:modified>
</cp:coreProperties>
</file>