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sz w:val="28"/>
        </w:rPr>
      </w:pPr>
      <w:r>
        <w:rPr>
          <w:sz w:val="28"/>
        </w:rPr>
        <w:t>AMT 2</w:t>
      </w:r>
      <w:r>
        <w:rPr>
          <w:sz w:val="28"/>
        </w:rPr>
        <w:t>7</w:t>
      </w:r>
      <w:r>
        <w:rPr>
          <w:sz w:val="28"/>
        </w:rPr>
        <w:t xml:space="preserve"> (Sep-</w:t>
      </w:r>
      <w:r>
        <w:rPr>
          <w:sz w:val="28"/>
        </w:rPr>
        <w:t>Nov</w:t>
      </w:r>
      <w:r>
        <w:rPr>
          <w:sz w:val="28"/>
        </w:rPr>
        <w:t xml:space="preserve"> 201</w:t>
      </w:r>
      <w:r>
        <w:rPr>
          <w:sz w:val="28"/>
        </w:rPr>
        <w:t>7</w:t>
      </w:r>
      <w:r>
        <w:rPr>
          <w:sz w:val="28"/>
        </w:rPr>
        <w:t>) ACs Processing Report V1</w:t>
      </w:r>
    </w:p>
    <w:p>
      <w:pPr>
        <w:pStyle w:val="Normal"/>
        <w:spacing w:lineRule="auto" w:line="240" w:before="0" w:after="0"/>
        <w:jc w:val="center"/>
        <w:rPr/>
      </w:pPr>
      <w:r>
        <w:rPr/>
        <w:t xml:space="preserve">Giorgio Dall'Olmo, </w:t>
      </w:r>
      <w:r>
        <w:rPr/>
        <w:t>Gavin Tilstone, Tom Jordan</w:t>
      </w:r>
      <w:r>
        <w:rPr/>
        <w:t xml:space="preserve">  A</w:t>
      </w:r>
      <w:r>
        <w:rPr/>
        <w:t>pril</w:t>
      </w:r>
      <w:r>
        <w:rPr/>
        <w:t xml:space="preserve"> 202</w:t>
      </w:r>
      <w:r>
        <w:rPr/>
        <w:t>3</w:t>
      </w:r>
    </w:p>
    <w:p>
      <w:pPr>
        <w:pStyle w:val="Normal"/>
        <w:rPr>
          <w:b/>
          <w:b/>
        </w:rPr>
      </w:pPr>
      <w:r>
        <w:rPr>
          <w:b/>
        </w:rPr>
        <w:t>Measurements</w:t>
      </w:r>
    </w:p>
    <w:p>
      <w:pPr>
        <w:pStyle w:val="Normal"/>
        <w:jc w:val="both"/>
        <w:rPr/>
      </w:pPr>
      <w:r>
        <w:rPr/>
        <w:t xml:space="preserve">Hyperspectral absorption and attenuation were measured continuously on board the RRS </w:t>
      </w:r>
      <w:r>
        <w:rPr/>
        <w:t>Discovery</w:t>
      </w:r>
      <w:r>
        <w:rPr/>
        <w:t xml:space="preserve"> during the </w:t>
      </w:r>
      <w:r>
        <w:rPr>
          <w:i/>
          <w:iCs/>
        </w:rPr>
        <w:t>AMT2</w:t>
      </w:r>
      <w:r>
        <w:rPr>
          <w:i/>
          <w:iCs/>
        </w:rPr>
        <w:t>7</w:t>
      </w:r>
      <w:r>
        <w:rPr/>
        <w:t xml:space="preserve"> expedition in the Atlantic September 2</w:t>
      </w:r>
      <w:r>
        <w:rPr/>
        <w:t>4</w:t>
      </w:r>
      <w:r>
        <w:rPr/>
        <w:t>, 201</w:t>
      </w:r>
      <w:r>
        <w:rPr/>
        <w:t>7</w:t>
      </w:r>
      <w:r>
        <w:rPr/>
        <w:t xml:space="preserve">, to </w:t>
      </w:r>
      <w:r>
        <w:rPr/>
        <w:t>November</w:t>
      </w:r>
      <w:r>
        <w:rPr/>
        <w:t xml:space="preserve"> </w:t>
      </w:r>
      <w:r>
        <w:rPr/>
        <w:t xml:space="preserve">01, </w:t>
      </w:r>
      <w:r>
        <w:rPr/>
        <w:t>201</w:t>
      </w:r>
      <w:r>
        <w:rPr/>
        <w:t>7</w:t>
      </w:r>
      <w:r>
        <w:rPr/>
        <w:t>, using a WetLabs ACS spectrophotometer (serial number 122). The AC</w:t>
      </w:r>
      <w:r>
        <w:rPr/>
        <w:t>S</w:t>
      </w:r>
      <w:r>
        <w:rPr/>
        <w:t xml:space="preserve"> spectrophotometer was set after a switching system running 0.2 um filtered sea water through the instrument the first 10 minutes of every hour and bulk (“normal”) seawater was flowing the rest of the time. This setup allows to retrieve particulate absorption and attenuation independently from the instrument drift and the biofouling effect </w:t>
      </w:r>
      <w:r>
        <w:fldChar w:fldCharType="begin"/>
      </w:r>
      <w:r>
        <w:rPr/>
        <w:instrText>ADDIN ZOTERO_ITEM CSL_CITATION {"citationID":"jh8V85D9","properties":{"formattedCitation":"(Slade et al., 2010)","plainCitation":"(Slade et al., 2010)","noteIndex":0},"citationItems":[{"id":"Ng5RzCoe/diKUFL9s","uris":["http://zotero.org/users/local/Uq1UUqJe/items/YISCJ9LB"],"uri":["http://zotero.org/users/local/Uq1UUqJe/items/YISCJ9LB"],"itemData":{"id":336,"type":"article-journal","title":"Underway and Moored Methods for Improving Accuracy in Measurement of Spectral Particulate Absorption and Attenuation","container-title":"Journal of Atmospheric and Oceanic Technology","page":"1733-1746","volume":"27","issue":"10","source":"Crossref","abstract":"Optical sensors have distinct advantages when used in ocean observatories, autonomous platforms, and on vessels of opportunity, because of their high-frequency measurements, low power consumption, and the numerous established relationships between optical measurements and biogeochemical variables. However, the issues of biofouling and instrument stability over time remain complicating factors when optical instruments are used over periods longer than several days. Here, a method for obtaining calibration-independent measurements of spectral particle absorption and attenuation is presented. Flow-through optical instrumentation is routinely diverted through a large–surface area 0.2-mm cartridge ﬁlter, allowing for the calculation of particle optical properties by differencing temporally adjacent ﬁltered and whole water samples. This approach yields measurements that are independent of drift in instrument calibration. The method has advantages not only for coastally moored deployments, but also for applications in optically clear waters where uncertainties in instrument calibration can be a signiﬁcant part of the signal measured. The differencing technique is demonstrated using WET Labs (Philomath, Oregon) ac-9 and ac-s multi- and hyperspectral absorption and attenuation meters. For the ac-s sensor, a correction scheme is discussed that utilizes the spectral shape of water absorption in the near-infrared to improve the accuracy of temperature and scattering-corrected spectra. Flow-through particulate absorption measurements are compared with discrete ﬁlter-pad measurements and are found to agree well (R2 5 0.77; rmse 5 0.0174 m21).","DOI":"10.1175/2010JTECHO755.1","ISSN":"0739-0572, 1520-0426","language":"en","author":[{"family":"Slade","given":"Wayne H."},{"family":"Boss","given":"Emmanuel"},{"family":"Dall’Olmo","given":"Giorgio"},{"family":"Langner","given":"M. Rois"},{"family":"Loftin","given":"James"},{"family":"Behrenfeld","given":"Michael J."},{"family":"Roesler","given":"Collin"},{"family":"Westberry","given":"Toby K."}],"issued":{"date-parts":[["2010",10]]}}}],"schema":"https://github.com/citation-style-language/schema/raw/master/csl-citation.json"}</w:instrText>
      </w:r>
      <w:r>
        <w:rPr/>
      </w:r>
      <w:r>
        <w:rPr/>
        <w:fldChar w:fldCharType="separate"/>
      </w:r>
      <w:r>
        <w:rPr/>
      </w:r>
      <w:r>
        <w:rPr>
          <w:rFonts w:cs="Calibri"/>
        </w:rPr>
        <w:t>(Slade et al., 2010)</w:t>
      </w:r>
      <w:r>
        <w:rPr/>
      </w:r>
      <w:r>
        <w:rPr/>
        <w:fldChar w:fldCharType="end"/>
      </w:r>
      <w:r>
        <w:rPr/>
        <w:t xml:space="preserve">. The 0.2µm filter was changed approximately every 7 days and the ACs was cleaned every other day. </w:t>
      </w:r>
    </w:p>
    <w:p>
      <w:pPr>
        <w:pStyle w:val="Normal"/>
        <w:jc w:val="both"/>
        <w:rPr>
          <w:b/>
          <w:b/>
        </w:rPr>
      </w:pPr>
      <w:r>
        <w:rPr>
          <w:b/>
        </w:rPr>
        <w:t>Processing notes</w:t>
      </w:r>
    </w:p>
    <w:p>
      <w:pPr>
        <w:pStyle w:val="Normal"/>
        <w:spacing w:lineRule="auto" w:line="240" w:before="0" w:after="120"/>
        <w:rPr/>
      </w:pPr>
      <w:r>
        <w:rPr/>
        <w:t xml:space="preserve">Data was processed following </w:t>
      </w:r>
      <w:r>
        <w:fldChar w:fldCharType="begin"/>
      </w:r>
      <w:r>
        <w:rPr/>
        <w:instrText>ADDIN ZOTERO_ITEM CSL_CITATION {"citationID":"AQ0zjsJ9","properties":{"formattedCitation":"(Boss et al., 2019)","plainCitation":"(Boss et al., 2019)","dontUpdate":true,"noteIndex":0},"citationItems":[{"id":"Ng5RzCoe/5WlN7NEs","uris":["http://zotero.org/users/local/Uq1UUqJe/items/X9CIJJ9D"],"uri":["http://zotero.org/users/local/Uq1UUqJe/items/X9CIJJ9D"],"itemData":{"id":1331,"type":"article-journal","container-title":"IOCCG Protocol Series","DOI":"http://dx.doi.org/10.25607/OBP-458","language":"en","page":"17","source":"Zotero","title":"Inherent Optical Property Measurements and Protocols: Best Practices for the Collection and Processing of Ship- Based Underway Flow-Through Optical Data (v4.0)","volume":"4","author":[{"family":"Boss","given":"Emmanuel"},{"family":"Haëntjens","given":"Nils"},{"family":"Ackleson","given":"Steven G"},{"family":"Balch","given":"Barney"},{"family":"Chase","given":"Alison"},{"family":"Dall’Olmo","given":"Giorgio"},{"family":"Freeman","given":"Scott"},{"family":"Liu","given":"Yangyang"},{"family":"Loftin","given":"James"},{"family":"Neary","given":"Wendy"},{"family":"Nelson","given":"Norman"},{"family":"Novak","given":"Mike"},{"family":"Slade","given":"Wayne H"},{"family":"Proctor","given":"Christopher"},{"family":"Tortell","given":"Philippe"},{"family":"Westberry","given":"Toby K"}],"issued":{"date-parts":[["2019"]]}}}],"schema":"https://github.com/citation-style-language/schema/raw/master/csl-citation.json"}</w:instrText>
      </w:r>
      <w:r>
        <w:rPr/>
      </w:r>
      <w:r>
        <w:rPr/>
        <w:fldChar w:fldCharType="separate"/>
      </w:r>
      <w:r>
        <w:rPr/>
      </w:r>
      <w:r>
        <w:rPr>
          <w:rFonts w:cs="Calibri"/>
        </w:rPr>
        <w:t>Dall'Olmo et al. (2009, 2012)</w:t>
      </w:r>
      <w:r>
        <w:rPr/>
      </w:r>
      <w:r>
        <w:rPr/>
        <w:fldChar w:fldCharType="end"/>
      </w:r>
      <w:r>
        <w:rPr/>
        <w:t>, using a custom software for in-line optical data processing ).</w:t>
      </w:r>
    </w:p>
    <w:p>
      <w:pPr>
        <w:pStyle w:val="Normal"/>
        <w:spacing w:lineRule="auto" w:line="240"/>
        <w:jc w:val="both"/>
        <w:rPr>
          <w:sz w:val="28"/>
          <w:szCs w:val="28"/>
        </w:rPr>
      </w:pPr>
      <w:bookmarkStart w:id="0" w:name="_Hlk32162626"/>
      <w:r>
        <w:rPr/>
        <w:t xml:space="preserve">All in-line instruments were logged on the same computer which was synchronized with the ship’s GPS date/time and latitude/longitude. </w:t>
      </w:r>
      <w:bookmarkEnd w:id="0"/>
      <w:r>
        <w:rPr/>
        <w:t xml:space="preserve">Total and filtered data were first separated according to the time stamp. </w:t>
      </w:r>
    </w:p>
    <w:p>
      <w:pPr>
        <w:pStyle w:val="Normal"/>
        <w:spacing w:lineRule="auto" w:line="240"/>
        <w:jc w:val="both"/>
        <w:rPr>
          <w:rFonts w:eastAsia="" w:eastAsiaTheme="minorEastAsia"/>
          <w:sz w:val="28"/>
          <w:szCs w:val="28"/>
        </w:rPr>
      </w:pPr>
      <w:r>
        <w:rPr/>
        <w:t>For each minute of the total seawater measurement, the median signal was computed</w:t>
      </w:r>
      <w:r>
        <w:rPr>
          <w:rFonts w:cs="Calibri" w:cstheme="minorHAnsi"/>
        </w:rPr>
        <w:t xml:space="preserve">. </w:t>
      </w:r>
      <w:r>
        <w:rPr>
          <w:rFonts w:eastAsia="" w:eastAsiaTheme="minorEastAsia"/>
        </w:rPr>
        <w:t xml:space="preserve">Particulate spectra are computed as the difference between total and interpolated dissolved spectra from the periods before and after the ‘total’ measurement periods (e.g. Dall'Olmo et al., 2009; </w:t>
      </w:r>
      <w:r>
        <w:rPr>
          <w:rFonts w:eastAsia="" w:cs="Calibri" w:cstheme="minorHAnsi" w:eastAsiaTheme="minorEastAsia"/>
        </w:rPr>
        <w:t>Slade et al. 2010)</w:t>
      </w:r>
      <w:r>
        <w:rPr>
          <w:rFonts w:eastAsia="" w:eastAsiaTheme="minorEastAsia"/>
        </w:rPr>
        <w:t>.</w:t>
      </w:r>
    </w:p>
    <w:p>
      <w:pPr>
        <w:pStyle w:val="Normal"/>
        <w:spacing w:lineRule="auto" w:line="240"/>
        <w:jc w:val="both"/>
        <w:rPr>
          <w:rFonts w:cs="Calibri" w:cstheme="minorHAnsi"/>
        </w:rPr>
      </w:pPr>
      <w:r>
        <mc:AlternateContent>
          <mc:Choice Requires="wps">
            <w:drawing>
              <wp:anchor behindDoc="0" distT="0" distB="0" distL="0" distR="0" simplePos="0" locked="0" layoutInCell="1" allowOverlap="1" relativeHeight="2" wp14:anchorId="0E229CFD">
                <wp:simplePos x="0" y="0"/>
                <wp:positionH relativeFrom="margin">
                  <wp:posOffset>1015365</wp:posOffset>
                </wp:positionH>
                <wp:positionV relativeFrom="paragraph">
                  <wp:posOffset>4389755</wp:posOffset>
                </wp:positionV>
                <wp:extent cx="3513455" cy="478790"/>
                <wp:effectExtent l="0" t="0" r="0" b="0"/>
                <wp:wrapNone/>
                <wp:docPr id="1" name="Text Box 2"/>
                <a:graphic xmlns:a="http://schemas.openxmlformats.org/drawingml/2006/main">
                  <a:graphicData uri="http://schemas.microsoft.com/office/word/2010/wordprocessingShape">
                    <wps:wsp>
                      <wps:cNvSpPr/>
                      <wps:spPr>
                        <a:xfrm>
                          <a:off x="0" y="0"/>
                          <a:ext cx="3512880" cy="478080"/>
                        </a:xfrm>
                        <a:prstGeom prst="rect">
                          <a:avLst/>
                        </a:prstGeom>
                        <a:noFill/>
                        <a:ln w="9360">
                          <a:noFill/>
                        </a:ln>
                      </wps:spPr>
                      <wps:style>
                        <a:lnRef idx="0"/>
                        <a:fillRef idx="0"/>
                        <a:effectRef idx="0"/>
                        <a:fontRef idx="minor"/>
                      </wps:style>
                      <wps:txbx>
                        <w:txbxContent>
                          <w:p>
                            <w:pPr>
                              <w:pStyle w:val="FrameContents"/>
                              <w:spacing w:before="0" w:after="160"/>
                              <w:rPr/>
                            </w:pPr>
                            <w:r>
                              <w:rPr>
                                <w:b/>
                                <w:bCs/>
                              </w:rPr>
                              <w:t>Figure 2:</w:t>
                            </w:r>
                            <w:r>
                              <w:rPr/>
                              <w:t xml:space="preserve"> Example of dissolved absorption spectra between 2021/05/02and 2021/06/01 measured with the ACS091</w:t>
                            </w:r>
                          </w:p>
                        </w:txbxContent>
                      </wps:txbx>
                      <wps:bodyPr>
                        <a:noAutofit/>
                      </wps:bodyPr>
                    </wps:wsp>
                  </a:graphicData>
                </a:graphic>
              </wp:anchor>
            </w:drawing>
          </mc:Choice>
          <mc:Fallback>
            <w:pict>
              <v:rect id="shape_0" ID="Text Box 2" stroked="f" style="position:absolute;margin-left:79.95pt;margin-top:345.65pt;width:276.55pt;height:37.6pt;mso-position-horizontal-relative:margin" wp14:anchorId="0E229CFD">
                <w10:wrap type="square"/>
                <v:fill o:detectmouseclick="t" on="false"/>
                <v:stroke color="#3465a4" weight="9360" joinstyle="miter" endcap="flat"/>
                <v:textbox>
                  <w:txbxContent>
                    <w:p>
                      <w:pPr>
                        <w:pStyle w:val="FrameContents"/>
                        <w:spacing w:before="0" w:after="160"/>
                        <w:rPr/>
                      </w:pPr>
                      <w:r>
                        <w:rPr>
                          <w:b/>
                          <w:bCs/>
                        </w:rPr>
                        <w:t>Figure 2:</w:t>
                      </w:r>
                      <w:r>
                        <w:rPr/>
                        <w:t xml:space="preserve"> Example of dissolved absorption spectra between 2021/05/02and 2021/06/01 measured with the ACS091</w:t>
                      </w:r>
                    </w:p>
                  </w:txbxContent>
                </v:textbox>
              </v:rect>
            </w:pict>
          </mc:Fallback>
        </mc:AlternateContent>
      </w:r>
      <w:r>
        <w:rPr>
          <w:rFonts w:eastAsia="" w:cs="Calibri" w:cstheme="minorHAnsi" w:eastAsiaTheme="minorEastAsia"/>
        </w:rPr>
        <w:t>Scattering and temperature/salinity corrections are done as in Slade et al. (2010) and are based on Zaneveld et al., (1994)’s proportional scattering correction (method 3) and on the AC-s specific temperature/salinity tables of Sullivan et al. (2006).</w:t>
      </w:r>
    </w:p>
    <w:p>
      <w:pPr>
        <w:pStyle w:val="Normal"/>
        <w:ind w:left="720" w:right="-705" w:hanging="720"/>
        <w:rPr>
          <w:b/>
          <w:b/>
          <w:u w:val="single"/>
        </w:rPr>
      </w:pPr>
      <w:r>
        <w:rPr>
          <w:b/>
        </w:rPr>
        <w:t>References</w:t>
      </w:r>
    </w:p>
    <w:p>
      <w:pPr>
        <w:pStyle w:val="Bibliography"/>
        <w:ind w:left="567" w:hanging="567"/>
        <w:rPr/>
      </w:pPr>
      <w:r>
        <w:rPr/>
        <w:t>Dall’Olmo, G., Westberry, T. K., Behrenfeld, M. J., Boss, E. &amp; Slade, W. H. Significant contribution of large particles to optical backscattering in the open ocean. BIOGEOSCIENCES 6, 947–967 (2009).</w:t>
      </w:r>
    </w:p>
    <w:p>
      <w:pPr>
        <w:pStyle w:val="Bibliography"/>
        <w:ind w:left="567" w:hanging="567"/>
        <w:rPr>
          <w:rFonts w:ascii="Calibri" w:hAnsi="Calibri" w:cs="Calibri"/>
        </w:rPr>
      </w:pPr>
      <w:r>
        <w:fldChar w:fldCharType="begin"/>
      </w:r>
      <w:r>
        <w:rPr/>
        <w:instrText>ADDIN ZOTERO_BIBL {"uncited":[],"omitted":[],"custom":[]} CSL_BIBLIOGRAPHY</w:instrText>
      </w:r>
      <w:r>
        <w:rPr/>
      </w:r>
      <w:r>
        <w:rPr/>
        <w:fldChar w:fldCharType="separate"/>
      </w:r>
      <w:r>
        <w:rPr/>
      </w:r>
    </w:p>
    <w:p>
      <w:pPr>
        <w:pStyle w:val="Normal"/>
        <w:ind w:left="567" w:hanging="567"/>
        <w:rPr/>
      </w:pPr>
      <w:r>
        <w:rPr/>
        <w:t>Dall’Olmo, G., Boss, E., Behrenfeld, M. J. &amp; Westberry, T. K. Particulate optical scattering coefficients along an Atlantic Meridional Transect. OPTICS EXPRESS 20, 21532–21551 (2012).</w:t>
      </w:r>
    </w:p>
    <w:p>
      <w:pPr>
        <w:pStyle w:val="Bibliography"/>
        <w:ind w:left="567" w:hanging="567"/>
        <w:rPr/>
      </w:pPr>
      <w:r>
        <w:rPr/>
      </w:r>
      <w:r>
        <w:rPr/>
        <w:fldChar w:fldCharType="end"/>
      </w:r>
      <w:r>
        <w:rPr>
          <w:rFonts w:cs="Calibri"/>
        </w:rPr>
        <w:t>Slade, W.H., Boss, E., Dall’Olmo, G., Langner, M.R., Loftin, J., Behrenfeld, M.J., Roesler, C., Westberry, T.K., 2010. Underway and Moored Methods for Improving Accuracy in Measurement of Spectral Particulate Absorption and Attenuation. Journal of Atmospheric and Oceanic Technology 27, 1733–1746. https://doi.org/10.1175/2010JTECHO755.1</w:t>
      </w:r>
    </w:p>
    <w:p>
      <w:pPr>
        <w:pStyle w:val="Normal"/>
        <w:spacing w:before="0" w:after="160"/>
        <w:ind w:left="567" w:right="-705" w:hanging="567"/>
        <w:rPr/>
      </w:pPr>
      <w:r>
        <w:rPr/>
      </w:r>
    </w:p>
    <w:sectPr>
      <w:type w:val="nextPage"/>
      <w:pgSz w:orient="landscape" w:w="15840" w:h="122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c169c"/>
    <w:rPr>
      <w:color w:val="0563C1" w:themeColor="hyperlink"/>
      <w:u w:val="single"/>
    </w:rPr>
  </w:style>
  <w:style w:type="character" w:styleId="BalloonTextChar" w:customStyle="1">
    <w:name w:val="Balloon Text Char"/>
    <w:basedOn w:val="DefaultParagraphFont"/>
    <w:link w:val="BalloonText"/>
    <w:uiPriority w:val="99"/>
    <w:semiHidden/>
    <w:qFormat/>
    <w:rsid w:val="00880df5"/>
    <w:rPr>
      <w:rFonts w:ascii="Segoe UI" w:hAnsi="Segoe UI" w:cs="Segoe UI"/>
      <w:sz w:val="18"/>
      <w:szCs w:val="18"/>
    </w:rPr>
  </w:style>
  <w:style w:type="character" w:styleId="PlaceholderText">
    <w:name w:val="Placeholder Text"/>
    <w:basedOn w:val="DefaultParagraphFont"/>
    <w:uiPriority w:val="99"/>
    <w:semiHidden/>
    <w:qFormat/>
    <w:rsid w:val="002f04bd"/>
    <w:rPr>
      <w:color w:val="808080"/>
    </w:rPr>
  </w:style>
  <w:style w:type="character" w:styleId="Annotationreference">
    <w:name w:val="annotation reference"/>
    <w:basedOn w:val="DefaultParagraphFont"/>
    <w:uiPriority w:val="99"/>
    <w:semiHidden/>
    <w:unhideWhenUsed/>
    <w:qFormat/>
    <w:rsid w:val="000a3b4d"/>
    <w:rPr>
      <w:sz w:val="16"/>
      <w:szCs w:val="16"/>
    </w:rPr>
  </w:style>
  <w:style w:type="character" w:styleId="CommentTextChar" w:customStyle="1">
    <w:name w:val="Comment Text Char"/>
    <w:basedOn w:val="DefaultParagraphFont"/>
    <w:link w:val="CommentText"/>
    <w:uiPriority w:val="99"/>
    <w:semiHidden/>
    <w:qFormat/>
    <w:rsid w:val="000a3b4d"/>
    <w:rPr>
      <w:sz w:val="20"/>
      <w:szCs w:val="20"/>
    </w:rPr>
  </w:style>
  <w:style w:type="character" w:styleId="CommentSubjectChar" w:customStyle="1">
    <w:name w:val="Comment Subject Char"/>
    <w:basedOn w:val="CommentTextChar"/>
    <w:link w:val="CommentSubject"/>
    <w:uiPriority w:val="99"/>
    <w:semiHidden/>
    <w:qFormat/>
    <w:rsid w:val="000a3b4d"/>
    <w:rPr>
      <w:b/>
      <w:bCs/>
      <w:sz w:val="20"/>
      <w:szCs w:val="20"/>
    </w:rPr>
  </w:style>
  <w:style w:type="character" w:styleId="UnresolvedMention">
    <w:name w:val="Unresolved Mention"/>
    <w:basedOn w:val="DefaultParagraphFont"/>
    <w:uiPriority w:val="99"/>
    <w:semiHidden/>
    <w:unhideWhenUsed/>
    <w:qFormat/>
    <w:rsid w:val="00c42a5b"/>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880df5"/>
    <w:pPr>
      <w:spacing w:lineRule="auto" w:line="240" w:before="0" w:after="0"/>
    </w:pPr>
    <w:rPr>
      <w:rFonts w:ascii="Segoe UI" w:hAnsi="Segoe UI" w:cs="Segoe UI"/>
      <w:sz w:val="18"/>
      <w:szCs w:val="18"/>
    </w:rPr>
  </w:style>
  <w:style w:type="paragraph" w:styleId="Bibliography">
    <w:name w:val="Bibliography"/>
    <w:basedOn w:val="Normal"/>
    <w:next w:val="Normal"/>
    <w:uiPriority w:val="37"/>
    <w:unhideWhenUsed/>
    <w:qFormat/>
    <w:rsid w:val="00270402"/>
    <w:pPr>
      <w:spacing w:lineRule="auto" w:line="240" w:before="0" w:after="0"/>
      <w:ind w:left="720" w:hanging="720"/>
    </w:pPr>
    <w:rPr/>
  </w:style>
  <w:style w:type="paragraph" w:styleId="ListParagraph">
    <w:name w:val="List Paragraph"/>
    <w:basedOn w:val="Normal"/>
    <w:uiPriority w:val="34"/>
    <w:qFormat/>
    <w:rsid w:val="006d55d8"/>
    <w:pPr>
      <w:spacing w:before="0" w:after="160"/>
      <w:ind w:left="720" w:hanging="0"/>
      <w:contextualSpacing/>
    </w:pPr>
    <w:rPr/>
  </w:style>
  <w:style w:type="paragraph" w:styleId="Annotationtext">
    <w:name w:val="annotation text"/>
    <w:basedOn w:val="Normal"/>
    <w:link w:val="CommentTextChar"/>
    <w:uiPriority w:val="99"/>
    <w:semiHidden/>
    <w:unhideWhenUsed/>
    <w:qFormat/>
    <w:rsid w:val="000a3b4d"/>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a3b4d"/>
    <w:pPr/>
    <w:rPr>
      <w:b/>
      <w:bC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Application>LibreOffice/6.4.7.2$Linux_X86_64 LibreOffice_project/40$Build-2</Application>
  <Pages>2</Pages>
  <Words>385</Words>
  <Characters>2202</Characters>
  <CharactersWithSpaces>2562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2021-08-18T19:28:00Z</dcterms:created>
  <dc:creator>Guillaume Bourdin</dc:creator>
  <dc:description/>
  <dc:language>en-GB</dc:language>
  <cp:lastModifiedBy/>
  <dcterms:modified xsi:type="dcterms:W3CDTF">2023-04-18T12:22:31Z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zotero-version="5.0.96.2"&gt;&lt;session id="Ng5RzCoe"/&gt;&lt;style id="http://www.zotero.org/styles/estuarine-coastal-and-shelf-science" hasBibliography="1" bibliographyStyleHasBeenSet="1"/&gt;&lt;prefs&gt;&lt;pref name="fieldType" value="Field"/&gt;&lt;/prefs</vt:lpwstr>
  </property>
  <property fmtid="{D5CDD505-2E9C-101B-9397-08002B2CF9AE}" pid="9" name="ZOTERO_PREF_2">
    <vt:lpwstr>&gt;&lt;/data&gt;</vt:lpwstr>
  </property>
</Properties>
</file>