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C13B" w14:textId="77777777" w:rsidR="00B5454D" w:rsidRPr="00030264" w:rsidRDefault="00B5454D" w:rsidP="00B5454D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01AA537" w14:textId="77777777" w:rsidR="00B5454D" w:rsidRPr="009950E6" w:rsidRDefault="00B5454D" w:rsidP="00B5454D">
      <w:pPr>
        <w:pStyle w:val="Heading2"/>
      </w:pPr>
      <w:r w:rsidRPr="009950E6">
        <w:rPr>
          <w:rFonts w:eastAsiaTheme="minorHAnsi"/>
        </w:rPr>
        <w:t>Lab</w:t>
      </w:r>
      <w:r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0940EBFA" w14:textId="21F3BC58" w:rsidR="00B5454D" w:rsidRPr="009950E6" w:rsidRDefault="00B5454D" w:rsidP="00B5454D">
      <w:pPr>
        <w:pStyle w:val="Heading3"/>
      </w:pPr>
      <w:r w:rsidRPr="009950E6">
        <w:rPr>
          <w:rFonts w:eastAsiaTheme="minorHAnsi"/>
        </w:rPr>
        <w:t xml:space="preserve">Exercise </w:t>
      </w:r>
      <w:r w:rsidR="004C67DE">
        <w:rPr>
          <w:rFonts w:eastAsiaTheme="minorHAnsi"/>
        </w:rPr>
        <w:t>4</w:t>
      </w:r>
      <w:r w:rsidRPr="009950E6">
        <w:rPr>
          <w:rFonts w:eastAsiaTheme="minorHAnsi"/>
        </w:rPr>
        <w:t xml:space="preserve">: </w:t>
      </w:r>
      <w:r w:rsidR="004C67DE">
        <w:rPr>
          <w:rFonts w:eastAsiaTheme="minorHAnsi"/>
        </w:rPr>
        <w:t>Manage Disaster recovery</w:t>
      </w:r>
    </w:p>
    <w:p w14:paraId="159C5FC1" w14:textId="77777777" w:rsidR="003D4A3A" w:rsidRDefault="003D4A3A" w:rsidP="003D4A3A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EB26D89" w14:textId="56018718" w:rsidR="004C67DE" w:rsidRPr="003D4A3A" w:rsidRDefault="004C67DE" w:rsidP="003D4A3A">
      <w:pPr>
        <w:shd w:val="clear" w:color="auto" w:fill="FFFFFF"/>
        <w:spacing w:line="285" w:lineRule="atLeast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>There are concerns around the recovery of the Products database that is stored in the</w:t>
      </w:r>
      <w:r w:rsidR="003D4A3A">
        <w:rPr>
          <w:rFonts w:ascii="Segoe UI" w:hAnsi="Segoe UI" w:cs="Segoe UI"/>
        </w:rPr>
        <w:t xml:space="preserve"> </w:t>
      </w:r>
      <w:proofErr w:type="spellStart"/>
      <w:r w:rsidR="003D4A3A" w:rsidRPr="003D4A3A">
        <w:rPr>
          <w:rFonts w:ascii="Segoe UI" w:hAnsi="Segoe UI" w:cs="Segoe UI"/>
        </w:rPr>
        <w:t>awcdbstudxx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Cosmos DB</w:t>
      </w:r>
      <w:r>
        <w:rPr>
          <w:rFonts w:ascii="Segoe UI" w:hAnsi="Segoe UI" w:cs="Segoe UI"/>
        </w:rPr>
        <w:t xml:space="preserve">. </w:t>
      </w:r>
      <w:r w:rsidR="003D4A3A">
        <w:rPr>
          <w:rFonts w:ascii="Segoe UI" w:hAnsi="Segoe UI" w:cs="Segoe UI"/>
        </w:rPr>
        <w:t xml:space="preserve">The IS department has asked you to provide high level steps that would be taken </w:t>
      </w:r>
      <w:proofErr w:type="gramStart"/>
      <w:r w:rsidR="003D4A3A">
        <w:rPr>
          <w:rFonts w:ascii="Segoe UI" w:hAnsi="Segoe UI" w:cs="Segoe UI"/>
        </w:rPr>
        <w:t>in the event that</w:t>
      </w:r>
      <w:proofErr w:type="gramEnd"/>
      <w:r w:rsidR="003D4A3A">
        <w:rPr>
          <w:rFonts w:ascii="Segoe UI" w:hAnsi="Segoe UI" w:cs="Segoe UI"/>
        </w:rPr>
        <w:t xml:space="preserve"> the products database has become unavailable through an accidental deletion or removal of the database.</w:t>
      </w:r>
    </w:p>
    <w:bookmarkEnd w:id="0"/>
    <w:p w14:paraId="7AA7D9A2" w14:textId="77777777" w:rsidR="00B5454D" w:rsidRDefault="00B5454D" w:rsidP="00B5454D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3D4A3A" w14:paraId="049C0FE8" w14:textId="77777777" w:rsidTr="003D4A3A">
        <w:tc>
          <w:tcPr>
            <w:tcW w:w="846" w:type="dxa"/>
          </w:tcPr>
          <w:p w14:paraId="14551B28" w14:textId="25D3D649" w:rsidR="003D4A3A" w:rsidRDefault="003D4A3A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 #</w:t>
            </w:r>
          </w:p>
        </w:tc>
        <w:tc>
          <w:tcPr>
            <w:tcW w:w="8080" w:type="dxa"/>
          </w:tcPr>
          <w:p w14:paraId="1FFF9863" w14:textId="472DF652" w:rsidR="003D4A3A" w:rsidRDefault="003D4A3A" w:rsidP="00A1439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Recovery Steps</w:t>
            </w:r>
          </w:p>
        </w:tc>
      </w:tr>
      <w:tr w:rsidR="00D25299" w14:paraId="480B7B63" w14:textId="77777777" w:rsidTr="003D4A3A">
        <w:tc>
          <w:tcPr>
            <w:tcW w:w="846" w:type="dxa"/>
          </w:tcPr>
          <w:p w14:paraId="721AEA74" w14:textId="77777777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080" w:type="dxa"/>
          </w:tcPr>
          <w:p w14:paraId="0DA166AB" w14:textId="6F135543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Have the subscription ID ready.</w:t>
            </w:r>
          </w:p>
        </w:tc>
      </w:tr>
      <w:tr w:rsidR="00D25299" w14:paraId="2F72B73D" w14:textId="77777777" w:rsidTr="003D4A3A">
        <w:tc>
          <w:tcPr>
            <w:tcW w:w="846" w:type="dxa"/>
          </w:tcPr>
          <w:p w14:paraId="7B895762" w14:textId="77777777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080" w:type="dxa"/>
          </w:tcPr>
          <w:p w14:paraId="5EEA434F" w14:textId="53BADFB4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Have the Cosmos Account Name 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ready.</w:t>
            </w:r>
            <w:proofErr w:type="gramEnd"/>
          </w:p>
        </w:tc>
      </w:tr>
      <w:tr w:rsidR="00D25299" w14:paraId="1D2690E7" w14:textId="77777777" w:rsidTr="003D4A3A">
        <w:tc>
          <w:tcPr>
            <w:tcW w:w="846" w:type="dxa"/>
          </w:tcPr>
          <w:p w14:paraId="2F14BCE9" w14:textId="5B971613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080" w:type="dxa"/>
          </w:tcPr>
          <w:p w14:paraId="49A013DB" w14:textId="4324D9AD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Have the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Azure Cosmos database name ready</w:t>
            </w:r>
          </w:p>
        </w:tc>
      </w:tr>
      <w:tr w:rsidR="00D25299" w14:paraId="5B319532" w14:textId="77777777" w:rsidTr="003D4A3A">
        <w:tc>
          <w:tcPr>
            <w:tcW w:w="846" w:type="dxa"/>
          </w:tcPr>
          <w:p w14:paraId="3A69839D" w14:textId="4E36C9EB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080" w:type="dxa"/>
          </w:tcPr>
          <w:p w14:paraId="7CEAEA75" w14:textId="77BFA127" w:rsidR="00D25299" w:rsidRDefault="00D25299" w:rsidP="00D25299">
            <w:pPr>
              <w:rPr>
                <w:rFonts w:ascii="Segoe UI" w:hAnsi="Segoe UI" w:cs="Segoe UI"/>
              </w:rPr>
            </w:pPr>
            <w:hyperlink r:id="rId4" w:anchor="blade/Microsoft_Azure_Support/HelpAndSupportBlade" w:history="1">
              <w:r>
                <w:rPr>
                  <w:rStyle w:val="Hyperlink"/>
                  <w:rFonts w:ascii="Segoe UI" w:hAnsi="Segoe UI" w:cs="Segoe UI"/>
                </w:rPr>
                <w:t>file a support ticket</w:t>
              </w:r>
            </w:hyperlink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or </w:t>
            </w:r>
            <w:hyperlink r:id="rId5" w:history="1">
              <w:r>
                <w:rPr>
                  <w:rStyle w:val="Hyperlink"/>
                  <w:rFonts w:ascii="Segoe UI" w:hAnsi="Segoe UI" w:cs="Segoe UI"/>
                </w:rPr>
                <w:t>call Azure support</w:t>
              </w:r>
            </w:hyperlink>
          </w:p>
        </w:tc>
      </w:tr>
      <w:tr w:rsidR="00D25299" w14:paraId="06A9B8D8" w14:textId="77777777" w:rsidTr="003D4A3A">
        <w:tc>
          <w:tcPr>
            <w:tcW w:w="846" w:type="dxa"/>
          </w:tcPr>
          <w:p w14:paraId="5DB39F69" w14:textId="26ED0F3E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080" w:type="dxa"/>
          </w:tcPr>
          <w:p w14:paraId="4EF77754" w14:textId="1551C3FA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O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pen a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Sev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B or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Sev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C Azure support case</w:t>
            </w:r>
          </w:p>
        </w:tc>
      </w:tr>
      <w:tr w:rsidR="00D25299" w14:paraId="1D07776A" w14:textId="77777777" w:rsidTr="003D4A3A">
        <w:tc>
          <w:tcPr>
            <w:tcW w:w="846" w:type="dxa"/>
          </w:tcPr>
          <w:p w14:paraId="570610E0" w14:textId="6F6E9350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080" w:type="dxa"/>
          </w:tcPr>
          <w:p w14:paraId="1EC23F6A" w14:textId="7D17629D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After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restore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of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the data, a notification about the name of the new account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is provided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(it’s typically in the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format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&lt;original-name&gt;-restored1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)</w:t>
            </w:r>
          </w:p>
        </w:tc>
      </w:tr>
      <w:tr w:rsidR="00D25299" w14:paraId="01048946" w14:textId="77777777" w:rsidTr="003D4A3A">
        <w:tc>
          <w:tcPr>
            <w:tcW w:w="846" w:type="dxa"/>
          </w:tcPr>
          <w:p w14:paraId="0048E445" w14:textId="00166372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080" w:type="dxa"/>
          </w:tcPr>
          <w:p w14:paraId="0769CDB0" w14:textId="57DB8E51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Review the restored data to validate a recovery</w:t>
            </w:r>
          </w:p>
        </w:tc>
      </w:tr>
      <w:tr w:rsidR="00D25299" w14:paraId="63C4F861" w14:textId="77777777" w:rsidTr="003D4A3A">
        <w:tc>
          <w:tcPr>
            <w:tcW w:w="846" w:type="dxa"/>
          </w:tcPr>
          <w:p w14:paraId="38D64A70" w14:textId="04B6EC7D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080" w:type="dxa"/>
          </w:tcPr>
          <w:p w14:paraId="0FF276D1" w14:textId="189FEBF6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igrate the data back to your original account using </w:t>
            </w:r>
            <w:hyperlink r:id="rId6" w:history="1">
              <w:r>
                <w:rPr>
                  <w:rStyle w:val="Hyperlink"/>
                  <w:rFonts w:ascii="Segoe UI" w:hAnsi="Segoe UI" w:cs="Segoe UI"/>
                </w:rPr>
                <w:t>Azure Cosmos DB change feed</w:t>
              </w:r>
            </w:hyperlink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or </w:t>
            </w:r>
            <w:hyperlink r:id="rId7" w:history="1">
              <w:r>
                <w:rPr>
                  <w:rStyle w:val="Hyperlink"/>
                  <w:rFonts w:ascii="Segoe UI" w:hAnsi="Segoe UI" w:cs="Segoe UI"/>
                </w:rPr>
                <w:t>Azure Data Factory</w:t>
              </w:r>
            </w:hyperlink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</w:tr>
      <w:tr w:rsidR="00D25299" w14:paraId="387D4D3D" w14:textId="77777777" w:rsidTr="003D4A3A">
        <w:tc>
          <w:tcPr>
            <w:tcW w:w="846" w:type="dxa"/>
          </w:tcPr>
          <w:p w14:paraId="780ADD62" w14:textId="3BC37692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8080" w:type="dxa"/>
          </w:tcPr>
          <w:p w14:paraId="53DBF61B" w14:textId="4EC2FB3C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Verify the successful migration.</w:t>
            </w:r>
          </w:p>
        </w:tc>
      </w:tr>
      <w:tr w:rsidR="00D25299" w14:paraId="5673321B" w14:textId="77777777" w:rsidTr="003D4A3A">
        <w:tc>
          <w:tcPr>
            <w:tcW w:w="846" w:type="dxa"/>
          </w:tcPr>
          <w:p w14:paraId="6B4AEFFA" w14:textId="30C21584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8080" w:type="dxa"/>
          </w:tcPr>
          <w:p w14:paraId="34E5296E" w14:textId="04F6124A" w:rsidR="00D25299" w:rsidRDefault="00D25299" w:rsidP="00D2529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Delete the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&lt;original-name&gt;-restored1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5EEC722E" w14:textId="77777777" w:rsidR="00B5454D" w:rsidRPr="007737BE" w:rsidRDefault="00B5454D" w:rsidP="00B5454D"/>
    <w:p w14:paraId="19C66B86" w14:textId="77777777" w:rsidR="00DE5344" w:rsidRPr="00B5454D" w:rsidRDefault="00DE5344" w:rsidP="00B5454D"/>
    <w:sectPr w:rsidR="00DE5344" w:rsidRPr="00B5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3D4A3A"/>
    <w:rsid w:val="004C67DE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B5454D"/>
    <w:rsid w:val="00BC23E1"/>
    <w:rsid w:val="00BF622C"/>
    <w:rsid w:val="00C95D43"/>
    <w:rsid w:val="00D25299"/>
    <w:rsid w:val="00DE5344"/>
    <w:rsid w:val="00E00A5A"/>
    <w:rsid w:val="00F67B70"/>
    <w:rsid w:val="00FC207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4D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D4A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5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data-factory/connector-azure-cosmos-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cosmos-db/change-feed" TargetMode="External"/><Relationship Id="rId5" Type="http://schemas.openxmlformats.org/officeDocument/2006/relationships/hyperlink" Target="https://azure.microsoft.com/support/options/" TargetMode="External"/><Relationship Id="rId4" Type="http://schemas.openxmlformats.org/officeDocument/2006/relationships/hyperlink" Target="https://portal.azure.com/?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21</cp:revision>
  <dcterms:created xsi:type="dcterms:W3CDTF">2019-04-01T14:56:00Z</dcterms:created>
  <dcterms:modified xsi:type="dcterms:W3CDTF">2019-04-11T13:38:00Z</dcterms:modified>
</cp:coreProperties>
</file>