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- 434 - to light your way and make it clear to you. God's Son is one. Whom God has joined as one. the ego cannot put asunder. The spark of holiness muist be safe, however hidden it may be, in every relationship. For the Creator of the one relationship has left no part of it without Himself. This is the only part of the relationship the Holy Spirit sees, because He knows that only this is true. You have made the relationship unreal, and therefore unholy, by seeing it where it is not and as it is not. Give the past to Him Who can change your mind about it for you. But first, be sure you fully realize what you have made the past to represent, and why. The past becomes the justification for entering into a continuing, unholy alliance with the ego against the present. For the present is forgivenes 8. Therefore, the relationships the unholy alliance dictates are not perceived nor felt as now. Yet the frame of reference to which the present is referred for meaning is an illusion of the past, in which those elements that fit the purpose of the unholy alliance are retained, and all the rest let go. And what is thus let go is all the truth the past could ever offer to the present as witnesses for its reality. What is kept but witnesses to the reality of dreams. But It is still up to you to choose to join with truth or with illusion. remember that to choose one is to let the other go. Which one you choose you will endow with beauty and reality, because the choice depends on which you value more. The spark of beauty or the veil of ugliness, the real world or the world of guilt and fear, truth or illusion, freedom or slavery. is all the same. For you can never choose except between God and the ego. Thought systems are but true or false, and all their attributes come simply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