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svg" ContentType="image/svg+xml"/>
  <Override PartName="/word/media/rId47.svg" ContentType="image/svg+xml"/>
  <Override PartName="/word/media/rId60.svg" ContentType="image/svg+xml"/>
  <Override PartName="/word/media/rId76.svg" ContentType="image/svg+xml"/>
  <Override PartName="/word/media/rId92.svg" ContentType="image/svg+xml"/>
  <Override PartName="/word/media/rId109.svg" ContentType="image/svg+xml"/>
  <Override PartName="/word/media/rId125.svg" ContentType="image/svg+xml"/>
  <Override PartName="/word/media/rId142.svg" ContentType="image/svg+xml"/>
  <Override PartName="/word/media/rId156.svg" ContentType="image/svg+xml"/>
  <Override PartName="/word/media/rId173.svg" ContentType="image/svg+xml"/>
  <Override PartName="/word/media/rId191.svg" ContentType="image/svg+xml"/>
  <Override PartName="/word/media/rId210.svg" ContentType="image/svg+xml"/>
  <Override PartName="/word/media/rId227.svg" ContentType="image/svg+xml"/>
  <Override PartName="/word/media/rId243.svg" ContentType="image/svg+xml"/>
  <Override PartName="/word/media/rId258.svg" ContentType="image/svg+xml"/>
  <Override PartName="/word/media/rId277.svg" ContentType="image/svg+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Date"/>
      </w:pPr>
      <w:r>
        <w:t xml:space="preserve">2026-09-30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Heading1"/>
      </w:pPr>
      <w:bookmarkStart w:id="20" w:name="copyright"/>
      <w:r>
        <w:t xml:space="preserve">Copyright</w:t>
      </w:r>
      <w:bookmarkEnd w:id="20"/>
    </w:p>
    <w:p>
      <w:pPr>
        <w:pStyle w:val="FirstParagraph"/>
      </w:pPr>
      <w:r>
        <w:t xml:space="preserve">Copyright 2026 Terrence J McLaughlin.</w:t>
      </w:r>
    </w:p>
    <w:p>
      <w:pPr>
        <w:pStyle w:val="BodyText"/>
      </w:pPr>
      <w:r>
        <w:t xml:space="preserve">This book is distributed as part of a public cognitive instrument.</w:t>
      </w:r>
    </w:p>
    <w:p>
      <w:pPr>
        <w:pStyle w:val="BodyText"/>
      </w:pPr>
      <w:r>
        <w:t xml:space="preserve">For the repository, tools, and supporting materials, see the project homepage.</w:t>
      </w:r>
    </w:p>
    <w:p>
      <w:pPr>
        <w:pStyle w:val="Heading1"/>
      </w:pPr>
      <w:bookmarkStart w:id="21" w:name="dedication"/>
      <w:r>
        <w:t xml:space="preserve">Dedication</w:t>
      </w:r>
      <w:bookmarkEnd w:id="21"/>
    </w:p>
    <w:p>
      <w:pPr>
        <w:pStyle w:val="FirstParagraph"/>
      </w:pPr>
      <w:r>
        <w:t xml:space="preserve">For everyone who has ever tried to understand a system by working with it.</w:t>
      </w:r>
    </w:p>
    <w:p>
      <w:pPr>
        <w:pStyle w:val="BodyText"/>
      </w:pPr>
      <w:r>
        <w:t xml:space="preserve">This book was written in that spirit — a collaboration between a human and a machine, each extending the other’s reach.</w:t>
      </w:r>
    </w:p>
    <w:p>
      <w:pPr>
        <w:pStyle w:val="Heading1"/>
      </w:pPr>
      <w:bookmarkStart w:id="22" w:name="epigraph"/>
      <w:r>
        <w:t xml:space="preserve">Epigraph</w:t>
      </w:r>
      <w:bookmarkEnd w:id="22"/>
    </w:p>
    <w:p>
      <w:pPr>
        <w:pStyle w:val="BlockText"/>
      </w:pPr>
      <w:r>
        <w:t xml:space="preserve">Understanding is not delivered.</w:t>
      </w:r>
    </w:p>
    <w:p>
      <w:pPr>
        <w:pStyle w:val="BlockText"/>
      </w:pPr>
      <w:r>
        <w:t xml:space="preserve">It is composed — with whatever instruments you trust enough to think with.</w:t>
      </w:r>
    </w:p>
    <w:p>
      <w:pPr>
        <w:pStyle w:val="Heading1"/>
      </w:pPr>
      <w:bookmarkStart w:id="23" w:name="promise-to-the-reader"/>
      <w:r>
        <w:t xml:space="preserve">Promise to the Reader</w:t>
      </w:r>
      <w:bookmarkEnd w:id="23"/>
    </w:p>
    <w:p>
      <w:pPr>
        <w:pStyle w:val="FirstParagraph"/>
      </w:pPr>
      <w:r>
        <w:t xml:space="preserve">Claims about a tool must begin with operations its design enables and evidence demonstrates, not capacities projected onto it by metaphor.</w:t>
      </w:r>
    </w:p>
    <w:p>
      <w:pPr>
        <w:pStyle w:val="BodyText"/>
      </w:pPr>
      <w:r>
        <w:t xml:space="preserve">This book treats a transformer as an engineered computational architecture. It operates on numerical representations through parameterized tensor transformations implemented by programs, runtimes, and physical machines. Those mechanisms and their measured limits are this book’s evidence.</w:t>
      </w:r>
    </w:p>
    <w:p>
      <w:pPr>
        <w:pStyle w:val="BodyText"/>
      </w:pPr>
      <w:r>
        <w:t xml:space="preserve">Fluent output does not by itself establish that the architecture is a person, author, interpreter, semantic agent, or understanding subject. This book also does not turn its failure to establish those predicates into a proof that they are impossible under every account of meaning or interpretation. It is narrower than that, and stays narrower on purpose.</w:t>
      </w:r>
    </w:p>
    <w:p>
      <w:pPr>
        <w:pStyle w:val="BodyText"/>
      </w:pPr>
      <w:r>
        <w:t xml:space="preserve">You do not need to begin with differential geometry, machine learning, or systems programming. You already understand the point of entry: a system has components, interfaces, and constraints. Architecture makes complexity inspectable.</w:t>
      </w:r>
    </w:p>
    <w:p>
      <w:pPr>
        <w:pStyle w:val="BodyText"/>
      </w:pPr>
      <w:r>
        <w:t xml:space="preserve">Every chapter that follows performs its argument rather than merely asserting it: a claim is paired with an inspectable structure, an executable probe, or a worked derivation, and its limits are stated at the same level of confidence as its conclusions.</w:t>
      </w:r>
    </w:p>
    <w:p>
      <w:pPr>
        <w:pStyle w:val="Heading1"/>
      </w:pPr>
      <w:bookmarkStart w:id="24" w:name="how-to-read-this-book"/>
      <w:r>
        <w:t xml:space="preserve">How to Read This Book</w:t>
      </w:r>
      <w:bookmarkEnd w:id="24"/>
    </w:p>
    <w:p>
      <w:pPr>
        <w:pStyle w:val="FirstParagraph"/>
      </w:pPr>
      <w:r>
        <w:t xml:space="preserve">This book follows three journeys that developed at different rates and solved different problems: the conceptual lineage of artificial intelligence, the mathematics that made learning expressible and trainable, and the programming systems that made those ideas executable. They meet in the transformer, but meeting is not merging - the book preserves each lineage’s distinct contribution rather than collapsing them into one vocabulary.</w:t>
      </w:r>
    </w:p>
    <w:p>
      <w:pPr>
        <w:pStyle w:val="BodyText"/>
      </w:pPr>
      <w:r>
        <w:t xml:space="preserve">Sixteen chapters are organized into four parts. Part I builds shared structural vocabulary. Part II adds learning and scale. Part III assembles attention into architecture. Part IV brings the three journeys to one executable object and tests its measured limits. Each chapter closes with a probe - executable where appropriate, a worked derivation or primary source otherwise - so that a claim is never left standing on assertion alone.</w:t>
      </w:r>
    </w:p>
    <w:p>
      <w:pPr>
        <w:pStyle w:val="BodyText"/>
      </w:pPr>
      <w:r>
        <w:t xml:space="preserve">Rust supplies the organizing flavor for the programming journey, because ownership, borrowing, traits, modules, and compilation keep architectural constraints visible. Rust is not literally a transformer, and attention is not literally borrowing; the comparison is methodological, not an identity claim.</w:t>
      </w:r>
    </w:p>
    <w:p>
      <w:pPr>
        <w:pStyle w:val="BodyText"/>
      </w:pPr>
      <w:r>
        <w:t xml:space="preserve">Beside the narrative sits a second, terser layer:</w:t>
      </w:r>
      <w:r>
        <w:t xml:space="preserve"> </w:t>
      </w:r>
      <w:r>
        <w:rPr>
          <w:rStyle w:val="VerbatimChar"/>
        </w:rPr>
        <w:t xml:space="preserve">man/</w:t>
      </w:r>
      <w:r>
        <w:t xml:space="preserve">, a lookup reference in the Unix man-page tradition, one page per operation -</w:t>
      </w:r>
      <w:r>
        <w:t xml:space="preserve"> </w:t>
      </w:r>
      <w:r>
        <w:rPr>
          <w:rStyle w:val="VerbatimChar"/>
        </w:rPr>
        <w:t xml:space="preserve">attention</w:t>
      </w:r>
      <w:r>
        <w:t xml:space="preserve">,</w:t>
      </w:r>
      <w:r>
        <w:t xml:space="preserve"> </w:t>
      </w:r>
      <w:r>
        <w:rPr>
          <w:rStyle w:val="VerbatimChar"/>
        </w:rPr>
        <w:t xml:space="preserve">softmax</w:t>
      </w:r>
      <w:r>
        <w:t xml:space="preserve">,</w:t>
      </w:r>
      <w:r>
        <w:t xml:space="preserve"> </w:t>
      </w:r>
      <w:r>
        <w:rPr>
          <w:rStyle w:val="VerbatimChar"/>
        </w:rPr>
        <w:t xml:space="preserve">gradient-descent</w:t>
      </w:r>
      <w:r>
        <w:t xml:space="preserve">,</w:t>
      </w:r>
      <w:r>
        <w:t xml:space="preserve"> </w:t>
      </w:r>
      <w:r>
        <w:rPr>
          <w:rStyle w:val="VerbatimChar"/>
        </w:rPr>
        <w:t xml:space="preserve">transformer-block</w:t>
      </w:r>
      <w:r>
        <w:t xml:space="preserve">, and others. A man page does not teach; it states what an operation does, what it does not do, and where its evidence lives. Read it the way you would reach for a manual page mid-task: not to be taught again, but to confirm a contract you already half-remember. Start with</w:t>
      </w:r>
      <w:r>
        <w:t xml:space="preserve"> </w:t>
      </w:r>
      <w:r>
        <w:rPr>
          <w:rStyle w:val="VerbatimChar"/>
        </w:rPr>
        <w:t xml:space="preserve">man/man.md</w:t>
      </w:r>
      <w:r>
        <w:t xml:space="preserve"> </w:t>
      </w:r>
      <w:r>
        <w:t xml:space="preserve">if you want the convention explained before the components.</w:t>
      </w:r>
    </w:p>
    <w:p>
      <w:pPr>
        <w:pStyle w:val="BodyText"/>
      </w:pPr>
      <w:r>
        <w:t xml:space="preserve">You do not need to master every chapter before moving to the next. You need to keep enough of each part’s handoff in view that later chapters can build on it without re-teaching it. Where a chapter reaches a boundary - what its evidence does not establish - it says so explicitly. Those boundaries are not evasions. They are where this book stops and Book Three’s philosophical inquiry begins.</w:t>
      </w:r>
    </w:p>
    <w:p>
      <w:pPr>
        <w:pStyle w:val="Heading1"/>
      </w:pPr>
      <w:bookmarkStart w:id="25" w:name="preface"/>
      <w:r>
        <w:t xml:space="preserve">Preface</w:t>
      </w:r>
      <w:bookmarkEnd w:id="25"/>
    </w:p>
    <w:p>
      <w:pPr>
        <w:pStyle w:val="FirstParagraph"/>
      </w:pPr>
      <w:r>
        <w:t xml:space="preserve">The transformer did not appear alone. It emerged from three long journeys: the development of ideas in artificial intelligence, the mathematics that made those ideas expressible and trainable, and the programming languages, systems, and tools that made them executable.</w:t>
      </w:r>
    </w:p>
    <w:p>
      <w:pPr>
        <w:pStyle w:val="BodyText"/>
      </w:pPr>
      <w:r>
        <w:t xml:space="preserve">This book follows those journeys together. It treats the transformer neither as magic nor as an isolated invention, but as an architecture: a system assembled from earlier structures, constrained by its design, and made useful through programming.</w:t>
      </w:r>
    </w:p>
    <w:p>
      <w:pPr>
        <w:pStyle w:val="BodyText"/>
      </w:pPr>
      <w:r>
        <w:t xml:space="preserve">The author is a pointer:</w:t>
      </w:r>
      <w:r>
        <w:t xml:space="preserve"> </w:t>
      </w:r>
      <w:r>
        <w:rPr>
          <w:rStyle w:val="VerbatimChar"/>
        </w:rPr>
        <w:t xml:space="preserve">*ptr</w:t>
      </w:r>
      <w:r>
        <w:t xml:space="preserve">. A pointer does not own the thing to which it refers. It makes a location reachable. This book does not tell you what you must conclude about the nature of AI. It points to architectures, lineages, experiments, limits, and tools you can inspect for yourself.</w:t>
      </w:r>
    </w:p>
    <w:p>
      <w:pPr>
        <w:pStyle w:val="BodyText"/>
      </w:pPr>
      <w:r>
        <w:t xml:space="preserve">Book One met AI by conversation, building, testing, and reverse engineering. This book, Book Two, follows the convergence of AI, mathematics, and programming into the transformer, and ends with measured limits rather than an ontology of intelligence. Book Three takes up what happens when those limits meet philosophical inquiry.</w:t>
      </w:r>
    </w:p>
    <w:p>
      <w:pPr>
        <w:pStyle w:val="BodyText"/>
      </w:pPr>
      <w:r>
        <w:t xml:space="preserve">What follows is written to be tested, not admired.</w:t>
      </w:r>
    </w:p>
    <w:p>
      <w:pPr>
        <w:pStyle w:val="Heading1"/>
      </w:pPr>
      <w:bookmarkStart w:id="26" w:name="from-book-one"/>
      <w:r>
        <w:t xml:space="preserve">From Book One</w:t>
      </w:r>
      <w:bookmarkEnd w:id="26"/>
    </w:p>
    <w:p>
      <w:pPr>
        <w:pStyle w:val="FirstParagraph"/>
      </w:pPr>
      <w:r>
        <w:rPr>
          <w:i/>
        </w:rPr>
        <w:t xml:space="preserve">The Geometry of Meaning</w:t>
      </w:r>
      <w:r>
        <w:t xml:space="preserve"> </w:t>
      </w:r>
      <w:r>
        <w:t xml:space="preserve">begins at human scale.</w:t>
      </w:r>
    </w:p>
    <w:p>
      <w:pPr>
        <w:pStyle w:val="BodyText"/>
      </w:pPr>
      <w:r>
        <w:t xml:space="preserve">Book One,</w:t>
      </w:r>
      <w:r>
        <w:t xml:space="preserve"> </w:t>
      </w:r>
      <w:r>
        <w:rPr>
          <w:i/>
        </w:rPr>
        <w:t xml:space="preserve">Embedding Geometry</w:t>
      </w:r>
      <w:r>
        <w:t xml:space="preserve">, met AI through conversation, building, testing, and reverse engineering. Its governing discovery was practical: structure makes the tool more inspectable, but only execution and testing establish what can be trusted. The human supplies purpose, judgment, and responsibility; the transformer extends relational reach; tools make the work observable.</w:t>
      </w:r>
    </w:p>
    <w:p>
      <w:pPr>
        <w:pStyle w:val="BodyText"/>
      </w:pPr>
      <w:r>
        <w:t xml:space="preserve">Book Two begins where that encounter leaves a technical question. What is the machine whose behavior became visible through use?</w:t>
      </w:r>
    </w:p>
    <w:p>
      <w:pPr>
        <w:pStyle w:val="BodyText"/>
      </w:pPr>
      <w:r>
        <w:t xml:space="preserve">The answer requires an excursion through three lineages: artificial intelligence, the mathematics that makes learning expressible, and the programming systems that make those ideas executable. No conclusion from Book One is treated as a substitute for this inspection. Its workflow becomes the method used here:</w:t>
      </w:r>
    </w:p>
    <w:p>
      <w:pPr>
        <w:pStyle w:val="BodyText"/>
      </w:pPr>
      <w:r>
        <w:rPr>
          <w:b/>
        </w:rPr>
        <w:t xml:space="preserve">Conversation → Build → Test → Reverse Engineer → Conversation Update</w:t>
      </w:r>
    </w:p>
    <w:p>
      <w:pPr>
        <w:pStyle w:val="BodyText"/>
      </w:pPr>
      <w:r>
        <w:t xml:space="preserve">This volume can be read independently. Readers arriving from Book One carry the human-scale encounter into the architecture; readers beginning here can follow the machinery without reconstructing the earlier journey.</w:t>
      </w:r>
    </w:p>
    <w:p>
      <w:pPr>
        <w:pStyle w:val="Heading1"/>
      </w:pPr>
      <w:bookmarkStart w:id="27" w:name="chapter-1"/>
      <w:r>
        <w:t xml:space="preserve">Chapter 1 — Rules, Operations, and Programs</w:t>
      </w:r>
      <w:bookmarkEnd w:id="27"/>
    </w:p>
    <w:p>
      <w:pPr>
        <w:pStyle w:val="FirstParagraph"/>
      </w:pPr>
      <w:r>
        <w:t xml:space="preserve">“</w:t>
      </w:r>
      <w:r>
        <w:t xml:space="preserve">Follow the rules</w:t>
      </w:r>
      <w:r>
        <w:t xml:space="preserve">”</w:t>
      </w:r>
      <w:r>
        <w:t xml:space="preserve"> </w:t>
      </w:r>
      <w:r>
        <w:t xml:space="preserve">sounds precise until we ask what is doing the following.</w:t>
      </w:r>
    </w:p>
    <w:p>
      <w:pPr>
        <w:pStyle w:val="BodyText"/>
      </w:pPr>
      <w:r>
        <w:t xml:space="preserve">A mathematical operation can be defined without anyone carrying it out. A symbolic rule can be applicable without being selected. A program can compile without corresponding to anything outside the machine. All three can produce an orderly sequence of represented states, yet the source of that order differs in each case.</w:t>
      </w:r>
    </w:p>
    <w:p>
      <w:pPr>
        <w:pStyle w:val="BodyText"/>
      </w:pPr>
      <w:r>
        <w:t xml:space="preserve">That distinction matters because a transformer eventually involves all three kinds of structure. Its numerical operations have mathematical definitions. Its design belongs to a history of artificial intelligence that includes explicit symbols, rules, and search. Its behavior exists only because programs express those operations in forms that languages, compilers, runtimes, and hardware can execute. If we call every constraint a rule, those layers blur just when we need to follow them carefully.</w:t>
      </w:r>
    </w:p>
    <w:p>
      <w:pPr>
        <w:pStyle w:val="BodyText"/>
      </w:pPr>
      <w:r>
        <w:t xml:space="preserve">This chapter starts smaller than a transformer. We will use one modeled door with three states and two possible transitions. The example is deliberately narrow enough that every permitted step, rejected step, and limitation remains visible.</w:t>
      </w:r>
    </w:p>
    <w:p>
      <w:pPr>
        <w:pStyle w:val="Heading2"/>
      </w:pPr>
      <w:bookmarkStart w:id="28" w:name="chapter-1-one-door-three-states"/>
      <w:r>
        <w:t xml:space="preserve">One Door, Three States</w:t>
      </w:r>
      <w:bookmarkEnd w:id="28"/>
    </w:p>
    <w:p>
      <w:pPr>
        <w:pStyle w:val="FirstParagraph"/>
      </w:pPr>
      <w:r>
        <w:t xml:space="preserve">Represent the bolt as either locked,</w:t>
      </w:r>
      <w:r>
        <w:t xml:space="preserve"> </w:t>
      </w:r>
      <m:oMath>
        <m:r>
          <m:t>L</m:t>
        </m:r>
      </m:oMath>
      <w:r>
        <w:t xml:space="preserve">, or unlocked,</w:t>
      </w:r>
      <w:r>
        <w:t xml:space="preserve"> </w:t>
      </w:r>
      <m:oMath>
        <m:r>
          <m:t>U</m:t>
        </m:r>
      </m:oMath>
      <w:r>
        <w:t xml:space="preserve">. Represent the door position as either closed,</w:t>
      </w:r>
      <w:r>
        <w:t xml:space="preserve"> </w:t>
      </w:r>
      <m:oMath>
        <m:r>
          <m:t>C</m:t>
        </m:r>
      </m:oMath>
      <w:r>
        <w:t xml:space="preserve">, or open,</w:t>
      </w:r>
      <w:r>
        <w:t xml:space="preserve"> </w:t>
      </w:r>
      <m:oMath>
        <m:r>
          <m:t>O</m:t>
        </m:r>
      </m:oMath>
      <w:r>
        <w:t xml:space="preserve">. The raw combinations form the product</w:t>
      </w:r>
    </w:p>
    <w:p>
      <w:pPr>
        <w:pStyle w:val="BodyText"/>
      </w:pPr>
      <m:oMathPara>
        <m:oMathParaPr>
          <m:jc m:val="center"/>
        </m:oMathParaPr>
        <m:oMath>
          <m:r>
            <m:t>X</m:t>
          </m:r>
          <m:r>
            <m:t>=</m:t>
          </m:r>
          <m:r>
            <m:t>{</m:t>
          </m:r>
          <m:r>
            <m:t>L</m:t>
          </m:r>
          <m:r>
            <m:t>,</m:t>
          </m:r>
          <m:r>
            <m:t>U</m:t>
          </m:r>
          <m:r>
            <m:t>}</m:t>
          </m:r>
          <m:r>
            <m:t>×</m:t>
          </m:r>
          <m:r>
            <m:t>{</m:t>
          </m:r>
          <m:r>
            <m:t>C</m:t>
          </m:r>
          <m:r>
            <m:t>,</m:t>
          </m:r>
          <m:r>
            <m:t>O</m:t>
          </m:r>
          <m:r>
            <m:t>}</m:t>
          </m:r>
          <m:r>
            <m:t>.</m:t>
          </m:r>
        </m:oMath>
      </m:oMathPara>
    </w:p>
    <w:p>
      <w:pPr>
        <w:pStyle w:val="FirstParagraph"/>
      </w:pPr>
      <w:r>
        <w:t xml:space="preserve">Our toy mechanism admits only three of those combinations:</w:t>
      </w:r>
    </w:p>
    <w:p>
      <w:pPr>
        <w:pStyle w:val="BodyText"/>
      </w:pPr>
      <m:oMathPara>
        <m:oMathParaPr>
          <m:jc m:val="center"/>
        </m:oMathParaPr>
        <m:oMath>
          <m:r>
            <m:t>D</m:t>
          </m:r>
          <m:r>
            <m:t>=</m:t>
          </m:r>
          <m:r>
            <m:t>{</m:t>
          </m:r>
          <m:r>
            <m:t>(</m:t>
          </m:r>
          <m:r>
            <m:t>L</m:t>
          </m:r>
          <m:r>
            <m:t>,</m:t>
          </m:r>
          <m:r>
            <m:t>C</m:t>
          </m:r>
          <m:r>
            <m:t>)</m:t>
          </m:r>
          <m:r>
            <m:t>,</m:t>
          </m:r>
          <m:r>
            <m:t>(</m:t>
          </m:r>
          <m:r>
            <m:t>U</m:t>
          </m:r>
          <m:r>
            <m:t>,</m:t>
          </m:r>
          <m:r>
            <m:t>C</m:t>
          </m:r>
          <m:r>
            <m:t>)</m:t>
          </m:r>
          <m:r>
            <m:t>,</m:t>
          </m:r>
          <m:r>
            <m:t>(</m:t>
          </m:r>
          <m:r>
            <m:t>U</m:t>
          </m:r>
          <m:r>
            <m:t>,</m:t>
          </m:r>
          <m:r>
            <m:t>O</m:t>
          </m:r>
          <m:r>
            <m:t>)</m:t>
          </m:r>
          <m:r>
            <m:t>}</m:t>
          </m:r>
          <m:r>
            <m:t>.</m:t>
          </m:r>
        </m:oMath>
      </m:oMathPara>
    </w:p>
    <w:p>
      <w:pPr>
        <w:pStyle w:val="FirstParagraph"/>
      </w:pPr>
      <w:r>
        <w:t xml:space="preserve">We abbreviate them as</w:t>
      </w:r>
    </w:p>
    <w:p>
      <w:pPr>
        <w:pStyle w:val="BodyText"/>
      </w:pPr>
      <m:oMathPara>
        <m:oMathParaPr>
          <m:jc m:val="center"/>
        </m:oMathParaPr>
        <m:oMath>
          <m:r>
            <m:t>L</m:t>
          </m:r>
          <m:r>
            <m:t>C</m:t>
          </m:r>
          <m:r>
            <m:t>=</m:t>
          </m:r>
          <m:r>
            <m:t>(</m:t>
          </m:r>
          <m:r>
            <m:t>L</m:t>
          </m:r>
          <m:r>
            <m:t>,</m:t>
          </m:r>
          <m:r>
            <m:t>C</m:t>
          </m:r>
          <m:r>
            <m:t>)</m:t>
          </m:r>
          <m:r>
            <m:t>,</m:t>
          </m:r>
          <m:r>
            <m:t>  </m:t>
          </m:r>
          <m:r>
            <m:t>U</m:t>
          </m:r>
          <m:r>
            <m:t>C</m:t>
          </m:r>
          <m:r>
            <m:t>=</m:t>
          </m:r>
          <m:r>
            <m:t>(</m:t>
          </m:r>
          <m:r>
            <m:t>U</m:t>
          </m:r>
          <m:r>
            <m:t>,</m:t>
          </m:r>
          <m:r>
            <m:t>C</m:t>
          </m:r>
          <m:r>
            <m:t>)</m:t>
          </m:r>
          <m:r>
            <m:t>,</m:t>
          </m:r>
          <m:r>
            <m:t>  </m:t>
          </m:r>
          <m:r>
            <m:t>U</m:t>
          </m:r>
          <m:r>
            <m:t>O</m:t>
          </m:r>
          <m:r>
            <m:t>=</m:t>
          </m:r>
          <m:r>
            <m:t>(</m:t>
          </m:r>
          <m:r>
            <m:t>U</m:t>
          </m:r>
          <m:r>
            <m:t>,</m:t>
          </m:r>
          <m:r>
            <m:t>O</m:t>
          </m:r>
          <m:r>
            <m:t>)</m:t>
          </m:r>
          <m:r>
            <m:t>.</m:t>
          </m:r>
        </m:oMath>
      </m:oMathPara>
    </w:p>
    <w:p>
      <w:pPr>
        <w:pStyle w:val="FirstParagraph"/>
      </w:pPr>
      <w:r>
        <w:t xml:space="preserve">The missing combination, locked and open, is not a universal impossibility. It is excluded by the mechanism assumption declared for this model. That sentence is important. A formal domain tells us which objects the model admits; it does not tell us that the world must conform to the model.</w:t>
      </w:r>
    </w:p>
    <w:p>
      <w:pPr>
        <w:pStyle w:val="BodyText"/>
      </w:pPr>
      <w:r>
        <w:t xml:space="preserve">Now consider two transformations:</w:t>
      </w:r>
    </w:p>
    <w:p>
      <w:pPr>
        <w:numPr>
          <w:ilvl w:val="0"/>
          <w:numId w:val="1001"/>
        </w:numPr>
        <w:pStyle w:val="Compact"/>
      </w:pPr>
      <w:r>
        <w:rPr>
          <w:rStyle w:val="VerbatimChar"/>
        </w:rPr>
        <w:t xml:space="preserve">unlock</w:t>
      </w:r>
      <w:r>
        <w:t xml:space="preserve"> </w:t>
      </w:r>
      <w:r>
        <w:t xml:space="preserve">takes the modeled door from</w:t>
      </w:r>
      <w:r>
        <w:t xml:space="preserve"> </w:t>
      </w:r>
      <m:oMath>
        <m:r>
          <m:t>L</m:t>
        </m:r>
        <m:r>
          <m:t>C</m:t>
        </m:r>
      </m:oMath>
      <w:r>
        <w:t xml:space="preserve"> </w:t>
      </w:r>
      <w:r>
        <w:t xml:space="preserve">to</w:t>
      </w:r>
      <w:r>
        <w:t xml:space="preserve"> </w:t>
      </w:r>
      <m:oMath>
        <m:r>
          <m:t>U</m:t>
        </m:r>
        <m:r>
          <m:t>C</m:t>
        </m:r>
      </m:oMath>
    </w:p>
    <w:p>
      <w:pPr>
        <w:numPr>
          <w:ilvl w:val="0"/>
          <w:numId w:val="1001"/>
        </w:numPr>
        <w:pStyle w:val="Compact"/>
      </w:pPr>
      <w:r>
        <w:rPr>
          <w:rStyle w:val="VerbatimChar"/>
        </w:rPr>
        <w:t xml:space="preserve">open</w:t>
      </w:r>
      <w:r>
        <w:t xml:space="preserve"> </w:t>
      </w:r>
      <w:r>
        <w:t xml:space="preserve">takes it from</w:t>
      </w:r>
      <w:r>
        <w:t xml:space="preserve"> </w:t>
      </w:r>
      <m:oMath>
        <m:r>
          <m:t>U</m:t>
        </m:r>
        <m:r>
          <m:t>C</m:t>
        </m:r>
      </m:oMath>
      <w:r>
        <w:t xml:space="preserve"> </w:t>
      </w:r>
      <w:r>
        <w:t xml:space="preserve">to</w:t>
      </w:r>
      <w:r>
        <w:t xml:space="preserve"> </w:t>
      </w:r>
      <m:oMath>
        <m:r>
          <m:t>U</m:t>
        </m:r>
        <m:r>
          <m:t>O</m:t>
        </m:r>
      </m:oMath>
    </w:p>
    <w:p>
      <w:pPr>
        <w:pStyle w:val="FirstParagraph"/>
      </w:pPr>
      <w:r>
        <w:t xml:space="preserve">The resulting trace is simple:</w:t>
      </w:r>
    </w:p>
    <w:p>
      <w:pPr>
        <w:pStyle w:val="BodyText"/>
      </w:pPr>
      <m:oMathPara>
        <m:oMathParaPr>
          <m:jc m:val="center"/>
        </m:oMathParaPr>
        <m:oMath>
          <m:r>
            <m:t>L</m:t>
          </m:r>
          <m:r>
            <m:t>C</m:t>
          </m:r>
          <m:limUpp>
            <m:e>
              <m:r>
                <m:t>→</m:t>
              </m:r>
            </m:e>
            <m:lim>
              <m:r>
                <m:t>u</m:t>
              </m:r>
              <m:r>
                <m:t>n</m:t>
              </m:r>
              <m:r>
                <m:t>l</m:t>
              </m:r>
              <m:r>
                <m:t>o</m:t>
              </m:r>
              <m:r>
                <m:t>c</m:t>
              </m:r>
              <m:r>
                <m:t>k</m:t>
              </m:r>
            </m:lim>
          </m:limUpp>
          <m:r>
            <m:t>U</m:t>
          </m:r>
          <m:r>
            <m:t>C</m:t>
          </m:r>
          <m:limUpp>
            <m:e>
              <m:r>
                <m:t>→</m:t>
              </m:r>
            </m:e>
            <m:lim>
              <m:r>
                <m:t>o</m:t>
              </m:r>
              <m:r>
                <m:t>p</m:t>
              </m:r>
              <m:r>
                <m:t>e</m:t>
              </m:r>
              <m:r>
                <m:t>n</m:t>
              </m:r>
            </m:lim>
          </m:limUpp>
          <m:r>
            <m:t>U</m:t>
          </m:r>
          <m:r>
            <m:t>O</m:t>
          </m:r>
          <m:r>
            <m:t>.</m:t>
          </m:r>
        </m:oMath>
      </m:oMathPara>
    </w:p>
    <w:p>
      <w:pPr>
        <w:pStyle w:val="FirstParagraph"/>
      </w:pPr>
      <w:r>
        <w:t xml:space="preserve">We will hold that trace constant while changing the mechanism that permits each arrow.</w:t>
      </w:r>
    </w:p>
    <w:p>
      <w:pPr>
        <w:pStyle w:val="Heading2"/>
      </w:pPr>
      <w:bookmarkStart w:id="29" w:name="chapter-1-the-algebraic-gate"/>
      <w:r>
        <w:t xml:space="preserve">The Algebraic Gate</w:t>
      </w:r>
      <w:bookmarkEnd w:id="29"/>
    </w:p>
    <w:p>
      <w:pPr>
        <w:pStyle w:val="FirstParagraph"/>
      </w:pPr>
      <w:r>
        <w:t xml:space="preserve">In the algebraic view, define two partial transformations on</w:t>
      </w:r>
      <w:r>
        <w:t xml:space="preserve"> </w:t>
      </w:r>
      <m:oMath>
        <m:r>
          <m:t>D</m:t>
        </m:r>
      </m:oMath>
      <w:r>
        <w:t xml:space="preserve">:</w:t>
      </w:r>
    </w:p>
    <w:p>
      <w:pPr>
        <w:pStyle w:val="BodyText"/>
      </w:pPr>
      <m:oMathPara>
        <m:oMathParaPr>
          <m:jc m:val="center"/>
        </m:oMathParaPr>
        <m:oMath>
          <m:r>
            <m:t>u</m:t>
          </m:r>
          <m:r>
            <m:t>,</m:t>
          </m:r>
          <m:r>
            <m:t>o</m:t>
          </m:r>
          <m:r>
            <m:t>:</m:t>
          </m:r>
          <m:r>
            <m:t>D</m:t>
          </m:r>
          <m:r>
            <m:t>⇀</m:t>
          </m:r>
          <m:r>
            <m:t>D</m:t>
          </m:r>
          <m:r>
            <m:t>.</m:t>
          </m:r>
        </m:oMath>
      </m:oMathPara>
    </w:p>
    <w:p>
      <w:pPr>
        <w:pStyle w:val="FirstParagraph"/>
      </w:pPr>
      <w:r>
        <w:t xml:space="preserve">The hooked arrow indicates that these transformations need not accept every element of</w:t>
      </w:r>
      <w:r>
        <w:t xml:space="preserve"> </w:t>
      </w:r>
      <m:oMath>
        <m:r>
          <m:t>D</m:t>
        </m:r>
      </m:oMath>
      <w:r>
        <w:t xml:space="preserve">. Define them only where the modeled operation is permitted:</w:t>
      </w:r>
    </w:p>
    <w:p>
      <w:pPr>
        <w:pStyle w:val="BodyText"/>
      </w:pPr>
      <m:oMathPara>
        <m:oMathParaPr>
          <m:jc m:val="center"/>
        </m:oMathParaPr>
        <m:oMath>
          <m:r>
            <m:t>u</m:t>
          </m:r>
          <m:r>
            <m:t>(</m:t>
          </m:r>
          <m:r>
            <m:t>L</m:t>
          </m:r>
          <m:r>
            <m:t>C</m:t>
          </m:r>
          <m:r>
            <m:t>)</m:t>
          </m:r>
          <m:r>
            <m:t>=</m:t>
          </m:r>
          <m:r>
            <m:t>U</m:t>
          </m:r>
          <m:r>
            <m:t>C</m:t>
          </m:r>
        </m:oMath>
      </m:oMathPara>
    </w:p>
    <w:p>
      <w:pPr>
        <w:pStyle w:val="FirstParagraph"/>
      </w:pPr>
      <w:r>
        <w:t xml:space="preserve">and</w:t>
      </w:r>
    </w:p>
    <w:p>
      <w:pPr>
        <w:pStyle w:val="BodyText"/>
      </w:pPr>
      <m:oMathPara>
        <m:oMathParaPr>
          <m:jc m:val="center"/>
        </m:oMathParaPr>
        <m:oMath>
          <m:r>
            <m:t>o</m:t>
          </m:r>
          <m:r>
            <m:t>(</m:t>
          </m:r>
          <m:r>
            <m:t>U</m:t>
          </m:r>
          <m:r>
            <m:t>C</m:t>
          </m:r>
          <m:r>
            <m:t>)</m:t>
          </m:r>
          <m:r>
            <m:t>=</m:t>
          </m:r>
          <m:r>
            <m:t>U</m:t>
          </m:r>
          <m:r>
            <m:t>O</m:t>
          </m:r>
          <m:r>
            <m:t>.</m:t>
          </m:r>
        </m:oMath>
      </m:oMathPara>
    </w:p>
    <w:p>
      <w:pPr>
        <w:pStyle w:val="FirstParagraph"/>
      </w:pPr>
      <w:r>
        <w:t xml:space="preserve">The permission test is membership in an operation’s domain. Because</w:t>
      </w:r>
      <w:r>
        <w:t xml:space="preserve"> </w:t>
      </w:r>
      <m:oMath>
        <m:r>
          <m:t>L</m:t>
        </m:r>
        <m:r>
          <m:t>C</m:t>
        </m:r>
      </m:oMath>
      <w:r>
        <w:t xml:space="preserve"> </w:t>
      </w:r>
      <w:r>
        <w:t xml:space="preserve">lies in the domain of</w:t>
      </w:r>
      <w:r>
        <w:t xml:space="preserve"> </w:t>
      </w:r>
      <m:oMath>
        <m:r>
          <m:t>u</m:t>
        </m:r>
      </m:oMath>
      <w:r>
        <w:t xml:space="preserve">, unlocking is defined there. Because</w:t>
      </w:r>
      <w:r>
        <w:t xml:space="preserve"> </w:t>
      </w:r>
      <m:oMath>
        <m:r>
          <m:t>U</m:t>
        </m:r>
        <m:r>
          <m:t>C</m:t>
        </m:r>
      </m:oMath>
      <w:r>
        <w:t xml:space="preserve"> </w:t>
      </w:r>
      <w:r>
        <w:t xml:space="preserve">lies in the domain of</w:t>
      </w:r>
      <w:r>
        <w:t xml:space="preserve"> </w:t>
      </w:r>
      <m:oMath>
        <m:r>
          <m:t>o</m:t>
        </m:r>
      </m:oMath>
      <w:r>
        <w:t xml:space="preserve">, opening is defined there. In each successful case, the consequence is another element of</w:t>
      </w:r>
      <w:r>
        <w:t xml:space="preserve"> </w:t>
      </w:r>
      <m:oMath>
        <m:r>
          <m:t>D</m:t>
        </m:r>
      </m:oMath>
      <w:r>
        <w:t xml:space="preserve">.</w:t>
      </w:r>
    </w:p>
    <w:p>
      <w:pPr>
        <w:pStyle w:val="BodyText"/>
      </w:pPr>
      <w:r>
        <w:t xml:space="preserve">Composition makes order visible. Reading composition from right to left gives</w:t>
      </w:r>
    </w:p>
    <w:p>
      <w:pPr>
        <w:pStyle w:val="BodyText"/>
      </w:pPr>
      <m:oMathPara>
        <m:oMathParaPr>
          <m:jc m:val="center"/>
        </m:oMathParaPr>
        <m:oMath>
          <m:r>
            <m:t>(</m:t>
          </m:r>
          <m:r>
            <m:t>o</m:t>
          </m:r>
          <m:r>
            <m:t>∘</m:t>
          </m:r>
          <m:r>
            <m:t>u</m:t>
          </m:r>
          <m:r>
            <m:t>)</m:t>
          </m:r>
          <m:r>
            <m:t>(</m:t>
          </m:r>
          <m:r>
            <m:t>L</m:t>
          </m:r>
          <m:r>
            <m:t>C</m:t>
          </m:r>
          <m:r>
            <m:t>)</m:t>
          </m:r>
          <m:r>
            <m:t>=</m:t>
          </m:r>
          <m:r>
            <m:t>U</m:t>
          </m:r>
          <m:r>
            <m:t>O</m:t>
          </m:r>
          <m:r>
            <m:t>.</m:t>
          </m:r>
        </m:oMath>
      </m:oMathPara>
    </w:p>
    <w:p>
      <w:pPr>
        <w:pStyle w:val="FirstParagraph"/>
      </w:pPr>
      <w:r>
        <w:t xml:space="preserve">First apply</w:t>
      </w:r>
      <w:r>
        <w:t xml:space="preserve"> </w:t>
      </w:r>
      <m:oMath>
        <m:r>
          <m:t>u</m:t>
        </m:r>
      </m:oMath>
      <w:r>
        <w:t xml:space="preserve">, producing</w:t>
      </w:r>
      <w:r>
        <w:t xml:space="preserve"> </w:t>
      </w:r>
      <m:oMath>
        <m:r>
          <m:t>U</m:t>
        </m:r>
        <m:r>
          <m:t>C</m:t>
        </m:r>
      </m:oMath>
      <w:r>
        <w:t xml:space="preserve">; then apply</w:t>
      </w:r>
      <w:r>
        <w:t xml:space="preserve"> </w:t>
      </w:r>
      <m:oMath>
        <m:r>
          <m:t>o</m:t>
        </m:r>
      </m:oMath>
      <w:r>
        <w:t xml:space="preserve">, producing</w:t>
      </w:r>
      <w:r>
        <w:t xml:space="preserve"> </w:t>
      </w:r>
      <m:oMath>
        <m:r>
          <m:t>U</m:t>
        </m:r>
        <m:r>
          <m:t>O</m:t>
        </m:r>
      </m:oMath>
      <w:r>
        <w:t xml:space="preserve">. Reversing the order does not merely produce a less desirable answer:</w:t>
      </w:r>
    </w:p>
    <w:p>
      <w:pPr>
        <w:pStyle w:val="BodyText"/>
      </w:pPr>
      <m:oMathPara>
        <m:oMathParaPr>
          <m:jc m:val="center"/>
        </m:oMathParaPr>
        <m:oMath>
          <m:r>
            <m:t>(</m:t>
          </m:r>
          <m:r>
            <m:t>u</m:t>
          </m:r>
          <m:r>
            <m:t>∘</m:t>
          </m:r>
          <m:r>
            <m:t>o</m:t>
          </m:r>
          <m:r>
            <m:t>)</m:t>
          </m:r>
          <m:r>
            <m:t>(</m:t>
          </m:r>
          <m:r>
            <m:t>L</m:t>
          </m:r>
          <m:r>
            <m:t>C</m:t>
          </m:r>
          <m:r>
            <m:t>)</m:t>
          </m:r>
        </m:oMath>
      </m:oMathPara>
    </w:p>
    <w:p>
      <w:pPr>
        <w:pStyle w:val="FirstParagraph"/>
      </w:pPr>
      <w:r>
        <w:t xml:space="preserve">is undefined because the first requested step,</w:t>
      </w:r>
      <w:r>
        <w:t xml:space="preserve"> </w:t>
      </w:r>
      <m:oMath>
        <m:r>
          <m:t>o</m:t>
        </m:r>
        <m:r>
          <m:t>(</m:t>
        </m:r>
        <m:r>
          <m:t>L</m:t>
        </m:r>
        <m:r>
          <m:t>C</m:t>
        </m:r>
        <m:r>
          <m:t>)</m:t>
        </m:r>
      </m:oMath>
      <w:r>
        <w:t xml:space="preserve">, is undefined.</w:t>
      </w:r>
    </w:p>
    <w:p>
      <w:pPr>
        <w:pStyle w:val="BodyText"/>
      </w:pPr>
      <w:r>
        <w:t xml:space="preserve">This is a structural result inside the declared domain. It tells us what follows from the definitions. It does not tell us whether a sensor correctly reported</w:t>
      </w:r>
      <w:r>
        <w:t xml:space="preserve"> </w:t>
      </w:r>
      <m:oMath>
        <m:r>
          <m:t>L</m:t>
        </m:r>
        <m:r>
          <m:t>C</m:t>
        </m:r>
      </m:oMath>
      <w:r>
        <w:t xml:space="preserve">, whether a motor turned a bolt, or whether opening the door was a good idea.</w:t>
      </w:r>
    </w:p>
    <w:p>
      <w:pPr>
        <w:pStyle w:val="Heading2"/>
      </w:pPr>
      <w:bookmarkStart w:id="30" w:name="chapter-1-the-symbolic-gate"/>
      <w:r>
        <w:t xml:space="preserve">The Symbolic Gate</w:t>
      </w:r>
      <w:bookmarkEnd w:id="30"/>
    </w:p>
    <w:p>
      <w:pPr>
        <w:pStyle w:val="FirstParagraph"/>
      </w:pPr>
      <w:r>
        <w:t xml:space="preserve">A symbolic system represents the same situation differently. Instead of beginning with an element of</w:t>
      </w:r>
      <w:r>
        <w:t xml:space="preserve"> </w:t>
      </w:r>
      <m:oMath>
        <m:r>
          <m:t>D</m:t>
        </m:r>
      </m:oMath>
      <w:r>
        <w:t xml:space="preserve">, begin with represented facts:</w:t>
      </w:r>
    </w:p>
    <w:p>
      <w:pPr>
        <w:pStyle w:val="SourceCode"/>
      </w:pPr>
      <w:r>
        <w:rPr>
          <w:rStyle w:val="VerbatimChar"/>
        </w:rPr>
        <w:t xml:space="preserve">locked</w:t>
      </w:r>
      <w:r>
        <w:br/>
      </w:r>
      <w:r>
        <w:rPr>
          <w:rStyle w:val="VerbatimChar"/>
        </w:rPr>
        <w:t xml:space="preserve">closed</w:t>
      </w:r>
    </w:p>
    <w:p>
      <w:pPr>
        <w:pStyle w:val="FirstParagraph"/>
      </w:pPr>
      <w:r>
        <w:t xml:space="preserve">Then describe actions by represented preconditions and effects:</w:t>
      </w:r>
    </w:p>
    <w:p>
      <w:pPr>
        <w:pStyle w:val="SourceCode"/>
      </w:pPr>
      <w:r>
        <w:rPr>
          <w:rStyle w:val="VerbatimChar"/>
        </w:rPr>
        <w:t xml:space="preserve">ACTION UNLOCK</w:t>
      </w:r>
      <w:r>
        <w:br/>
      </w:r>
      <w:r>
        <w:rPr>
          <w:rStyle w:val="VerbatimChar"/>
        </w:rPr>
        <w:t xml:space="preserve">PRECONDITIONS: locked, closed</w:t>
      </w:r>
      <w:r>
        <w:br/>
      </w:r>
      <w:r>
        <w:rPr>
          <w:rStyle w:val="VerbatimChar"/>
        </w:rPr>
        <w:t xml:space="preserve">EFFECTS: unlocked, closed, not locked</w:t>
      </w:r>
      <w:r>
        <w:br/>
      </w:r>
      <w:r>
        <w:br/>
      </w:r>
      <w:r>
        <w:rPr>
          <w:rStyle w:val="VerbatimChar"/>
        </w:rPr>
        <w:t xml:space="preserve">ACTION OPEN</w:t>
      </w:r>
      <w:r>
        <w:br/>
      </w:r>
      <w:r>
        <w:rPr>
          <w:rStyle w:val="VerbatimChar"/>
        </w:rPr>
        <w:t xml:space="preserve">PRECONDITIONS: unlocked, closed</w:t>
      </w:r>
      <w:r>
        <w:br/>
      </w:r>
      <w:r>
        <w:rPr>
          <w:rStyle w:val="VerbatimChar"/>
        </w:rPr>
        <w:t xml:space="preserve">EFFECTS: unlocked, open, not closed</w:t>
      </w:r>
    </w:p>
    <w:p>
      <w:pPr>
        <w:pStyle w:val="FirstParagraph"/>
      </w:pPr>
      <w:r>
        <w:t xml:space="preserve">Here the gate is not membership in the domain of a partial function. The gate is satisfaction of represented preconditions.</w:t>
      </w:r>
      <w:r>
        <w:t xml:space="preserve"> </w:t>
      </w:r>
      <w:r>
        <w:rPr>
          <w:rStyle w:val="VerbatimChar"/>
        </w:rPr>
        <w:t xml:space="preserve">UNLOCK</w:t>
      </w:r>
      <w:r>
        <w:t xml:space="preserve"> </w:t>
      </w:r>
      <w:r>
        <w:t xml:space="preserve">is applicable because the initial fact set contains</w:t>
      </w:r>
      <w:r>
        <w:t xml:space="preserve"> </w:t>
      </w:r>
      <w:r>
        <w:rPr>
          <w:rStyle w:val="VerbatimChar"/>
        </w:rPr>
        <w:t xml:space="preserve">locked</w:t>
      </w:r>
      <w:r>
        <w:t xml:space="preserve"> </w:t>
      </w:r>
      <w:r>
        <w:t xml:space="preserve">and</w:t>
      </w:r>
      <w:r>
        <w:t xml:space="preserve"> </w:t>
      </w:r>
      <w:r>
        <w:rPr>
          <w:rStyle w:val="VerbatimChar"/>
        </w:rPr>
        <w:t xml:space="preserve">closed</w:t>
      </w:r>
      <w:r>
        <w:t xml:space="preserve">. Applying its represented effects changes the fact set to include</w:t>
      </w:r>
      <w:r>
        <w:t xml:space="preserve"> </w:t>
      </w:r>
      <w:r>
        <w:rPr>
          <w:rStyle w:val="VerbatimChar"/>
        </w:rPr>
        <w:t xml:space="preserve">unlocked</w:t>
      </w:r>
      <w:r>
        <w:t xml:space="preserve"> </w:t>
      </w:r>
      <w:r>
        <w:t xml:space="preserve">and</w:t>
      </w:r>
      <w:r>
        <w:t xml:space="preserve"> </w:t>
      </w:r>
      <w:r>
        <w:rPr>
          <w:rStyle w:val="VerbatimChar"/>
        </w:rPr>
        <w:t xml:space="preserve">closed</w:t>
      </w:r>
      <w:r>
        <w:t xml:space="preserve">. Those facts then satisfy the preconditions of</w:t>
      </w:r>
      <w:r>
        <w:t xml:space="preserve"> </w:t>
      </w:r>
      <w:r>
        <w:rPr>
          <w:rStyle w:val="VerbatimChar"/>
        </w:rPr>
        <w:t xml:space="preserve">OPEN</w:t>
      </w:r>
      <w:r>
        <w:t xml:space="preserve">.</w:t>
      </w:r>
    </w:p>
    <w:p>
      <w:pPr>
        <w:pStyle w:val="BodyText"/>
      </w:pPr>
      <w:r>
        <w:t xml:space="preserve">This style belongs to a long history of symbolic artificial intelligence. John McCarthy’s proposed Advice Taker separated declarative premises, immediate deduction, heuristic selection of premises, and resulting imperatives. Later operator-based planning systems such as STRIPS made represented conditions and state-changing effects central to problem solving. These systems differed in formalism and purpose, but both make a distinction our small example needs: storing a condition, deriving a consequence, selecting a path, and carrying out an action are not one event.</w:t>
      </w:r>
    </w:p>
    <w:p>
      <w:pPr>
        <w:pStyle w:val="BodyText"/>
      </w:pPr>
      <w:r>
        <w:t xml:space="preserve">The distinction prevents several easy overclaims. If the fact set contains</w:t>
      </w:r>
      <w:r>
        <w:t xml:space="preserve"> </w:t>
      </w:r>
      <w:r>
        <w:rPr>
          <w:rStyle w:val="VerbatimChar"/>
        </w:rPr>
        <w:t xml:space="preserve">unlocked</w:t>
      </w:r>
      <w:r>
        <w:t xml:space="preserve">, that does not prove the physical bolt is retracted. If the preconditions of</w:t>
      </w:r>
      <w:r>
        <w:t xml:space="preserve"> </w:t>
      </w:r>
      <w:r>
        <w:rPr>
          <w:rStyle w:val="VerbatimChar"/>
        </w:rPr>
        <w:t xml:space="preserve">OPEN</w:t>
      </w:r>
      <w:r>
        <w:t xml:space="preserve"> </w:t>
      </w:r>
      <w:r>
        <w:t xml:space="preserve">are represented as satisfied, that does not guarantee that an actuator can move the door. If more than one action is applicable, applicability alone does not choose among them. Search or another control procedure still has work to do.</w:t>
      </w:r>
    </w:p>
    <w:p>
      <w:pPr>
        <w:pStyle w:val="BodyText"/>
      </w:pPr>
      <w:r>
        <w:t xml:space="preserve">The symbolic panel therefore supplies its own internal permission and consequence:</w:t>
      </w:r>
    </w:p>
    <w:p>
      <w:pPr>
        <w:numPr>
          <w:ilvl w:val="0"/>
          <w:numId w:val="1002"/>
        </w:numPr>
        <w:pStyle w:val="Compact"/>
      </w:pPr>
      <w:r>
        <w:rPr>
          <w:b/>
        </w:rPr>
        <w:t xml:space="preserve">permission:</w:t>
      </w:r>
      <w:r>
        <w:t xml:space="preserve"> </w:t>
      </w:r>
      <w:r>
        <w:t xml:space="preserve">represented facts satisfy an action’s preconditions</w:t>
      </w:r>
    </w:p>
    <w:p>
      <w:pPr>
        <w:numPr>
          <w:ilvl w:val="0"/>
          <w:numId w:val="1002"/>
        </w:numPr>
        <w:pStyle w:val="Compact"/>
      </w:pPr>
      <w:r>
        <w:rPr>
          <w:b/>
        </w:rPr>
        <w:t xml:space="preserve">consequence:</w:t>
      </w:r>
      <w:r>
        <w:t xml:space="preserve"> </w:t>
      </w:r>
      <w:r>
        <w:t xml:space="preserve">represented effects update the fact set</w:t>
      </w:r>
    </w:p>
    <w:p>
      <w:pPr>
        <w:pStyle w:val="FirstParagraph"/>
      </w:pPr>
      <w:r>
        <w:t xml:space="preserve">That mechanism produces a trace aligned with the algebraic one, but it is not the same mechanism in different typography.</w:t>
      </w:r>
    </w:p>
    <w:p>
      <w:pPr>
        <w:pStyle w:val="Heading2"/>
      </w:pPr>
      <w:bookmarkStart w:id="31" w:name="chapter-1-the-programmed-gate"/>
      <w:r>
        <w:t xml:space="preserve">The Programmed Gate</w:t>
      </w:r>
      <w:bookmarkEnd w:id="31"/>
    </w:p>
    <w:p>
      <w:pPr>
        <w:pStyle w:val="FirstParagraph"/>
      </w:pPr>
      <w:r>
        <w:t xml:space="preserve">The programmed view must express the states and transitions in a language that can execute. In Rust, the admitted represented states can be declared as an enumeration:</w:t>
      </w:r>
    </w:p>
    <w:p>
      <w:pPr>
        <w:pStyle w:val="SourceCode"/>
      </w:pPr>
      <w:r>
        <w:rPr>
          <w:rStyle w:val="KeywordTok"/>
        </w:rPr>
        <w:t xml:space="preserve">enum</w:t>
      </w:r>
      <w:r>
        <w:rPr>
          <w:rStyle w:val="NormalTok"/>
        </w:rPr>
        <w:t xml:space="preserve"> DoorState </w:t>
      </w:r>
      <w:r>
        <w:rPr>
          <w:rStyle w:val="OperatorTok"/>
        </w:rPr>
        <w:t xml:space="preserve">{</w:t>
      </w:r>
      <w:r>
        <w:br/>
      </w:r>
      <w:r>
        <w:rPr>
          <w:rStyle w:val="NormalTok"/>
        </w:rPr>
        <w:t xml:space="preserve">    LockedClosed</w:t>
      </w:r>
      <w:r>
        <w:rPr>
          <w:rStyle w:val="OperatorTok"/>
        </w:rPr>
        <w:t xml:space="preserve">,</w:t>
      </w:r>
      <w:r>
        <w:br/>
      </w:r>
      <w:r>
        <w:rPr>
          <w:rStyle w:val="NormalTok"/>
        </w:rPr>
        <w:t xml:space="preserve">    UnlockedClosed</w:t>
      </w:r>
      <w:r>
        <w:rPr>
          <w:rStyle w:val="OperatorTok"/>
        </w:rPr>
        <w:t xml:space="preserve">,</w:t>
      </w:r>
      <w:r>
        <w:br/>
      </w:r>
      <w:r>
        <w:rPr>
          <w:rStyle w:val="NormalTok"/>
        </w:rPr>
        <w:t xml:space="preserve">    UnlockedOpen</w:t>
      </w:r>
      <w:r>
        <w:rPr>
          <w:rStyle w:val="OperatorTok"/>
        </w:rPr>
        <w:t xml:space="preserve">,</w:t>
      </w:r>
      <w:r>
        <w:br/>
      </w:r>
      <w:r>
        <w:rPr>
          <w:rStyle w:val="OperatorTok"/>
        </w:rPr>
        <w:t xml:space="preserve">}</w:t>
      </w:r>
    </w:p>
    <w:p>
      <w:pPr>
        <w:pStyle w:val="FirstParagraph"/>
      </w:pPr>
      <w:r>
        <w:t xml:space="preserve">Errors are represented separately:</w:t>
      </w:r>
    </w:p>
    <w:p>
      <w:pPr>
        <w:pStyle w:val="SourceCode"/>
      </w:pPr>
      <w:r>
        <w:rPr>
          <w:rStyle w:val="KeywordTok"/>
        </w:rPr>
        <w:t xml:space="preserve">enum</w:t>
      </w:r>
      <w:r>
        <w:rPr>
          <w:rStyle w:val="NormalTok"/>
        </w:rPr>
        <w:t xml:space="preserve"> DoorError </w:t>
      </w:r>
      <w:r>
        <w:rPr>
          <w:rStyle w:val="OperatorTok"/>
        </w:rPr>
        <w:t xml:space="preserve">{</w:t>
      </w:r>
      <w:r>
        <w:br/>
      </w:r>
      <w:r>
        <w:rPr>
          <w:rStyle w:val="NormalTok"/>
        </w:rPr>
        <w:t xml:space="preserve">    AlreadyUnlocked</w:t>
      </w:r>
      <w:r>
        <w:rPr>
          <w:rStyle w:val="OperatorTok"/>
        </w:rPr>
        <w:t xml:space="preserve">,</w:t>
      </w:r>
      <w:r>
        <w:br/>
      </w:r>
      <w:r>
        <w:rPr>
          <w:rStyle w:val="NormalTok"/>
        </w:rPr>
        <w:t xml:space="preserve">    DoorOpen</w:t>
      </w:r>
      <w:r>
        <w:rPr>
          <w:rStyle w:val="OperatorTok"/>
        </w:rPr>
        <w:t xml:space="preserve">,</w:t>
      </w:r>
      <w:r>
        <w:br/>
      </w:r>
      <w:r>
        <w:rPr>
          <w:rStyle w:val="NormalTok"/>
        </w:rPr>
        <w:t xml:space="preserve">    Locked</w:t>
      </w:r>
      <w:r>
        <w:rPr>
          <w:rStyle w:val="OperatorTok"/>
        </w:rPr>
        <w:t xml:space="preserve">,</w:t>
      </w:r>
      <w:r>
        <w:br/>
      </w:r>
      <w:r>
        <w:rPr>
          <w:rStyle w:val="NormalTok"/>
        </w:rPr>
        <w:t xml:space="preserve">    AlreadyOpen</w:t>
      </w:r>
      <w:r>
        <w:rPr>
          <w:rStyle w:val="OperatorTok"/>
        </w:rPr>
        <w:t xml:space="preserve">,</w:t>
      </w:r>
      <w:r>
        <w:br/>
      </w:r>
      <w:r>
        <w:rPr>
          <w:rStyle w:val="OperatorTok"/>
        </w:rPr>
        <w:t xml:space="preserve">}</w:t>
      </w:r>
    </w:p>
    <w:p>
      <w:pPr>
        <w:pStyle w:val="FirstParagraph"/>
      </w:pPr>
      <w:r>
        <w:t xml:space="preserve">The</w:t>
      </w:r>
      <w:r>
        <w:t xml:space="preserve"> </w:t>
      </w:r>
      <w:r>
        <w:rPr>
          <w:rStyle w:val="VerbatimChar"/>
        </w:rPr>
        <w:t xml:space="preserve">open</w:t>
      </w:r>
      <w:r>
        <w:t xml:space="preserve"> </w:t>
      </w:r>
      <w:r>
        <w:t xml:space="preserve">function branches on the typed input state:</w:t>
      </w:r>
    </w:p>
    <w:p>
      <w:pPr>
        <w:pStyle w:val="SourceCode"/>
      </w:pPr>
      <w:r>
        <w:rPr>
          <w:rStyle w:val="KeywordTok"/>
        </w:rPr>
        <w:t xml:space="preserve">fn</w:t>
      </w:r>
      <w:r>
        <w:rPr>
          <w:rStyle w:val="NormalTok"/>
        </w:rPr>
        <w:t xml:space="preserve"> open(state</w:t>
      </w:r>
      <w:r>
        <w:rPr>
          <w:rStyle w:val="OperatorTok"/>
        </w:rPr>
        <w:t xml:space="preserve">:</w:t>
      </w:r>
      <w:r>
        <w:rPr>
          <w:rStyle w:val="NormalTok"/>
        </w:rPr>
        <w:t xml:space="preserve"> DoorState)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DoorState</w:t>
      </w:r>
      <w:r>
        <w:rPr>
          <w:rStyle w:val="OperatorTok"/>
        </w:rPr>
        <w:t xml:space="preserve">,</w:t>
      </w:r>
      <w:r>
        <w:rPr>
          <w:rStyle w:val="NormalTok"/>
        </w:rPr>
        <w:t xml:space="preserve"> DoorError</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match</w:t>
      </w:r>
      <w:r>
        <w:rPr>
          <w:rStyle w:val="NormalTok"/>
        </w:rPr>
        <w:t xml:space="preserve"> state </w:t>
      </w:r>
      <w:r>
        <w:rPr>
          <w:rStyle w:val="OperatorTok"/>
        </w:rPr>
        <w:t xml:space="preserve">{</w:t>
      </w:r>
      <w:r>
        <w:br/>
      </w:r>
      <w:r>
        <w:rPr>
          <w:rStyle w:val="NormalTok"/>
        </w:rPr>
        <w:t xml:space="preserve">        </w:t>
      </w:r>
      <w:r>
        <w:rPr>
          <w:rStyle w:val="PreprocessorTok"/>
        </w:rPr>
        <w:t xml:space="preserve">DoorState::</w:t>
      </w:r>
      <w:r>
        <w:rPr>
          <w:rStyle w:val="NormalTok"/>
        </w:rPr>
        <w:t xml:space="preserve">LockedClosed </w:t>
      </w:r>
      <w:r>
        <w:rPr>
          <w:rStyle w:val="OperatorTok"/>
        </w:rPr>
        <w:t xml:space="preserve">=&gt;</w:t>
      </w:r>
      <w:r>
        <w:rPr>
          <w:rStyle w:val="NormalTok"/>
        </w:rPr>
        <w:t xml:space="preserve"> </w:t>
      </w:r>
      <w:r>
        <w:rPr>
          <w:rStyle w:val="ConstantTok"/>
        </w:rPr>
        <w:t xml:space="preserve">Err</w:t>
      </w:r>
      <w:r>
        <w:rPr>
          <w:rStyle w:val="NormalTok"/>
        </w:rPr>
        <w:t xml:space="preserve">(</w:t>
      </w:r>
      <w:r>
        <w:rPr>
          <w:rStyle w:val="PreprocessorTok"/>
        </w:rPr>
        <w:t xml:space="preserve">DoorError::</w:t>
      </w:r>
      <w:r>
        <w:rPr>
          <w:rStyle w:val="NormalTok"/>
        </w:rPr>
        <w:t xml:space="preserve">Locked)</w:t>
      </w:r>
      <w:r>
        <w:rPr>
          <w:rStyle w:val="OperatorTok"/>
        </w:rPr>
        <w:t xml:space="preserve">,</w:t>
      </w:r>
      <w:r>
        <w:br/>
      </w:r>
      <w:r>
        <w:rPr>
          <w:rStyle w:val="NormalTok"/>
        </w:rPr>
        <w:t xml:space="preserve">        </w:t>
      </w:r>
      <w:r>
        <w:rPr>
          <w:rStyle w:val="PreprocessorTok"/>
        </w:rPr>
        <w:t xml:space="preserve">DoorState::</w:t>
      </w:r>
      <w:r>
        <w:rPr>
          <w:rStyle w:val="NormalTok"/>
        </w:rPr>
        <w:t xml:space="preserve">UnlockedClosed </w:t>
      </w:r>
      <w:r>
        <w:rPr>
          <w:rStyle w:val="OperatorTok"/>
        </w:rPr>
        <w:t xml:space="preserve">=&gt;</w:t>
      </w:r>
      <w:r>
        <w:rPr>
          <w:rStyle w:val="NormalTok"/>
        </w:rPr>
        <w:t xml:space="preserve"> </w:t>
      </w:r>
      <w:r>
        <w:rPr>
          <w:rStyle w:val="ConstantTok"/>
        </w:rPr>
        <w:t xml:space="preserve">Ok</w:t>
      </w:r>
      <w:r>
        <w:rPr>
          <w:rStyle w:val="NormalTok"/>
        </w:rPr>
        <w:t xml:space="preserve">(</w:t>
      </w:r>
      <w:r>
        <w:rPr>
          <w:rStyle w:val="PreprocessorTok"/>
        </w:rPr>
        <w:t xml:space="preserve">DoorState::</w:t>
      </w:r>
      <w:r>
        <w:rPr>
          <w:rStyle w:val="NormalTok"/>
        </w:rPr>
        <w:t xml:space="preserve">UnlockedOpen)</w:t>
      </w:r>
      <w:r>
        <w:rPr>
          <w:rStyle w:val="OperatorTok"/>
        </w:rPr>
        <w:t xml:space="preserve">,</w:t>
      </w:r>
      <w:r>
        <w:br/>
      </w:r>
      <w:r>
        <w:rPr>
          <w:rStyle w:val="NormalTok"/>
        </w:rPr>
        <w:t xml:space="preserve">        </w:t>
      </w:r>
      <w:r>
        <w:rPr>
          <w:rStyle w:val="PreprocessorTok"/>
        </w:rPr>
        <w:t xml:space="preserve">DoorState::</w:t>
      </w:r>
      <w:r>
        <w:rPr>
          <w:rStyle w:val="NormalTok"/>
        </w:rPr>
        <w:t xml:space="preserve">UnlockedOpen </w:t>
      </w:r>
      <w:r>
        <w:rPr>
          <w:rStyle w:val="OperatorTok"/>
        </w:rPr>
        <w:t xml:space="preserve">=&gt;</w:t>
      </w:r>
      <w:r>
        <w:rPr>
          <w:rStyle w:val="NormalTok"/>
        </w:rPr>
        <w:t xml:space="preserve"> </w:t>
      </w:r>
      <w:r>
        <w:rPr>
          <w:rStyle w:val="ConstantTok"/>
        </w:rPr>
        <w:t xml:space="preserve">Err</w:t>
      </w:r>
      <w:r>
        <w:rPr>
          <w:rStyle w:val="NormalTok"/>
        </w:rPr>
        <w:t xml:space="preserve">(</w:t>
      </w:r>
      <w:r>
        <w:rPr>
          <w:rStyle w:val="PreprocessorTok"/>
        </w:rPr>
        <w:t xml:space="preserve">DoorError::</w:t>
      </w:r>
      <w:r>
        <w:rPr>
          <w:rStyle w:val="NormalTok"/>
        </w:rPr>
        <w:t xml:space="preserve">AlreadyOpen)</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Rust’s</w:t>
      </w:r>
      <w:r>
        <w:t xml:space="preserve"> </w:t>
      </w:r>
      <w:r>
        <w:rPr>
          <w:rStyle w:val="VerbatimChar"/>
        </w:rPr>
        <w:t xml:space="preserve">match</w:t>
      </w:r>
      <w:r>
        <w:t xml:space="preserve"> </w:t>
      </w:r>
      <w:r>
        <w:t xml:space="preserve">expression compares a typed value with arm patterns and selects the first matching arm. The return type makes the two classes of outcome explicit:</w:t>
      </w:r>
      <w:r>
        <w:t xml:space="preserve"> </w:t>
      </w:r>
      <w:r>
        <w:rPr>
          <w:rStyle w:val="VerbatimChar"/>
        </w:rPr>
        <w:t xml:space="preserve">Ok(next_state)</w:t>
      </w:r>
      <w:r>
        <w:t xml:space="preserve"> </w:t>
      </w:r>
      <w:r>
        <w:t xml:space="preserve">represents program-defined success, while</w:t>
      </w:r>
      <w:r>
        <w:t xml:space="preserve"> </w:t>
      </w:r>
      <w:r>
        <w:rPr>
          <w:rStyle w:val="VerbatimChar"/>
        </w:rPr>
        <w:t xml:space="preserve">Err(reason)</w:t>
      </w:r>
      <w:r>
        <w:t xml:space="preserve"> </w:t>
      </w:r>
      <w:r>
        <w:t xml:space="preserve">represents program-defined failure.</w:t>
      </w:r>
    </w:p>
    <w:p>
      <w:pPr>
        <w:pStyle w:val="BodyText"/>
      </w:pPr>
      <w:r>
        <w:t xml:space="preserve">Composition is expressed as another function:</w:t>
      </w:r>
    </w:p>
    <w:p>
      <w:pPr>
        <w:pStyle w:val="SourceCode"/>
      </w:pPr>
      <w:r>
        <w:rPr>
          <w:rStyle w:val="KeywordTok"/>
        </w:rPr>
        <w:t xml:space="preserve">fn</w:t>
      </w:r>
      <w:r>
        <w:rPr>
          <w:rStyle w:val="NormalTok"/>
        </w:rPr>
        <w:t xml:space="preserve"> unlock_then_open(state</w:t>
      </w:r>
      <w:r>
        <w:rPr>
          <w:rStyle w:val="OperatorTok"/>
        </w:rPr>
        <w:t xml:space="preserve">:</w:t>
      </w:r>
      <w:r>
        <w:rPr>
          <w:rStyle w:val="NormalTok"/>
        </w:rPr>
        <w:t xml:space="preserve"> DoorState)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DoorState</w:t>
      </w:r>
      <w:r>
        <w:rPr>
          <w:rStyle w:val="OperatorTok"/>
        </w:rPr>
        <w:t xml:space="preserve">,</w:t>
      </w:r>
      <w:r>
        <w:rPr>
          <w:rStyle w:val="NormalTok"/>
        </w:rPr>
        <w:t xml:space="preserve"> DoorError</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state </w:t>
      </w:r>
      <w:r>
        <w:rPr>
          <w:rStyle w:val="OperatorTok"/>
        </w:rPr>
        <w:t xml:space="preserve">=</w:t>
      </w:r>
      <w:r>
        <w:rPr>
          <w:rStyle w:val="NormalTok"/>
        </w:rPr>
        <w:t xml:space="preserve"> unlock(state)</w:t>
      </w:r>
      <w:r>
        <w:rPr>
          <w:rStyle w:val="OperatorTok"/>
        </w:rPr>
        <w:t xml:space="preserve">?;</w:t>
      </w:r>
      <w:r>
        <w:br/>
      </w:r>
      <w:r>
        <w:rPr>
          <w:rStyle w:val="NormalTok"/>
        </w:rPr>
        <w:t xml:space="preserve">    open(state)</w:t>
      </w:r>
      <w:r>
        <w:br/>
      </w:r>
      <w:r>
        <w:rPr>
          <w:rStyle w:val="OperatorTok"/>
        </w:rPr>
        <w:t xml:space="preserve">}</w:t>
      </w:r>
    </w:p>
    <w:p>
      <w:pPr>
        <w:pStyle w:val="FirstParagraph"/>
      </w:pPr>
      <w:r>
        <w:t xml:space="preserve">The</w:t>
      </w:r>
      <w:r>
        <w:t xml:space="preserve"> </w:t>
      </w:r>
      <w:r>
        <w:rPr>
          <w:rStyle w:val="VerbatimChar"/>
        </w:rPr>
        <w:t xml:space="preserve">?</w:t>
      </w:r>
      <w:r>
        <w:t xml:space="preserve"> </w:t>
      </w:r>
      <w:r>
        <w:t xml:space="preserve">operator extracts the value from</w:t>
      </w:r>
      <w:r>
        <w:t xml:space="preserve"> </w:t>
      </w:r>
      <w:r>
        <w:rPr>
          <w:rStyle w:val="VerbatimChar"/>
        </w:rPr>
        <w:t xml:space="preserve">Ok</w:t>
      </w:r>
      <w:r>
        <w:t xml:space="preserve">. If</w:t>
      </w:r>
      <w:r>
        <w:t xml:space="preserve"> </w:t>
      </w:r>
      <w:r>
        <w:rPr>
          <w:rStyle w:val="VerbatimChar"/>
        </w:rPr>
        <w:t xml:space="preserve">unlock</w:t>
      </w:r>
      <w:r>
        <w:t xml:space="preserve"> </w:t>
      </w:r>
      <w:r>
        <w:t xml:space="preserve">returns</w:t>
      </w:r>
      <w:r>
        <w:t xml:space="preserve"> </w:t>
      </w:r>
      <w:r>
        <w:rPr>
          <w:rStyle w:val="VerbatimChar"/>
        </w:rPr>
        <w:t xml:space="preserve">Err</w:t>
      </w:r>
      <w:r>
        <w:t xml:space="preserve">, the enclosing function returns that error immediately and does not call</w:t>
      </w:r>
      <w:r>
        <w:t xml:space="preserve"> </w:t>
      </w:r>
      <w:r>
        <w:rPr>
          <w:rStyle w:val="VerbatimChar"/>
        </w:rPr>
        <w:t xml:space="preserve">open</w:t>
      </w:r>
      <w:r>
        <w:t xml:space="preserve">. The program therefore expresses both the intended order and the boundary that stops the sequence.</w:t>
      </w:r>
    </w:p>
    <w:p>
      <w:pPr>
        <w:pStyle w:val="BodyText"/>
      </w:pPr>
      <w:r>
        <w:t xml:space="preserve">The complete executable artifact was compiled with Rust 1.97.1 under the Rust 2024 edition with warnings denied. Its tests cover every input branch of</w:t>
      </w:r>
      <w:r>
        <w:t xml:space="preserve"> </w:t>
      </w:r>
      <w:r>
        <w:rPr>
          <w:rStyle w:val="VerbatimChar"/>
        </w:rPr>
        <w:t xml:space="preserve">unlock</w:t>
      </w:r>
      <w:r>
        <w:t xml:space="preserve"> </w:t>
      </w:r>
      <w:r>
        <w:t xml:space="preserve">and</w:t>
      </w:r>
      <w:r>
        <w:t xml:space="preserve"> </w:t>
      </w:r>
      <w:r>
        <w:rPr>
          <w:rStyle w:val="VerbatimChar"/>
        </w:rPr>
        <w:t xml:space="preserve">open</w:t>
      </w:r>
      <w:r>
        <w:t xml:space="preserve">, plus the effect of operation order. The observed outputs were:</w:t>
      </w:r>
    </w:p>
    <w:p>
      <w:pPr>
        <w:pStyle w:val="SourceCode"/>
      </w:pPr>
      <w:r>
        <w:rPr>
          <w:rStyle w:val="VerbatimChar"/>
        </w:rPr>
        <w:t xml:space="preserve">unlock_then_open(LockedClosed) = Ok(UnlockedOpen)</w:t>
      </w:r>
      <w:r>
        <w:br/>
      </w:r>
      <w:r>
        <w:rPr>
          <w:rStyle w:val="VerbatimChar"/>
        </w:rPr>
        <w:t xml:space="preserve">open(LockedClosed) = Err(Locked)</w:t>
      </w:r>
    </w:p>
    <w:p>
      <w:pPr>
        <w:pStyle w:val="FirstParagraph"/>
      </w:pPr>
      <w:r>
        <w:t xml:space="preserve">Three tests passed and none failed. That evidence supports a precise claim: under this implementation and test environment, the represented transitions and rejections behave as recorded. It does not establish that a physical door moved.</w:t>
      </w:r>
    </w:p>
    <w:p>
      <w:pPr>
        <w:pStyle w:val="Heading2"/>
      </w:pPr>
      <w:bookmarkStart w:id="32" w:name="chapter-1-three-forms-of-constraint"/>
      <w:r>
        <w:t xml:space="preserve">Three Forms of Constraint</w:t>
      </w:r>
      <w:bookmarkEnd w:id="32"/>
    </w:p>
    <w:p>
      <w:pPr>
        <w:pStyle w:val="CaptionedFigure"/>
      </w:pPr>
      <w:r>
        <w:drawing>
          <wp:inline>
            <wp:extent cx="5334000" cy="3556000"/>
            <wp:effectExtent b="0" l="0" r="0" t="0"/>
            <wp:docPr descr="Three aligned panels compare algebraic, symbolic, and programmed gates over the same door-state trace." title="" id="1" name="Picture"/>
            <a:graphic>
              <a:graphicData uri="http://schemas.openxmlformats.org/drawingml/2006/picture">
                <pic:pic>
                  <pic:nvPicPr>
                    <pic:cNvPr descr="../visuals/chapter_01_three_forms_of_constraint.svg" id="0" name="Picture"/>
                    <pic:cNvPicPr>
                      <a:picLocks noChangeArrowheads="1" noChangeAspect="1"/>
                    </pic:cNvPicPr>
                  </pic:nvPicPr>
                  <pic:blipFill>
                    <a:blip r:embed="rId33"/>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Three aligned panels compare algebraic, symbolic, and programmed gates over the same door-state trace.</w:t>
      </w:r>
    </w:p>
    <w:p>
      <w:pPr>
        <w:pStyle w:val="BodyText"/>
      </w:pPr>
      <w:r>
        <w:t xml:space="preserve">The figure holds the visible transition fixed:</w:t>
      </w:r>
    </w:p>
    <w:p>
      <w:pPr>
        <w:pStyle w:val="BodyText"/>
      </w:pPr>
      <m:oMathPara>
        <m:oMathParaPr>
          <m:jc m:val="center"/>
        </m:oMathParaPr>
        <m:oMath>
          <m:r>
            <m:t>L</m:t>
          </m:r>
          <m:r>
            <m:t>C</m:t>
          </m:r>
          <m:r>
            <m:t>→</m:t>
          </m:r>
          <m:r>
            <m:t>U</m:t>
          </m:r>
          <m:r>
            <m:t>C</m:t>
          </m:r>
          <m:r>
            <m:t>→</m:t>
          </m:r>
          <m:r>
            <m:t>U</m:t>
          </m:r>
          <m:r>
            <m:t>O</m:t>
          </m:r>
          <m:r>
            <m:t>.</m:t>
          </m:r>
        </m:oMath>
      </m:oMathPara>
    </w:p>
    <w:p>
      <w:pPr>
        <w:pStyle w:val="FirstParagraph"/>
      </w:pPr>
      <w:r>
        <w:t xml:space="preserve">What changes is the source of permission and consequence.</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View</w:t>
            </w:r>
          </w:p>
        </w:tc>
        <w:tc>
          <w:tcPr>
            <w:tcBorders>
              <w:bottom w:val="single"/>
            </w:tcBorders>
            <w:vAlign w:val="bottom"/>
          </w:tcPr>
          <w:p>
            <w:pPr>
              <w:pStyle w:val="Compact"/>
              <w:jc w:val="left"/>
            </w:pPr>
            <w:r>
              <w:t xml:space="preserve">Objects</w:t>
            </w:r>
          </w:p>
        </w:tc>
        <w:tc>
          <w:tcPr>
            <w:tcBorders>
              <w:bottom w:val="single"/>
            </w:tcBorders>
            <w:vAlign w:val="bottom"/>
          </w:tcPr>
          <w:p>
            <w:pPr>
              <w:pStyle w:val="Compact"/>
              <w:jc w:val="left"/>
            </w:pPr>
            <w:r>
              <w:t xml:space="preserve">Permission</w:t>
            </w:r>
          </w:p>
        </w:tc>
        <w:tc>
          <w:tcPr>
            <w:tcBorders>
              <w:bottom w:val="single"/>
            </w:tcBorders>
            <w:vAlign w:val="bottom"/>
          </w:tcPr>
          <w:p>
            <w:pPr>
              <w:pStyle w:val="Compact"/>
              <w:jc w:val="left"/>
            </w:pPr>
            <w:r>
              <w:t xml:space="preserve">Consequence</w:t>
            </w:r>
          </w:p>
        </w:tc>
        <w:tc>
          <w:tcPr>
            <w:tcBorders>
              <w:bottom w:val="single"/>
            </w:tcBorders>
            <w:vAlign w:val="bottom"/>
          </w:tcPr>
          <w:p>
            <w:pPr>
              <w:pStyle w:val="Compact"/>
              <w:jc w:val="left"/>
            </w:pPr>
            <w:r>
              <w:t xml:space="preserve">Rejected</w:t>
            </w:r>
            <w:r>
              <w:t xml:space="preserve"> </w:t>
            </w:r>
            <w:r>
              <w:rPr>
                <w:rStyle w:val="VerbatimChar"/>
              </w:rPr>
              <w:t xml:space="preserve">open(LC)</w:t>
            </w:r>
          </w:p>
        </w:tc>
      </w:tr>
      <w:tr>
        <w:tc>
          <w:p>
            <w:pPr>
              <w:pStyle w:val="Compact"/>
              <w:jc w:val="left"/>
            </w:pPr>
            <w:r>
              <w:t xml:space="preserve">Algebraic</w:t>
            </w:r>
          </w:p>
        </w:tc>
        <w:tc>
          <w:p>
            <w:pPr>
              <w:pStyle w:val="Compact"/>
              <w:jc w:val="left"/>
            </w:pPr>
            <w:r>
              <w:t xml:space="preserve">elements of</w:t>
            </w:r>
            <w:r>
              <w:t xml:space="preserve"> </w:t>
            </w:r>
            <m:oMath>
              <m:r>
                <m:t>D</m:t>
              </m:r>
            </m:oMath>
          </w:p>
        </w:tc>
        <w:tc>
          <w:p>
            <w:pPr>
              <w:pStyle w:val="Compact"/>
              <w:jc w:val="left"/>
            </w:pPr>
            <w:r>
              <w:t xml:space="preserve">input lies in a partial operation’s domain</w:t>
            </w:r>
          </w:p>
        </w:tc>
        <w:tc>
          <w:p>
            <w:pPr>
              <w:pStyle w:val="Compact"/>
              <w:jc w:val="left"/>
            </w:pPr>
            <w:r>
              <w:t xml:space="preserve">operation returns another element of</w:t>
            </w:r>
            <w:r>
              <w:t xml:space="preserve"> </w:t>
            </w:r>
            <m:oMath>
              <m:r>
                <m:t>D</m:t>
              </m:r>
            </m:oMath>
          </w:p>
        </w:tc>
        <w:tc>
          <w:p>
            <w:pPr>
              <w:pStyle w:val="Compact"/>
              <w:jc w:val="left"/>
            </w:pPr>
            <w:r>
              <w:t xml:space="preserve">undefined</w:t>
            </w:r>
          </w:p>
        </w:tc>
      </w:tr>
      <w:tr>
        <w:tc>
          <w:p>
            <w:pPr>
              <w:pStyle w:val="Compact"/>
              <w:jc w:val="left"/>
            </w:pPr>
            <w:r>
              <w:t xml:space="preserve">Symbolic</w:t>
            </w:r>
          </w:p>
        </w:tc>
        <w:tc>
          <w:p>
            <w:pPr>
              <w:pStyle w:val="Compact"/>
              <w:jc w:val="left"/>
            </w:pPr>
            <w:r>
              <w:t xml:space="preserve">represented facts and actions</w:t>
            </w:r>
          </w:p>
        </w:tc>
        <w:tc>
          <w:p>
            <w:pPr>
              <w:pStyle w:val="Compact"/>
              <w:jc w:val="left"/>
            </w:pPr>
            <w:r>
              <w:t xml:space="preserve">represented preconditions hold</w:t>
            </w:r>
          </w:p>
        </w:tc>
        <w:tc>
          <w:p>
            <w:pPr>
              <w:pStyle w:val="Compact"/>
              <w:jc w:val="left"/>
            </w:pPr>
            <w:r>
              <w:t xml:space="preserve">represented effects update facts</w:t>
            </w:r>
          </w:p>
        </w:tc>
        <w:tc>
          <w:p>
            <w:pPr>
              <w:pStyle w:val="Compact"/>
              <w:jc w:val="left"/>
            </w:pPr>
            <w:r>
              <w:t xml:space="preserve">inapplicable</w:t>
            </w:r>
          </w:p>
        </w:tc>
      </w:tr>
      <w:tr>
        <w:tc>
          <w:p>
            <w:pPr>
              <w:pStyle w:val="Compact"/>
              <w:jc w:val="left"/>
            </w:pPr>
            <w:r>
              <w:t xml:space="preserve">Programmed</w:t>
            </w:r>
          </w:p>
        </w:tc>
        <w:tc>
          <w:p>
            <w:pPr>
              <w:pStyle w:val="Compact"/>
              <w:jc w:val="left"/>
            </w:pPr>
            <w:r>
              <w:t xml:space="preserve">typed values and functions</w:t>
            </w:r>
          </w:p>
        </w:tc>
        <w:tc>
          <w:p>
            <w:pPr>
              <w:pStyle w:val="Compact"/>
              <w:jc w:val="left"/>
            </w:pPr>
            <w:r>
              <w:t xml:space="preserve">a state reaches a matching branch under language rules</w:t>
            </w:r>
          </w:p>
        </w:tc>
        <w:tc>
          <w:p>
            <w:pPr>
              <w:pStyle w:val="Compact"/>
              <w:jc w:val="left"/>
            </w:pPr>
            <w:r>
              <w:t xml:space="preserve">execution returns</w:t>
            </w:r>
            <w:r>
              <w:t xml:space="preserve"> </w:t>
            </w:r>
            <w:r>
              <w:rPr>
                <w:rStyle w:val="VerbatimChar"/>
              </w:rPr>
              <w:t xml:space="preserve">Ok</w:t>
            </w:r>
            <w:r>
              <w:t xml:space="preserve"> </w:t>
            </w:r>
            <w:r>
              <w:t xml:space="preserve">or</w:t>
            </w:r>
            <w:r>
              <w:t xml:space="preserve"> </w:t>
            </w:r>
            <w:r>
              <w:rPr>
                <w:rStyle w:val="VerbatimChar"/>
              </w:rPr>
              <w:t xml:space="preserve">Err</w:t>
            </w:r>
          </w:p>
        </w:tc>
        <w:tc>
          <w:p>
            <w:pPr>
              <w:pStyle w:val="Compact"/>
              <w:jc w:val="left"/>
            </w:pPr>
            <w:r>
              <w:rPr>
                <w:rStyle w:val="VerbatimChar"/>
              </w:rPr>
              <w:t xml:space="preserve">Err(Locked)</w:t>
            </w:r>
          </w:p>
        </w:tc>
      </w:tr>
    </w:tbl>
    <w:p>
      <w:pPr>
        <w:pStyle w:val="BodyText"/>
      </w:pPr>
      <w:r>
        <w:t xml:space="preserve">This is a comparison of interfaces, not an equivalence. The algebraic view specifies a relation among declared objects. The symbolic view manipulates represented facts under action descriptions. The program executes language expressions over typed values. Their traces can align because we designed them to represent corresponding distinctions. Alignment does not erase the different machinery that produced each trace.</w:t>
      </w:r>
    </w:p>
    <w:p>
      <w:pPr>
        <w:pStyle w:val="Heading2"/>
      </w:pPr>
      <w:bookmarkStart w:id="34" w:name="chapter-1-where-internal-success-ends"/>
      <w:r>
        <w:t xml:space="preserve">Where Internal Success Ends</w:t>
      </w:r>
      <w:bookmarkEnd w:id="34"/>
    </w:p>
    <w:p>
      <w:pPr>
        <w:pStyle w:val="FirstParagraph"/>
      </w:pPr>
      <w:r>
        <w:t xml:space="preserve">All three views operate on representations. To claim that the model corresponds to a physical door, we would need evidence connecting the world to the represented state. Let</w:t>
      </w:r>
      <w:r>
        <w:t xml:space="preserve"> </w:t>
      </w:r>
      <m:oMath>
        <m:sSub>
          <m:e>
            <m:r>
              <m:t>W</m:t>
            </m:r>
          </m:e>
          <m:sub>
            <m:r>
              <m:t>t</m:t>
            </m:r>
          </m:sub>
        </m:sSub>
      </m:oMath>
      <w:r>
        <w:t xml:space="preserve"> </w:t>
      </w:r>
      <w:r>
        <w:t xml:space="preserve">denote a physical condition,</w:t>
      </w:r>
      <w:r>
        <w:t xml:space="preserve"> </w:t>
      </w:r>
      <m:oMath>
        <m:sSub>
          <m:e>
            <m:r>
              <m:t>S</m:t>
            </m:r>
          </m:e>
          <m:sub>
            <m:r>
              <m:t>t</m:t>
            </m:r>
          </m:sub>
        </m:sSub>
      </m:oMath>
      <w:r>
        <w:t xml:space="preserve"> </w:t>
      </w:r>
      <w:r>
        <w:t xml:space="preserve">a sensor reading, and</w:t>
      </w:r>
      <w:r>
        <w:t xml:space="preserve"> </w:t>
      </w:r>
      <m:oMath>
        <m:sSub>
          <m:e>
            <m:r>
              <m:t>D</m:t>
            </m:r>
          </m:e>
          <m:sub>
            <m:r>
              <m:t>t</m:t>
            </m:r>
          </m:sub>
        </m:sSub>
      </m:oMath>
      <w:r>
        <w:t xml:space="preserve"> </w:t>
      </w:r>
      <w:r>
        <w:t xml:space="preserve">the encoded door state. Correspondence requires a tested chain such as</w:t>
      </w:r>
    </w:p>
    <w:p>
      <w:pPr>
        <w:pStyle w:val="BodyText"/>
      </w:pPr>
      <m:oMathPara>
        <m:oMathParaPr>
          <m:jc m:val="center"/>
        </m:oMathParaPr>
        <m:oMath>
          <m:sSub>
            <m:e>
              <m:r>
                <m:t>W</m:t>
              </m:r>
            </m:e>
            <m:sub>
              <m:r>
                <m:t>t</m:t>
              </m:r>
            </m:sub>
          </m:sSub>
          <m:r>
            <m:t>→</m:t>
          </m:r>
          <m:sSub>
            <m:e>
              <m:r>
                <m:t>S</m:t>
              </m:r>
            </m:e>
            <m:sub>
              <m:r>
                <m:t>t</m:t>
              </m:r>
            </m:sub>
          </m:sSub>
          <m:limUpp>
            <m:e>
              <m:r>
                <m:t>→</m:t>
              </m:r>
            </m:e>
            <m:lim>
              <m:r>
                <m:t>e</m:t>
              </m:r>
              <m:r>
                <m:t>n</m:t>
              </m:r>
              <m:r>
                <m:t>c</m:t>
              </m:r>
              <m:r>
                <m:t>o</m:t>
              </m:r>
              <m:r>
                <m:t>d</m:t>
              </m:r>
              <m:r>
                <m:t>e</m:t>
              </m:r>
            </m:lim>
          </m:limUpp>
          <m:sSub>
            <m:e>
              <m:r>
                <m:t>D</m:t>
              </m:r>
            </m:e>
            <m:sub>
              <m:r>
                <m:t>t</m:t>
              </m:r>
            </m:sub>
          </m:sSub>
          <m:r>
            <m:t>.</m:t>
          </m:r>
        </m:oMath>
      </m:oMathPara>
    </w:p>
    <w:p>
      <w:pPr>
        <w:pStyle w:val="FirstParagraph"/>
      </w:pPr>
      <w:r>
        <w:t xml:space="preserve">Operational adequacy requires more. A command must pass through a controller and actuator, produce a new observable condition, and satisfy a task criterion:</w:t>
      </w:r>
    </w:p>
    <w:p>
      <w:pPr>
        <w:pStyle w:val="BodyText"/>
      </w:pPr>
      <m:oMathPara>
        <m:oMathParaPr>
          <m:jc m:val="center"/>
        </m:oMathParaPr>
        <m:oMath>
          <m:sSub>
            <m:e>
              <m:r>
                <m:t>D</m:t>
              </m:r>
            </m:e>
            <m:sub>
              <m:r>
                <m:t>t</m:t>
              </m:r>
            </m:sub>
          </m:sSub>
          <m:r>
            <m:t>→</m:t>
          </m:r>
          <m:r>
            <m:t>c</m:t>
          </m:r>
          <m:r>
            <m:t>o</m:t>
          </m:r>
          <m:r>
            <m:t>m</m:t>
          </m:r>
          <m:r>
            <m:t>m</m:t>
          </m:r>
          <m:r>
            <m:t>a</m:t>
          </m:r>
          <m:r>
            <m:t>n</m:t>
          </m:r>
          <m:r>
            <m:t>d</m:t>
          </m:r>
          <m:r>
            <m:t>→</m:t>
          </m:r>
          <m:r>
            <m:t>c</m:t>
          </m:r>
          <m:r>
            <m:t>o</m:t>
          </m:r>
          <m:r>
            <m:t>n</m:t>
          </m:r>
          <m:r>
            <m:t>t</m:t>
          </m:r>
          <m:r>
            <m:t>r</m:t>
          </m:r>
          <m:r>
            <m:t>o</m:t>
          </m:r>
          <m:r>
            <m:t>l</m:t>
          </m:r>
          <m:r>
            <m:t>l</m:t>
          </m:r>
          <m:r>
            <m:t>e</m:t>
          </m:r>
          <m:r>
            <m:t>r</m:t>
          </m:r>
          <m:r>
            <m:t>→</m:t>
          </m:r>
          <m:r>
            <m:t>a</m:t>
          </m:r>
          <m:r>
            <m:t>c</m:t>
          </m:r>
          <m:r>
            <m:t>t</m:t>
          </m:r>
          <m:r>
            <m:t>u</m:t>
          </m:r>
          <m:r>
            <m:t>a</m:t>
          </m:r>
          <m:r>
            <m:t>t</m:t>
          </m:r>
          <m:r>
            <m:t>o</m:t>
          </m:r>
          <m:r>
            <m:t>r</m:t>
          </m:r>
          <m:r>
            <m:t>→</m:t>
          </m:r>
          <m:sSub>
            <m:e>
              <m:r>
                <m:t>S</m:t>
              </m:r>
            </m:e>
            <m:sub>
              <m:r>
                <m:t>t</m:t>
              </m:r>
              <m:r>
                <m:t>+</m:t>
              </m:r>
              <m:r>
                <m:t>1</m:t>
              </m:r>
            </m:sub>
          </m:sSub>
          <m:limUpp>
            <m:e>
              <m:r>
                <m:t>→</m:t>
              </m:r>
            </m:e>
            <m:lim>
              <m:r>
                <m:t>e</m:t>
              </m:r>
              <m:r>
                <m:t>n</m:t>
              </m:r>
              <m:r>
                <m:t>c</m:t>
              </m:r>
              <m:r>
                <m:t>o</m:t>
              </m:r>
              <m:r>
                <m:t>d</m:t>
              </m:r>
              <m:r>
                <m:t>e</m:t>
              </m:r>
            </m:lim>
          </m:limUpp>
          <m:sSub>
            <m:e>
              <m:r>
                <m:t>D</m:t>
              </m:r>
            </m:e>
            <m:sub>
              <m:r>
                <m:t>t</m:t>
              </m:r>
              <m:r>
                <m:t>+</m:t>
              </m:r>
              <m:r>
                <m:t>1</m:t>
              </m:r>
            </m:sub>
          </m:sSub>
          <m:r>
            <m:t>.</m:t>
          </m:r>
        </m:oMath>
      </m:oMathPara>
    </w:p>
    <w:p>
      <w:pPr>
        <w:pStyle w:val="FirstParagraph"/>
      </w:pPr>
      <w:r>
        <w:t xml:space="preserve">No equation, symbolic rule, or successful function call establishes that chain by itself.</w:t>
      </w:r>
      <w:r>
        <w:t xml:space="preserve"> </w:t>
      </w:r>
      <w:r>
        <w:rPr>
          <w:rStyle w:val="VerbatimChar"/>
        </w:rPr>
        <w:t xml:space="preserve">Ok(UnlockedOpen)</w:t>
      </w:r>
      <w:r>
        <w:t xml:space="preserve"> </w:t>
      </w:r>
      <w:r>
        <w:t xml:space="preserve">means that the program returned the success variant containing that represented state. It does not mean that a sensor was calibrated, an actuator moved, an obstruction was absent, or the action served a user’s goal.</w:t>
      </w:r>
    </w:p>
    <w:p>
      <w:pPr>
        <w:pStyle w:val="BodyText"/>
      </w:pPr>
      <w:r>
        <w:t xml:space="preserve">This boundary is not a defect in formalization. It tells us what kind of evidence is still missing. Internal checks answer internal questions. Empirical and operational claims require tests that cross the relevant interfaces.</w:t>
      </w:r>
    </w:p>
    <w:p>
      <w:pPr>
        <w:pStyle w:val="Heading2"/>
      </w:pPr>
      <w:bookmarkStart w:id="35" w:name="chapter-1-from-rules-to-representation"/>
      <w:r>
        <w:t xml:space="preserve">From Rules to Representation</w:t>
      </w:r>
      <w:bookmarkEnd w:id="35"/>
    </w:p>
    <w:p>
      <w:pPr>
        <w:pStyle w:val="FirstParagraph"/>
      </w:pPr>
      <w:r>
        <w:t xml:space="preserve">We can now use the word</w:t>
      </w:r>
      <w:r>
        <w:t xml:space="preserve"> </w:t>
      </w:r>
      <w:r>
        <w:rPr>
          <w:i/>
        </w:rPr>
        <w:t xml:space="preserve">constraint</w:t>
      </w:r>
      <w:r>
        <w:t xml:space="preserve"> </w:t>
      </w:r>
      <w:r>
        <w:t xml:space="preserve">more carefully. An operation is constrained by its declared domain. A symbolic action is constrained by represented preconditions and the procedure that selects it. A program is constrained by syntax, types, control flow, translation, and runtime behavior. Each system can establish a form of validity within its own boundaries.</w:t>
      </w:r>
    </w:p>
    <w:p>
      <w:pPr>
        <w:pStyle w:val="BodyText"/>
      </w:pPr>
      <w:r>
        <w:t xml:space="preserve">The next question begins inside those boundaries. Every operation, fact, pattern, and state must be represented in a form its system can distinguish. The word</w:t>
      </w:r>
      <w:r>
        <w:t xml:space="preserve"> </w:t>
      </w:r>
      <w:r>
        <w:rPr>
          <w:rStyle w:val="VerbatimChar"/>
        </w:rPr>
        <w:t xml:space="preserve">open</w:t>
      </w:r>
      <w:r>
        <w:t xml:space="preserve">, the enum variant</w:t>
      </w:r>
      <w:r>
        <w:t xml:space="preserve"> </w:t>
      </w:r>
      <w:r>
        <w:rPr>
          <w:rStyle w:val="VerbatimChar"/>
        </w:rPr>
        <w:t xml:space="preserve">UnlockedOpen</w:t>
      </w:r>
      <w:r>
        <w:t xml:space="preserve">, an integer identifier, a one-hot coordinate, and a dense vector are not interchangeable versions of an intrinsic meaning. They are objects connected by chosen mappings.</w:t>
      </w:r>
    </w:p>
    <w:p>
      <w:pPr>
        <w:pStyle w:val="BodyText"/>
      </w:pPr>
      <w:r>
        <w:t xml:space="preserve">Chapter 2 follows those mappings. It asks how selected symbols become numerical objects and which distinctions survive the journey from text to coordinates.</w:t>
      </w:r>
    </w:p>
    <w:p>
      <w:pPr>
        <w:pStyle w:val="Heading2"/>
      </w:pPr>
      <w:bookmarkStart w:id="36" w:name="chapter-1-sources-and-evidence"/>
      <w:r>
        <w:t xml:space="preserve">Sources and Evidence</w:t>
      </w:r>
      <w:bookmarkEnd w:id="36"/>
    </w:p>
    <w:p>
      <w:pPr>
        <w:pStyle w:val="FirstParagraph"/>
      </w:pPr>
      <w:r>
        <w:t xml:space="preserve">The chapter’s bounded historical and language claims are documented in the</w:t>
      </w:r>
      <w:r>
        <w:t xml:space="preserve"> </w:t>
      </w:r>
      <w:hyperlink r:id="rId37">
        <w:r>
          <w:rPr>
            <w:rStyle w:val="Hyperlink"/>
          </w:rPr>
          <w:t xml:space="preserve">Chapter 1 source ledger</w:t>
        </w:r>
      </w:hyperlink>
      <w:r>
        <w:t xml:space="preserve">. The complete formal comparison and evidence boundary are recorded in the</w:t>
      </w:r>
      <w:r>
        <w:t xml:space="preserve"> </w:t>
      </w:r>
      <w:hyperlink r:id="rId38">
        <w:r>
          <w:rPr>
            <w:rStyle w:val="Hyperlink"/>
          </w:rPr>
          <w:t xml:space="preserve">door-transition artifact</w:t>
        </w:r>
      </w:hyperlink>
      <w:r>
        <w:t xml:space="preserve">, and the tested implementation is available as</w:t>
      </w:r>
      <w:r>
        <w:t xml:space="preserve"> </w:t>
      </w:r>
      <w:hyperlink r:id="rId39">
        <w:r>
          <w:rPr>
            <w:rStyle w:val="Hyperlink"/>
          </w:rPr>
          <w:t xml:space="preserve">Rust source</w:t>
        </w:r>
      </w:hyperlink>
      <w:r>
        <w:t xml:space="preserve">. Visual provenance and accessibility details are recorded with</w:t>
      </w:r>
      <w:r>
        <w:t xml:space="preserve"> </w:t>
      </w:r>
      <w:hyperlink r:id="rId40">
        <w:r>
          <w:rPr>
            <w:rStyle w:val="Hyperlink"/>
          </w:rPr>
          <w:t xml:space="preserve">Three Forms of Constraint</w:t>
        </w:r>
      </w:hyperlink>
      <w:r>
        <w:t xml:space="preserve">.</w:t>
      </w:r>
    </w:p>
    <w:p>
      <w:pPr>
        <w:pStyle w:val="Heading1"/>
      </w:pPr>
      <w:bookmarkStart w:id="41" w:name="chapter-2"/>
      <w:r>
        <w:t xml:space="preserve">Chapter 2 — Representation Becomes Numerical</w:t>
      </w:r>
      <w:bookmarkEnd w:id="41"/>
    </w:p>
    <w:p>
      <w:pPr>
        <w:pStyle w:val="FirstParagraph"/>
      </w:pPr>
      <w:r>
        <w:t xml:space="preserve">At the end of Chapter 1, the door model contained a state called</w:t>
      </w:r>
      <w:r>
        <w:t xml:space="preserve"> </w:t>
      </w:r>
      <w:r>
        <w:rPr>
          <w:rStyle w:val="VerbatimChar"/>
        </w:rPr>
        <w:t xml:space="preserve">UnlockedOpen</w:t>
      </w:r>
      <w:r>
        <w:t xml:space="preserve">. The Rust program contained a variant with the same name. The symbolic system contained the facts</w:t>
      </w:r>
      <w:r>
        <w:t xml:space="preserve"> </w:t>
      </w:r>
      <w:r>
        <w:rPr>
          <w:rStyle w:val="VerbatimChar"/>
        </w:rPr>
        <w:t xml:space="preserve">unlocked</w:t>
      </w:r>
      <w:r>
        <w:t xml:space="preserve"> </w:t>
      </w:r>
      <w:r>
        <w:t xml:space="preserve">and</w:t>
      </w:r>
      <w:r>
        <w:t xml:space="preserve"> </w:t>
      </w:r>
      <w:r>
        <w:rPr>
          <w:rStyle w:val="VerbatimChar"/>
        </w:rPr>
        <w:t xml:space="preserve">open</w:t>
      </w:r>
      <w:r>
        <w:t xml:space="preserve">. Those labels helped us align three views, but the labels were not the door, and they were not interchangeable objects inside the three systems.</w:t>
      </w:r>
    </w:p>
    <w:p>
      <w:pPr>
        <w:pStyle w:val="BodyText"/>
      </w:pPr>
      <w:r>
        <w:t xml:space="preserve">Before a machine can transform text numerically, it needs a chain of representations. Source characters must be selected and normalized. A tokenizer must assign boundaries. A vocabulary must map an admitted token to an identifier. An encoding must make that identifier available to numerical operations. A lookup table may then select a vector.</w:t>
      </w:r>
    </w:p>
    <w:p>
      <w:pPr>
        <w:pStyle w:val="BodyText"/>
      </w:pPr>
      <w:r>
        <w:t xml:space="preserve">It is tempting to compress the entire chain into one sentence:</w:t>
      </w:r>
      <w:r>
        <w:t xml:space="preserve"> </w:t>
      </w:r>
      <w:r>
        <w:t xml:space="preserve">“</w:t>
      </w:r>
      <w:r>
        <w:t xml:space="preserve">The word becomes a vector.</w:t>
      </w:r>
      <w:r>
        <w:t xml:space="preserve">”</w:t>
      </w:r>
      <w:r>
        <w:t xml:space="preserve"> </w:t>
      </w:r>
      <w:r>
        <w:t xml:space="preserve">That sentence hides every policy decision that determines what the system can still distinguish.</w:t>
      </w:r>
    </w:p>
    <w:p>
      <w:pPr>
        <w:pStyle w:val="BodyText"/>
      </w:pPr>
      <w:r>
        <w:t xml:space="preserve">This chapter follows one small input through the chain. We will then renumber the vocabulary without changing the selected vector, and finally show two distinct inputs collapsing to one representation. Together, those tests reveal both the flexibility and the cost of numerical representation.</w:t>
      </w:r>
    </w:p>
    <w:p>
      <w:pPr>
        <w:pStyle w:val="Heading2"/>
      </w:pPr>
      <w:bookmarkStart w:id="42" w:name="chapter-2-start-with-source-text"/>
      <w:r>
        <w:t xml:space="preserve">Start with Source Text</w:t>
      </w:r>
      <w:bookmarkEnd w:id="42"/>
    </w:p>
    <w:p>
      <w:pPr>
        <w:pStyle w:val="FirstParagraph"/>
      </w:pPr>
      <w:r>
        <w:t xml:space="preserve">Our source is the character sequence</w:t>
      </w:r>
    </w:p>
    <w:p>
      <w:pPr>
        <w:pStyle w:val="SourceCode"/>
      </w:pPr>
      <w:r>
        <w:rPr>
          <w:rStyle w:val="VerbatimChar"/>
        </w:rPr>
        <w:t xml:space="preserve"> OPEN </w:t>
      </w:r>
    </w:p>
    <w:p>
      <w:pPr>
        <w:pStyle w:val="FirstParagraph"/>
      </w:pPr>
      <w:r>
        <w:t xml:space="preserve">It includes leading and trailing spaces and uses uppercase letters. The probe applies three declared transformations:</w:t>
      </w:r>
    </w:p>
    <w:p>
      <w:pPr>
        <w:numPr>
          <w:ilvl w:val="0"/>
          <w:numId w:val="1003"/>
        </w:numPr>
        <w:pStyle w:val="Compact"/>
      </w:pPr>
      <w:r>
        <w:t xml:space="preserve">Unicode NFC normalization</w:t>
      </w:r>
    </w:p>
    <w:p>
      <w:pPr>
        <w:numPr>
          <w:ilvl w:val="0"/>
          <w:numId w:val="1003"/>
        </w:numPr>
        <w:pStyle w:val="Compact"/>
      </w:pPr>
      <w:r>
        <w:t xml:space="preserve">Unicode case folding</w:t>
      </w:r>
    </w:p>
    <w:p>
      <w:pPr>
        <w:numPr>
          <w:ilvl w:val="0"/>
          <w:numId w:val="1003"/>
        </w:numPr>
        <w:pStyle w:val="Compact"/>
      </w:pPr>
      <w:r>
        <w:t xml:space="preserve">removal of leading and trailing whitespace</w:t>
      </w:r>
    </w:p>
    <w:p>
      <w:pPr>
        <w:pStyle w:val="FirstParagraph"/>
      </w:pPr>
      <w:r>
        <w:t xml:space="preserve">The result is</w:t>
      </w:r>
    </w:p>
    <w:p>
      <w:pPr>
        <w:pStyle w:val="SourceCode"/>
      </w:pPr>
      <w:r>
        <w:rPr>
          <w:rStyle w:val="VerbatimChar"/>
        </w:rPr>
        <w:t xml:space="preserve">open</w:t>
      </w:r>
    </w:p>
    <w:p>
      <w:pPr>
        <w:pStyle w:val="FirstParagraph"/>
      </w:pPr>
      <w:r>
        <w:t xml:space="preserve">These transformations are not discoveries about what the source intrinsically means. They are policies. NFC applies a particular Unicode normalization form. Case folding supports caseless comparison. Trimming removes distinctions at the beginning and end of this input. Different applications and languages can require different choices.</w:t>
      </w:r>
    </w:p>
    <w:p>
      <w:pPr>
        <w:pStyle w:val="BodyText"/>
      </w:pPr>
      <w:r>
        <w:t xml:space="preserve">The probe then splits on whitespace. Because the normalized text contains one non-whitespace sequence, the resulting token sequence is</w:t>
      </w:r>
    </w:p>
    <w:p>
      <w:pPr>
        <w:pStyle w:val="SourceCode"/>
      </w:pPr>
      <w:r>
        <w:rPr>
          <w:rStyle w:val="VerbatimChar"/>
        </w:rPr>
        <w:t xml:space="preserve">["open"]</w:t>
      </w:r>
    </w:p>
    <w:p>
      <w:pPr>
        <w:pStyle w:val="FirstParagraph"/>
      </w:pPr>
      <w:r>
        <w:t xml:space="preserve">This is a deliberately simple tokenizer. Production systems may split punctuation, use learned subword units, operate on bytes, or combine configurable normalization and pre-tokenization stages. There is no claim here that whitespace reveals a unique natural boundary. We need only one completely declared policy whose effects we can inspect.</w:t>
      </w:r>
    </w:p>
    <w:p>
      <w:pPr>
        <w:pStyle w:val="Heading2"/>
      </w:pPr>
      <w:bookmarkStart w:id="43" w:name="chapter-2-a-token-is-not-its-identifier"/>
      <w:r>
        <w:t xml:space="preserve">A Token Is Not Its Identifier</w:t>
      </w:r>
      <w:bookmarkEnd w:id="43"/>
    </w:p>
    <w:p>
      <w:pPr>
        <w:pStyle w:val="FirstParagraph"/>
      </w:pPr>
      <w:r>
        <w:t xml:space="preserve">The base vocabulary contains four entries:</w:t>
      </w:r>
    </w:p>
    <w:tbl>
      <w:tblPr>
        <w:tblStyle w:val="Table"/>
        <w:tblW w:type="pct" w:w="0.0"/>
        <w:tblLook w:firstRow="1"/>
      </w:tblPr>
      <w:tblGrid/>
      <w:tr>
        <w:trPr>
          <w:cnfStyle w:firstRow="1"/>
        </w:trPr>
        <w:tc>
          <w:tcPr>
            <w:tcBorders>
              <w:bottom w:val="single"/>
            </w:tcBorders>
            <w:vAlign w:val="bottom"/>
          </w:tcPr>
          <w:p>
            <w:pPr>
              <w:pStyle w:val="Compact"/>
              <w:jc w:val="left"/>
            </w:pPr>
            <w:r>
              <w:t xml:space="preserve">Token</w:t>
            </w:r>
          </w:p>
        </w:tc>
        <w:tc>
          <w:tcPr>
            <w:tcBorders>
              <w:bottom w:val="single"/>
            </w:tcBorders>
            <w:vAlign w:val="bottom"/>
          </w:tcPr>
          <w:p>
            <w:pPr>
              <w:pStyle w:val="Compact"/>
              <w:jc w:val="right"/>
            </w:pPr>
            <w:r>
              <w:t xml:space="preserve">Identifier</w:t>
            </w:r>
          </w:p>
        </w:tc>
      </w:tr>
      <w:tr>
        <w:tc>
          <w:p>
            <w:pPr>
              <w:pStyle w:val="Compact"/>
              <w:jc w:val="left"/>
            </w:pPr>
            <w:r>
              <w:rPr>
                <w:rStyle w:val="VerbatimChar"/>
              </w:rPr>
              <w:t xml:space="preserve">&lt;unk&gt;</w:t>
            </w:r>
          </w:p>
        </w:tc>
        <w:tc>
          <w:p>
            <w:pPr>
              <w:pStyle w:val="Compact"/>
              <w:jc w:val="right"/>
            </w:pPr>
            <w:r>
              <w:t xml:space="preserve">0</w:t>
            </w:r>
          </w:p>
        </w:tc>
      </w:tr>
      <w:tr>
        <w:tc>
          <w:p>
            <w:pPr>
              <w:pStyle w:val="Compact"/>
              <w:jc w:val="left"/>
            </w:pPr>
            <w:r>
              <w:rPr>
                <w:rStyle w:val="VerbatimChar"/>
              </w:rPr>
              <w:t xml:space="preserve">locked</w:t>
            </w:r>
          </w:p>
        </w:tc>
        <w:tc>
          <w:p>
            <w:pPr>
              <w:pStyle w:val="Compact"/>
              <w:jc w:val="right"/>
            </w:pPr>
            <w:r>
              <w:t xml:space="preserve">1</w:t>
            </w:r>
          </w:p>
        </w:tc>
      </w:tr>
      <w:tr>
        <w:tc>
          <w:p>
            <w:pPr>
              <w:pStyle w:val="Compact"/>
              <w:jc w:val="left"/>
            </w:pPr>
            <w:r>
              <w:rPr>
                <w:rStyle w:val="VerbatimChar"/>
              </w:rPr>
              <w:t xml:space="preserve">unlocked</w:t>
            </w:r>
          </w:p>
        </w:tc>
        <w:tc>
          <w:p>
            <w:pPr>
              <w:pStyle w:val="Compact"/>
              <w:jc w:val="right"/>
            </w:pPr>
            <w:r>
              <w:t xml:space="preserve">2</w:t>
            </w:r>
          </w:p>
        </w:tc>
      </w:tr>
      <w:tr>
        <w:tc>
          <w:p>
            <w:pPr>
              <w:pStyle w:val="Compact"/>
              <w:jc w:val="left"/>
            </w:pPr>
            <w:r>
              <w:rPr>
                <w:rStyle w:val="VerbatimChar"/>
              </w:rPr>
              <w:t xml:space="preserve">open</w:t>
            </w:r>
          </w:p>
        </w:tc>
        <w:tc>
          <w:p>
            <w:pPr>
              <w:pStyle w:val="Compact"/>
              <w:jc w:val="right"/>
            </w:pPr>
            <w:r>
              <w:t xml:space="preserve">3</w:t>
            </w:r>
          </w:p>
        </w:tc>
      </w:tr>
    </w:tbl>
    <w:p>
      <w:pPr>
        <w:pStyle w:val="BodyText"/>
      </w:pPr>
      <w:r>
        <w:t xml:space="preserve">Under this assignment,</w:t>
      </w:r>
    </w:p>
    <w:p>
      <w:pPr>
        <w:pStyle w:val="BodyText"/>
      </w:pPr>
      <m:oMathPara>
        <m:oMathParaPr>
          <m:jc m:val="center"/>
        </m:oMathParaPr>
        <m:oMath>
          <m:sSub>
            <m:e>
              <m:r>
                <m:rPr>
                  <m:nor/>
                  <m:sty m:val="p"/>
                </m:rPr>
                <m:t>id</m:t>
              </m:r>
            </m:e>
            <m:sub>
              <m:r>
                <m:t>b</m:t>
              </m:r>
              <m:r>
                <m:t>a</m:t>
              </m:r>
              <m:r>
                <m:t>s</m:t>
              </m:r>
              <m:r>
                <m:t>e</m:t>
              </m:r>
            </m:sub>
          </m:sSub>
          <m:r>
            <m:t>(</m:t>
          </m:r>
          <m:r>
            <m:t>o</m:t>
          </m:r>
          <m:r>
            <m:t>p</m:t>
          </m:r>
          <m:r>
            <m:t>e</m:t>
          </m:r>
          <m:r>
            <m:t>n</m:t>
          </m:r>
          <m:r>
            <m:t>)</m:t>
          </m:r>
          <m:r>
            <m:t>=</m:t>
          </m:r>
          <m:r>
            <m:t>3</m:t>
          </m:r>
          <m:r>
            <m:t>.</m:t>
          </m:r>
        </m:oMath>
      </m:oMathPara>
    </w:p>
    <w:p>
      <w:pPr>
        <w:pStyle w:val="FirstParagraph"/>
      </w:pPr>
      <w:r>
        <w:t xml:space="preserve">The integer 3 is useful because an implementation can store, compare, and use it as an index. It does not say that</w:t>
      </w:r>
      <w:r>
        <w:t xml:space="preserve"> </w:t>
      </w:r>
      <w:r>
        <w:rPr>
          <w:rStyle w:val="VerbatimChar"/>
        </w:rPr>
        <w:t xml:space="preserve">open</w:t>
      </w:r>
      <w:r>
        <w:t xml:space="preserve"> </w:t>
      </w:r>
      <w:r>
        <w:t xml:space="preserve">is greater than</w:t>
      </w:r>
      <w:r>
        <w:t xml:space="preserve"> </w:t>
      </w:r>
      <w:r>
        <w:rPr>
          <w:rStyle w:val="VerbatimChar"/>
        </w:rPr>
        <w:t xml:space="preserve">locked</w:t>
      </w:r>
      <w:r>
        <w:t xml:space="preserve">, three times anything, or located at an intrinsically meaningful numerical position. It is an assigned identifier in this vocabulary.</w:t>
      </w:r>
    </w:p>
    <w:p>
      <w:pPr>
        <w:pStyle w:val="BodyText"/>
      </w:pPr>
      <w:r>
        <w:t xml:space="preserve">That distinction becomes visible when we construct a second vocabulary containing the same four tokens:</w:t>
      </w:r>
    </w:p>
    <w:tbl>
      <w:tblPr>
        <w:tblStyle w:val="Table"/>
        <w:tblW w:type="pct" w:w="0.0"/>
        <w:tblLook w:firstRow="1"/>
      </w:tblPr>
      <w:tblGrid/>
      <w:tr>
        <w:trPr>
          <w:cnfStyle w:firstRow="1"/>
        </w:trPr>
        <w:tc>
          <w:tcPr>
            <w:tcBorders>
              <w:bottom w:val="single"/>
            </w:tcBorders>
            <w:vAlign w:val="bottom"/>
          </w:tcPr>
          <w:p>
            <w:pPr>
              <w:pStyle w:val="Compact"/>
              <w:jc w:val="left"/>
            </w:pPr>
            <w:r>
              <w:t xml:space="preserve">Token</w:t>
            </w:r>
          </w:p>
        </w:tc>
        <w:tc>
          <w:tcPr>
            <w:tcBorders>
              <w:bottom w:val="single"/>
            </w:tcBorders>
            <w:vAlign w:val="bottom"/>
          </w:tcPr>
          <w:p>
            <w:pPr>
              <w:pStyle w:val="Compact"/>
              <w:jc w:val="right"/>
            </w:pPr>
            <w:r>
              <w:t xml:space="preserve">Identifier</w:t>
            </w:r>
          </w:p>
        </w:tc>
      </w:tr>
      <w:tr>
        <w:tc>
          <w:p>
            <w:pPr>
              <w:pStyle w:val="Compact"/>
              <w:jc w:val="left"/>
            </w:pPr>
            <w:r>
              <w:rPr>
                <w:rStyle w:val="VerbatimChar"/>
              </w:rPr>
              <w:t xml:space="preserve">unlocked</w:t>
            </w:r>
          </w:p>
        </w:tc>
        <w:tc>
          <w:p>
            <w:pPr>
              <w:pStyle w:val="Compact"/>
              <w:jc w:val="right"/>
            </w:pPr>
            <w:r>
              <w:t xml:space="preserve">0</w:t>
            </w:r>
          </w:p>
        </w:tc>
      </w:tr>
      <w:tr>
        <w:tc>
          <w:p>
            <w:pPr>
              <w:pStyle w:val="Compact"/>
              <w:jc w:val="left"/>
            </w:pPr>
            <w:r>
              <w:rPr>
                <w:rStyle w:val="VerbatimChar"/>
              </w:rPr>
              <w:t xml:space="preserve">open</w:t>
            </w:r>
          </w:p>
        </w:tc>
        <w:tc>
          <w:p>
            <w:pPr>
              <w:pStyle w:val="Compact"/>
              <w:jc w:val="right"/>
            </w:pPr>
            <w:r>
              <w:t xml:space="preserve">1</w:t>
            </w:r>
          </w:p>
        </w:tc>
      </w:tr>
      <w:tr>
        <w:tc>
          <w:p>
            <w:pPr>
              <w:pStyle w:val="Compact"/>
              <w:jc w:val="left"/>
            </w:pPr>
            <w:r>
              <w:rPr>
                <w:rStyle w:val="VerbatimChar"/>
              </w:rPr>
              <w:t xml:space="preserve">&lt;unk&gt;</w:t>
            </w:r>
          </w:p>
        </w:tc>
        <w:tc>
          <w:p>
            <w:pPr>
              <w:pStyle w:val="Compact"/>
              <w:jc w:val="right"/>
            </w:pPr>
            <w:r>
              <w:t xml:space="preserve">2</w:t>
            </w:r>
          </w:p>
        </w:tc>
      </w:tr>
      <w:tr>
        <w:tc>
          <w:p>
            <w:pPr>
              <w:pStyle w:val="Compact"/>
              <w:jc w:val="left"/>
            </w:pPr>
            <w:r>
              <w:rPr>
                <w:rStyle w:val="VerbatimChar"/>
              </w:rPr>
              <w:t xml:space="preserve">locked</w:t>
            </w:r>
          </w:p>
        </w:tc>
        <w:tc>
          <w:p>
            <w:pPr>
              <w:pStyle w:val="Compact"/>
              <w:jc w:val="right"/>
            </w:pPr>
            <w:r>
              <w:t xml:space="preserve">3</w:t>
            </w:r>
          </w:p>
        </w:tc>
      </w:tr>
    </w:tbl>
    <w:p>
      <w:pPr>
        <w:pStyle w:val="BodyText"/>
      </w:pPr>
      <w:r>
        <w:t xml:space="preserve">Now</w:t>
      </w:r>
    </w:p>
    <w:p>
      <w:pPr>
        <w:pStyle w:val="BodyText"/>
      </w:pPr>
      <m:oMathPara>
        <m:oMathParaPr>
          <m:jc m:val="center"/>
        </m:oMathParaPr>
        <m:oMath>
          <m:sSub>
            <m:e>
              <m:r>
                <m:rPr>
                  <m:nor/>
                  <m:sty m:val="p"/>
                </m:rPr>
                <m:t>id</m:t>
              </m:r>
            </m:e>
            <m:sub>
              <m:r>
                <m:t>p</m:t>
              </m:r>
              <m:r>
                <m:t>e</m:t>
              </m:r>
              <m:r>
                <m:t>r</m:t>
              </m:r>
              <m:r>
                <m:t>m</m:t>
              </m:r>
              <m:r>
                <m:t>u</m:t>
              </m:r>
              <m:r>
                <m:t>t</m:t>
              </m:r>
              <m:r>
                <m:t>e</m:t>
              </m:r>
              <m:r>
                <m:t>d</m:t>
              </m:r>
            </m:sub>
          </m:sSub>
          <m:r>
            <m:t>(</m:t>
          </m:r>
          <m:r>
            <m:t>o</m:t>
          </m:r>
          <m:r>
            <m:t>p</m:t>
          </m:r>
          <m:r>
            <m:t>e</m:t>
          </m:r>
          <m:r>
            <m:t>n</m:t>
          </m:r>
          <m:r>
            <m:t>)</m:t>
          </m:r>
          <m:r>
            <m:t>=</m:t>
          </m:r>
          <m:r>
            <m:t>1</m:t>
          </m:r>
          <m:r>
            <m:t>.</m:t>
          </m:r>
        </m:oMath>
      </m:oMathPara>
    </w:p>
    <w:p>
      <w:pPr>
        <w:pStyle w:val="FirstParagraph"/>
      </w:pPr>
      <w:r>
        <w:t xml:space="preserve">Nothing about the character sequence</w:t>
      </w:r>
      <w:r>
        <w:t xml:space="preserve"> </w:t>
      </w:r>
      <w:r>
        <w:rPr>
          <w:rStyle w:val="VerbatimChar"/>
        </w:rPr>
        <w:t xml:space="preserve">open</w:t>
      </w:r>
      <w:r>
        <w:t xml:space="preserve"> </w:t>
      </w:r>
      <w:r>
        <w:t xml:space="preserve">forced either assignment. The vocabulary supplied the mapping.</w:t>
      </w:r>
    </w:p>
    <w:p>
      <w:pPr>
        <w:pStyle w:val="Heading2"/>
      </w:pPr>
      <w:bookmarkStart w:id="44" w:name="chapter-2-from-identifier-to-coordinate"/>
      <w:r>
        <w:t xml:space="preserve">From Identifier to Coordinate</w:t>
      </w:r>
      <w:bookmarkEnd w:id="44"/>
    </w:p>
    <w:p>
      <w:pPr>
        <w:pStyle w:val="FirstParagraph"/>
      </w:pPr>
      <w:r>
        <w:t xml:space="preserve">An identifier can select a coordinate in a vector space. For a vocabulary of size four, represent identifier</w:t>
      </w:r>
      <w:r>
        <w:t xml:space="preserve"> </w:t>
      </w:r>
      <m:oMath>
        <m:r>
          <m:t>i</m:t>
        </m:r>
      </m:oMath>
      <w:r>
        <w:t xml:space="preserve"> </w:t>
      </w:r>
      <w:r>
        <w:t xml:space="preserve">by a one-hot vector in</w:t>
      </w:r>
      <w:r>
        <w:t xml:space="preserve"> </w:t>
      </w:r>
      <m:oMath>
        <m:sSup>
          <m:e>
            <m:r>
              <m:rPr>
                <m:sty m:val="p"/>
                <m:scr m:val="double-struck"/>
              </m:rPr>
              <m:t>R</m:t>
            </m:r>
          </m:e>
          <m:sup>
            <m:r>
              <m:t>4</m:t>
            </m:r>
          </m:sup>
        </m:sSup>
      </m:oMath>
      <w:r>
        <w:t xml:space="preserve">: one coordinate is 1 and the other three are 0.</w:t>
      </w:r>
    </w:p>
    <w:p>
      <w:pPr>
        <w:pStyle w:val="BodyText"/>
      </w:pPr>
      <w:r>
        <w:t xml:space="preserve">In the base assignment, identifier 3 gives</w:t>
      </w:r>
    </w:p>
    <w:p>
      <w:pPr>
        <w:pStyle w:val="BodyText"/>
      </w:pPr>
      <m:oMathPara>
        <m:oMathParaPr>
          <m:jc m:val="center"/>
        </m:oMathParaPr>
        <m:oMath>
          <m:r>
            <m:t>o</m:t>
          </m:r>
          <m:r>
            <m:t>p</m:t>
          </m:r>
          <m:r>
            <m:t>e</m:t>
          </m:r>
          <m:r>
            <m:t>n</m:t>
          </m:r>
          <m:r>
            <m:t>↦</m:t>
          </m:r>
          <m:r>
            <m:t>[</m:t>
          </m:r>
          <m:r>
            <m:t>0</m:t>
          </m:r>
          <m:r>
            <m:t>,</m:t>
          </m:r>
          <m:r>
            <m:t>0</m:t>
          </m:r>
          <m:r>
            <m:t>,</m:t>
          </m:r>
          <m:r>
            <m:t>0</m:t>
          </m:r>
          <m:r>
            <m:t>,</m:t>
          </m:r>
          <m:r>
            <m:t>1</m:t>
          </m:r>
          <m:r>
            <m:t>]</m:t>
          </m:r>
          <m:r>
            <m:t>.</m:t>
          </m:r>
        </m:oMath>
      </m:oMathPara>
    </w:p>
    <w:p>
      <w:pPr>
        <w:pStyle w:val="FirstParagraph"/>
      </w:pPr>
      <w:r>
        <w:t xml:space="preserve">In the permuted assignment, identifier 1 gives</w:t>
      </w:r>
    </w:p>
    <w:p>
      <w:pPr>
        <w:pStyle w:val="BodyText"/>
      </w:pPr>
      <m:oMathPara>
        <m:oMathParaPr>
          <m:jc m:val="center"/>
        </m:oMathParaPr>
        <m:oMath>
          <m:r>
            <m:t>o</m:t>
          </m:r>
          <m:r>
            <m:t>p</m:t>
          </m:r>
          <m:r>
            <m:t>e</m:t>
          </m:r>
          <m:r>
            <m:t>n</m:t>
          </m:r>
          <m:r>
            <m:t>↦</m:t>
          </m:r>
          <m:r>
            <m:t>[</m:t>
          </m:r>
          <m:r>
            <m:t>0</m:t>
          </m:r>
          <m:r>
            <m:t>,</m:t>
          </m:r>
          <m:r>
            <m:t>1</m:t>
          </m:r>
          <m:r>
            <m:t>,</m:t>
          </m:r>
          <m:r>
            <m:t>0</m:t>
          </m:r>
          <m:r>
            <m:t>,</m:t>
          </m:r>
          <m:r>
            <m:t>0</m:t>
          </m:r>
          <m:r>
            <m:t>]</m:t>
          </m:r>
          <m:r>
            <m:t>.</m:t>
          </m:r>
        </m:oMath>
      </m:oMathPara>
    </w:p>
    <w:p>
      <w:pPr>
        <w:pStyle w:val="FirstParagraph"/>
      </w:pPr>
      <w:r>
        <w:t xml:space="preserve">The coordinates differ:</w:t>
      </w:r>
    </w:p>
    <w:p>
      <w:pPr>
        <w:pStyle w:val="BodyText"/>
      </w:pPr>
      <m:oMathPara>
        <m:oMathParaPr>
          <m:jc m:val="center"/>
        </m:oMathParaPr>
        <m:oMath>
          <m:r>
            <m:t>[</m:t>
          </m:r>
          <m:r>
            <m:t>0</m:t>
          </m:r>
          <m:r>
            <m:t>,</m:t>
          </m:r>
          <m:r>
            <m:t>0</m:t>
          </m:r>
          <m:r>
            <m:t>,</m:t>
          </m:r>
          <m:r>
            <m:t>0</m:t>
          </m:r>
          <m:r>
            <m:t>,</m:t>
          </m:r>
          <m:r>
            <m:t>1</m:t>
          </m:r>
          <m:r>
            <m:t>]</m:t>
          </m:r>
          <m:r>
            <m:t>≠</m:t>
          </m:r>
          <m:r>
            <m:t>[</m:t>
          </m:r>
          <m:r>
            <m:t>0</m:t>
          </m:r>
          <m:r>
            <m:t>,</m:t>
          </m:r>
          <m:r>
            <m:t>1</m:t>
          </m:r>
          <m:r>
            <m:t>,</m:t>
          </m:r>
          <m:r>
            <m:t>0</m:t>
          </m:r>
          <m:r>
            <m:t>,</m:t>
          </m:r>
          <m:r>
            <m:t>0</m:t>
          </m:r>
          <m:r>
            <m:t>]</m:t>
          </m:r>
          <m:r>
            <m:t>.</m:t>
          </m:r>
        </m:oMath>
      </m:oMathPara>
    </w:p>
    <w:p>
      <w:pPr>
        <w:pStyle w:val="FirstParagraph"/>
      </w:pPr>
      <w:r>
        <w:t xml:space="preserve">This change does not indicate that the token itself changed. A coordinate is meaningful only relative to the basis and assignment that define it. Renumber the vocabulary, and the active one-hot coordinate moves with the identifier.</w:t>
      </w:r>
    </w:p>
    <w:p>
      <w:pPr>
        <w:pStyle w:val="BodyText"/>
      </w:pPr>
      <w:r>
        <w:t xml:space="preserve">One-hot vectors make the assignment explicit, but their dimension grows with the vocabulary. They also do not, by themselves, encode a useful notion of similarity. For any two different basis vectors</w:t>
      </w:r>
      <w:r>
        <w:t xml:space="preserve"> </w:t>
      </w:r>
      <m:oMath>
        <m:sSub>
          <m:e>
            <m:r>
              <m:t>e</m:t>
            </m:r>
          </m:e>
          <m:sub>
            <m:r>
              <m:t>i</m:t>
            </m:r>
          </m:sub>
        </m:sSub>
      </m:oMath>
      <w:r>
        <w:t xml:space="preserve"> </w:t>
      </w:r>
      <w:r>
        <w:t xml:space="preserve">and</w:t>
      </w:r>
      <w:r>
        <w:t xml:space="preserve"> </w:t>
      </w:r>
      <m:oMath>
        <m:sSub>
          <m:e>
            <m:r>
              <m:t>e</m:t>
            </m:r>
          </m:e>
          <m:sub>
            <m:r>
              <m:t>j</m:t>
            </m:r>
          </m:sub>
        </m:sSub>
      </m:oMath>
      <w:r>
        <w:t xml:space="preserve">,</w:t>
      </w:r>
    </w:p>
    <w:p>
      <w:pPr>
        <w:pStyle w:val="BodyText"/>
      </w:pPr>
      <m:oMathPara>
        <m:oMathParaPr>
          <m:jc m:val="center"/>
        </m:oMathParaPr>
        <m:oMath>
          <m:r>
            <m:t>∥</m:t>
          </m:r>
          <m:sSub>
            <m:e>
              <m:r>
                <m:t>e</m:t>
              </m:r>
            </m:e>
            <m:sub>
              <m:r>
                <m:t>i</m:t>
              </m:r>
            </m:sub>
          </m:sSub>
          <m:r>
            <m:t>−</m:t>
          </m:r>
          <m:sSub>
            <m:e>
              <m:r>
                <m:t>e</m:t>
              </m:r>
            </m:e>
            <m:sub>
              <m:r>
                <m:t>j</m:t>
              </m:r>
            </m:sub>
          </m:sSub>
          <m:sSub>
            <m:e>
              <m:r>
                <m:t>∥</m:t>
              </m:r>
            </m:e>
            <m:sub>
              <m:r>
                <m:t>2</m:t>
              </m:r>
            </m:sub>
          </m:sSub>
          <m:r>
            <m:t>=</m:t>
          </m:r>
          <m:rad>
            <m:radPr>
              <m:degHide m:val="1"/>
            </m:radPr>
            <m:deg/>
            <m:e>
              <m:r>
                <m:t>2</m:t>
              </m:r>
            </m:e>
          </m:rad>
          <m:r>
            <m:t>.</m:t>
          </m:r>
        </m:oMath>
      </m:oMathPara>
    </w:p>
    <w:p>
      <w:pPr>
        <w:pStyle w:val="FirstParagraph"/>
      </w:pPr>
      <w:r>
        <w:t xml:space="preserve">Every pair is therefore equally separated under Euclidean distance. Later chapters will examine learned dense representations and their geometry. Here we need only the simpler role of a one-hot coordinate: it selects one declared entry.</w:t>
      </w:r>
    </w:p>
    <w:p>
      <w:pPr>
        <w:pStyle w:val="Heading2"/>
      </w:pPr>
      <w:bookmarkStart w:id="45" w:name="chapter-2-lookup-is-another-mapping"/>
      <w:r>
        <w:t xml:space="preserve">Lookup Is Another Mapping</w:t>
      </w:r>
      <w:bookmarkEnd w:id="45"/>
    </w:p>
    <w:p>
      <w:pPr>
        <w:pStyle w:val="FirstParagraph"/>
      </w:pPr>
      <w:r>
        <w:t xml:space="preserve">Attach a fixed three-dimensional row to each token in the base vocabulary:</w:t>
      </w:r>
    </w:p>
    <w:tbl>
      <w:tblPr>
        <w:tblStyle w:val="Table"/>
        <w:tblW w:type="pct" w:w="0.0"/>
        <w:tblLook w:firstRow="1"/>
      </w:tblPr>
      <w:tblGrid/>
      <w:tr>
        <w:trPr>
          <w:cnfStyle w:firstRow="1"/>
        </w:trPr>
        <w:tc>
          <w:tcPr>
            <w:tcBorders>
              <w:bottom w:val="single"/>
            </w:tcBorders>
            <w:vAlign w:val="bottom"/>
          </w:tcPr>
          <w:p>
            <w:pPr>
              <w:pStyle w:val="Compact"/>
              <w:jc w:val="left"/>
            </w:pPr>
            <w:r>
              <w:t xml:space="preserve">Token</w:t>
            </w:r>
          </w:p>
        </w:tc>
        <w:tc>
          <w:tcPr>
            <w:tcBorders>
              <w:bottom w:val="single"/>
            </w:tcBorders>
            <w:vAlign w:val="bottom"/>
          </w:tcPr>
          <w:p>
            <w:pPr>
              <w:pStyle w:val="Compact"/>
              <w:jc w:val="right"/>
            </w:pPr>
            <w:r>
              <w:t xml:space="preserve">Identifier</w:t>
            </w:r>
          </w:p>
        </w:tc>
        <w:tc>
          <w:tcPr>
            <w:tcBorders>
              <w:bottom w:val="single"/>
            </w:tcBorders>
            <w:vAlign w:val="bottom"/>
          </w:tcPr>
          <w:p>
            <w:pPr>
              <w:pStyle w:val="Compact"/>
              <w:jc w:val="left"/>
            </w:pPr>
            <w:r>
              <w:t xml:space="preserve">Illustrative vector</w:t>
            </w:r>
          </w:p>
        </w:tc>
      </w:tr>
      <w:tr>
        <w:tc>
          <w:p>
            <w:pPr>
              <w:pStyle w:val="Compact"/>
              <w:jc w:val="left"/>
            </w:pPr>
            <w:r>
              <w:rPr>
                <w:rStyle w:val="VerbatimChar"/>
              </w:rPr>
              <w:t xml:space="preserve">&lt;unk&gt;</w:t>
            </w:r>
          </w:p>
        </w:tc>
        <w:tc>
          <w:p>
            <w:pPr>
              <w:pStyle w:val="Compact"/>
              <w:jc w:val="right"/>
            </w:pPr>
            <w:r>
              <w:t xml:space="preserve">0</w:t>
            </w:r>
          </w:p>
        </w:tc>
        <w:tc>
          <w:p>
            <w:pPr>
              <w:pStyle w:val="Compact"/>
              <w:jc w:val="left"/>
            </w:pPr>
            <m:oMath>
              <m:r>
                <m:t>(</m:t>
              </m:r>
              <m:r>
                <m:t>0.0</m:t>
              </m:r>
              <m:r>
                <m:t>,</m:t>
              </m:r>
              <m:r>
                <m:t>0.0</m:t>
              </m:r>
              <m:r>
                <m:t>,</m:t>
              </m:r>
              <m:r>
                <m:t>0.0</m:t>
              </m:r>
              <m:r>
                <m:t>)</m:t>
              </m:r>
            </m:oMath>
          </w:p>
        </w:tc>
      </w:tr>
      <w:tr>
        <w:tc>
          <w:p>
            <w:pPr>
              <w:pStyle w:val="Compact"/>
              <w:jc w:val="left"/>
            </w:pPr>
            <w:r>
              <w:rPr>
                <w:rStyle w:val="VerbatimChar"/>
              </w:rPr>
              <w:t xml:space="preserve">locked</w:t>
            </w:r>
          </w:p>
        </w:tc>
        <w:tc>
          <w:p>
            <w:pPr>
              <w:pStyle w:val="Compact"/>
              <w:jc w:val="right"/>
            </w:pPr>
            <w:r>
              <w:t xml:space="preserve">1</w:t>
            </w:r>
          </w:p>
        </w:tc>
        <w:tc>
          <w:p>
            <w:pPr>
              <w:pStyle w:val="Compact"/>
              <w:jc w:val="left"/>
            </w:pPr>
            <m:oMath>
              <m:r>
                <m:t>(</m:t>
              </m:r>
              <m:r>
                <m:t>0.8</m:t>
              </m:r>
              <m:r>
                <m:t>,</m:t>
              </m:r>
              <m:r>
                <m:t>0.1</m:t>
              </m:r>
              <m:r>
                <m:t>,</m:t>
              </m:r>
              <m:r>
                <m:t>−</m:t>
              </m:r>
              <m:r>
                <m:t>0.2</m:t>
              </m:r>
              <m:r>
                <m:t>)</m:t>
              </m:r>
            </m:oMath>
          </w:p>
        </w:tc>
      </w:tr>
      <w:tr>
        <w:tc>
          <w:p>
            <w:pPr>
              <w:pStyle w:val="Compact"/>
              <w:jc w:val="left"/>
            </w:pPr>
            <w:r>
              <w:rPr>
                <w:rStyle w:val="VerbatimChar"/>
              </w:rPr>
              <w:t xml:space="preserve">unlocked</w:t>
            </w:r>
          </w:p>
        </w:tc>
        <w:tc>
          <w:p>
            <w:pPr>
              <w:pStyle w:val="Compact"/>
              <w:jc w:val="right"/>
            </w:pPr>
            <w:r>
              <w:t xml:space="preserve">2</w:t>
            </w:r>
          </w:p>
        </w:tc>
        <w:tc>
          <w:p>
            <w:pPr>
              <w:pStyle w:val="Compact"/>
              <w:jc w:val="left"/>
            </w:pPr>
            <m:oMath>
              <m:r>
                <m:t>(</m:t>
              </m:r>
              <m:r>
                <m:t>0.6</m:t>
              </m:r>
              <m:r>
                <m:t>,</m:t>
              </m:r>
              <m:r>
                <m:t>0.4</m:t>
              </m:r>
              <m:r>
                <m:t>,</m:t>
              </m:r>
              <m:r>
                <m:t>0.3</m:t>
              </m:r>
              <m:r>
                <m:t>)</m:t>
              </m:r>
            </m:oMath>
          </w:p>
        </w:tc>
      </w:tr>
      <w:tr>
        <w:tc>
          <w:p>
            <w:pPr>
              <w:pStyle w:val="Compact"/>
              <w:jc w:val="left"/>
            </w:pPr>
            <w:r>
              <w:rPr>
                <w:rStyle w:val="VerbatimChar"/>
              </w:rPr>
              <w:t xml:space="preserve">open</w:t>
            </w:r>
          </w:p>
        </w:tc>
        <w:tc>
          <w:p>
            <w:pPr>
              <w:pStyle w:val="Compact"/>
              <w:jc w:val="right"/>
            </w:pPr>
            <w:r>
              <w:t xml:space="preserve">3</w:t>
            </w:r>
          </w:p>
        </w:tc>
        <w:tc>
          <w:p>
            <w:pPr>
              <w:pStyle w:val="Compact"/>
              <w:jc w:val="left"/>
            </w:pPr>
            <m:oMath>
              <m:r>
                <m:t>(</m:t>
              </m:r>
              <m:r>
                <m:t>0.2</m:t>
              </m:r>
              <m:r>
                <m:t>,</m:t>
              </m:r>
              <m:r>
                <m:t>0.9</m:t>
              </m:r>
              <m:r>
                <m:t>,</m:t>
              </m:r>
              <m:r>
                <m:t>0.5</m:t>
              </m:r>
              <m:r>
                <m:t>)</m:t>
              </m:r>
            </m:oMath>
          </w:p>
        </w:tc>
      </w:tr>
    </w:tbl>
    <w:p>
      <w:pPr>
        <w:pStyle w:val="BodyText"/>
      </w:pPr>
      <w:r>
        <w:t xml:space="preserve">The table has four rows and each row has dimension three. Looking up identifier 3 selects</w:t>
      </w:r>
    </w:p>
    <w:p>
      <w:pPr>
        <w:pStyle w:val="BodyText"/>
      </w:pPr>
      <m:oMathPara>
        <m:oMathParaPr>
          <m:jc m:val="center"/>
        </m:oMathParaPr>
        <m:oMath>
          <m:sSub>
            <m:e>
              <m:r>
                <m:t>E</m:t>
              </m:r>
            </m:e>
            <m:sub>
              <m:r>
                <m:t>b</m:t>
              </m:r>
              <m:r>
                <m:t>a</m:t>
              </m:r>
              <m:r>
                <m:t>s</m:t>
              </m:r>
              <m:r>
                <m:t>e</m:t>
              </m:r>
            </m:sub>
          </m:sSub>
          <m:r>
            <m:t>[</m:t>
          </m:r>
          <m:r>
            <m:t>3</m:t>
          </m:r>
          <m:r>
            <m:t>]</m:t>
          </m:r>
          <m:r>
            <m:t>=</m:t>
          </m:r>
          <m:r>
            <m:t>(</m:t>
          </m:r>
          <m:r>
            <m:t>0.2</m:t>
          </m:r>
          <m:r>
            <m:t>,</m:t>
          </m:r>
          <m:r>
            <m:t>0.9</m:t>
          </m:r>
          <m:r>
            <m:t>,</m:t>
          </m:r>
          <m:r>
            <m:t>0.5</m:t>
          </m:r>
          <m:r>
            <m:t>)</m:t>
          </m:r>
          <m:r>
            <m:t>.</m:t>
          </m:r>
        </m:oMath>
      </m:oMathPara>
    </w:p>
    <w:p>
      <w:pPr>
        <w:pStyle w:val="FirstParagraph"/>
      </w:pPr>
      <w:r>
        <w:t xml:space="preserve">The vector is a fixed probe value. It was not learned, and the probe assigns it no semantic or geometric interpretation. Its purpose is to make row selection inspectable.</w:t>
      </w:r>
    </w:p>
    <w:p>
      <w:pPr>
        <w:pStyle w:val="BodyText"/>
      </w:pPr>
      <w:r>
        <w:t xml:space="preserve">When the vocabulary is permuted, move every vector row with its token.</w:t>
      </w:r>
      <w:r>
        <w:t xml:space="preserve"> </w:t>
      </w:r>
      <w:r>
        <w:rPr>
          <w:rStyle w:val="VerbatimChar"/>
        </w:rPr>
        <w:t xml:space="preserve">open</w:t>
      </w:r>
      <w:r>
        <w:t xml:space="preserve"> </w:t>
      </w:r>
      <w:r>
        <w:t xml:space="preserve">moves from row 3 to row 1, so the permuted table gives</w:t>
      </w:r>
    </w:p>
    <w:p>
      <w:pPr>
        <w:pStyle w:val="BodyText"/>
      </w:pPr>
      <m:oMathPara>
        <m:oMathParaPr>
          <m:jc m:val="center"/>
        </m:oMathParaPr>
        <m:oMath>
          <m:sSub>
            <m:e>
              <m:r>
                <m:t>E</m:t>
              </m:r>
            </m:e>
            <m:sub>
              <m:r>
                <m:t>p</m:t>
              </m:r>
              <m:r>
                <m:t>e</m:t>
              </m:r>
              <m:r>
                <m:t>r</m:t>
              </m:r>
              <m:r>
                <m:t>m</m:t>
              </m:r>
              <m:r>
                <m:t>u</m:t>
              </m:r>
              <m:r>
                <m:t>t</m:t>
              </m:r>
              <m:r>
                <m:t>e</m:t>
              </m:r>
              <m:r>
                <m:t>d</m:t>
              </m:r>
            </m:sub>
          </m:sSub>
          <m:r>
            <m:t>[</m:t>
          </m:r>
          <m:r>
            <m:t>1</m:t>
          </m:r>
          <m:r>
            <m:t>]</m:t>
          </m:r>
          <m:r>
            <m:t>=</m:t>
          </m:r>
          <m:r>
            <m:t>(</m:t>
          </m:r>
          <m:r>
            <m:t>0.2</m:t>
          </m:r>
          <m:r>
            <m:t>,</m:t>
          </m:r>
          <m:r>
            <m:t>0.9</m:t>
          </m:r>
          <m:r>
            <m:t>,</m:t>
          </m:r>
          <m:r>
            <m:t>0.5</m:t>
          </m:r>
          <m:r>
            <m:t>)</m:t>
          </m:r>
          <m:r>
            <m:t>.</m:t>
          </m:r>
        </m:oMath>
      </m:oMathPara>
    </w:p>
    <w:p>
      <w:pPr>
        <w:pStyle w:val="FirstParagraph"/>
      </w:pPr>
      <w:r>
        <w:t xml:space="preserve">Therefore</w:t>
      </w:r>
    </w:p>
    <w:p>
      <w:pPr>
        <w:pStyle w:val="BodyText"/>
      </w:pPr>
      <m:oMathPara>
        <m:oMathParaPr>
          <m:jc m:val="center"/>
        </m:oMathParaPr>
        <m:oMath>
          <m:sSub>
            <m:e>
              <m:r>
                <m:t>E</m:t>
              </m:r>
            </m:e>
            <m:sub>
              <m:r>
                <m:t>b</m:t>
              </m:r>
              <m:r>
                <m:t>a</m:t>
              </m:r>
              <m:r>
                <m:t>s</m:t>
              </m:r>
              <m:r>
                <m:t>e</m:t>
              </m:r>
            </m:sub>
          </m:sSub>
          <m:r>
            <m:t>[</m:t>
          </m:r>
          <m:r>
            <m:t>3</m:t>
          </m:r>
          <m:r>
            <m:t>]</m:t>
          </m:r>
          <m:r>
            <m:t>=</m:t>
          </m:r>
          <m:sSub>
            <m:e>
              <m:r>
                <m:t>E</m:t>
              </m:r>
            </m:e>
            <m:sub>
              <m:r>
                <m:t>p</m:t>
              </m:r>
              <m:r>
                <m:t>e</m:t>
              </m:r>
              <m:r>
                <m:t>r</m:t>
              </m:r>
              <m:r>
                <m:t>m</m:t>
              </m:r>
              <m:r>
                <m:t>u</m:t>
              </m:r>
              <m:r>
                <m:t>t</m:t>
              </m:r>
              <m:r>
                <m:t>e</m:t>
              </m:r>
              <m:r>
                <m:t>d</m:t>
              </m:r>
            </m:sub>
          </m:sSub>
          <m:r>
            <m:t>[</m:t>
          </m:r>
          <m:r>
            <m:t>1</m:t>
          </m:r>
          <m:r>
            <m:t>]</m:t>
          </m:r>
          <m:r>
            <m:t>.</m:t>
          </m:r>
        </m:oMath>
      </m:oMathPara>
    </w:p>
    <w:p>
      <w:pPr>
        <w:pStyle w:val="FirstParagraph"/>
      </w:pPr>
      <w:r>
        <w:t xml:space="preserve">The identifier changed. The one-hot coordinate changed. The selected vector did not change because the vocabulary and table were permuted consistently.</w:t>
      </w:r>
    </w:p>
    <w:p>
      <w:pPr>
        <w:pStyle w:val="BodyText"/>
      </w:pPr>
      <w:r>
        <w:t xml:space="preserve">This is not evidence that the vector is the token’s true meaning. It is evidence that an index-based interface can preserve a selected row under coordinated relabeling.</w:t>
      </w:r>
    </w:p>
    <w:p>
      <w:pPr>
        <w:pStyle w:val="Heading2"/>
      </w:pPr>
      <w:bookmarkStart w:id="46" w:name="chapter-2-from-token-to-coordinate"/>
      <w:r>
        <w:t xml:space="preserve">From Token to Coordinate</w:t>
      </w:r>
      <w:bookmarkEnd w:id="46"/>
    </w:p>
    <w:p>
      <w:pPr>
        <w:pStyle w:val="CaptionedFigure"/>
      </w:pPr>
      <w:r>
        <w:drawing>
          <wp:inline>
            <wp:extent cx="5334000" cy="3378200"/>
            <wp:effectExtent b="0" l="0" r="0" t="0"/>
            <wp:docPr descr="A representation chain maps source text through normalization, tokenization, vocabulary assignment, one-hot coordinates, and vector lookup." title="" id="1" name="Picture"/>
            <a:graphic>
              <a:graphicData uri="http://schemas.openxmlformats.org/drawingml/2006/picture">
                <pic:pic>
                  <pic:nvPicPr>
                    <pic:cNvPr descr="../visuals/chapter_02_from_token_to_coordinate.svg" id="0" name="Picture"/>
                    <pic:cNvPicPr>
                      <a:picLocks noChangeArrowheads="1" noChangeAspect="1"/>
                    </pic:cNvPicPr>
                  </pic:nvPicPr>
                  <pic:blipFill>
                    <a:blip r:embed="rId47"/>
                    <a:stretch>
                      <a:fillRect/>
                    </a:stretch>
                  </pic:blipFill>
                  <pic:spPr bwMode="auto">
                    <a:xfrm>
                      <a:off x="0" y="0"/>
                      <a:ext cx="5334000" cy="3378200"/>
                    </a:xfrm>
                    <a:prstGeom prst="rect">
                      <a:avLst/>
                    </a:prstGeom>
                    <a:noFill/>
                    <a:ln w="9525">
                      <a:noFill/>
                      <a:headEnd/>
                      <a:tailEnd/>
                    </a:ln>
                  </pic:spPr>
                </pic:pic>
              </a:graphicData>
            </a:graphic>
          </wp:inline>
        </w:drawing>
      </w:r>
    </w:p>
    <w:p>
      <w:pPr>
        <w:pStyle w:val="ImageCaption"/>
      </w:pPr>
      <w:r>
        <w:t xml:space="preserve">A representation chain maps source text through normalization, tokenization, vocabulary assignment, one-hot coordinates, and vector lookup.</w:t>
      </w:r>
    </w:p>
    <w:p>
      <w:pPr>
        <w:pStyle w:val="BodyText"/>
      </w:pPr>
      <w:r>
        <w:t xml:space="preserve">The visual keeps the stages separate:</w:t>
      </w:r>
    </w:p>
    <w:p>
      <w:pPr>
        <w:pStyle w:val="SourceCode"/>
      </w:pPr>
      <w:r>
        <w:rPr>
          <w:rStyle w:val="VerbatimChar"/>
        </w:rPr>
        <w:t xml:space="preserve">source text</w:t>
      </w:r>
      <w:r>
        <w:br/>
      </w:r>
      <w:r>
        <w:rPr>
          <w:rStyle w:val="VerbatimChar"/>
        </w:rPr>
        <w:t xml:space="preserve">    -&gt; normalized text</w:t>
      </w:r>
      <w:r>
        <w:br/>
      </w:r>
      <w:r>
        <w:rPr>
          <w:rStyle w:val="VerbatimChar"/>
        </w:rPr>
        <w:t xml:space="preserve">    -&gt; token</w:t>
      </w:r>
      <w:r>
        <w:br/>
      </w:r>
      <w:r>
        <w:rPr>
          <w:rStyle w:val="VerbatimChar"/>
        </w:rPr>
        <w:t xml:space="preserve">    -&gt; vocabulary identifier</w:t>
      </w:r>
      <w:r>
        <w:br/>
      </w:r>
      <w:r>
        <w:rPr>
          <w:rStyle w:val="VerbatimChar"/>
        </w:rPr>
        <w:t xml:space="preserve">    -&gt; one-hot coordinate</w:t>
      </w:r>
      <w:r>
        <w:br/>
      </w:r>
      <w:r>
        <w:rPr>
          <w:rStyle w:val="VerbatimChar"/>
        </w:rPr>
        <w:t xml:space="preserve">    -&gt; selected vector</w:t>
      </w:r>
    </w:p>
    <w:p>
      <w:pPr>
        <w:pStyle w:val="FirstParagraph"/>
      </w:pPr>
      <w:r>
        <w:t xml:space="preserve">The base and permuted lanes align on the token and selected vector while differing at the identifier and coordinate. This is the structural point: numerical representation is a system of mappings, not a revelation of a number already hidden inside a word.</w:t>
      </w:r>
    </w:p>
    <w:p>
      <w:pPr>
        <w:pStyle w:val="BodyText"/>
      </w:pPr>
      <w:r>
        <w:t xml:space="preserve">Each boundary has its own question:</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Boundary</w:t>
            </w:r>
          </w:p>
        </w:tc>
        <w:tc>
          <w:tcPr>
            <w:tcBorders>
              <w:bottom w:val="single"/>
            </w:tcBorders>
            <w:vAlign w:val="bottom"/>
          </w:tcPr>
          <w:p>
            <w:pPr>
              <w:pStyle w:val="Compact"/>
              <w:jc w:val="left"/>
            </w:pPr>
            <w:r>
              <w:t xml:space="preserve">Question</w:t>
            </w:r>
          </w:p>
        </w:tc>
      </w:tr>
      <w:tr>
        <w:tc>
          <w:p>
            <w:pPr>
              <w:pStyle w:val="Compact"/>
              <w:jc w:val="left"/>
            </w:pPr>
            <w:r>
              <w:t xml:space="preserve">source to normalized text</w:t>
            </w:r>
          </w:p>
        </w:tc>
        <w:tc>
          <w:p>
            <w:pPr>
              <w:pStyle w:val="Compact"/>
              <w:jc w:val="left"/>
            </w:pPr>
            <w:r>
              <w:t xml:space="preserve">Which character distinctions does the normalization policy preserve?</w:t>
            </w:r>
          </w:p>
        </w:tc>
      </w:tr>
      <w:tr>
        <w:tc>
          <w:p>
            <w:pPr>
              <w:pStyle w:val="Compact"/>
              <w:jc w:val="left"/>
            </w:pPr>
            <w:r>
              <w:t xml:space="preserve">normalized text to token</w:t>
            </w:r>
          </w:p>
        </w:tc>
        <w:tc>
          <w:p>
            <w:pPr>
              <w:pStyle w:val="Compact"/>
              <w:jc w:val="left"/>
            </w:pPr>
            <w:r>
              <w:t xml:space="preserve">Which boundary rule selects the token sequence?</w:t>
            </w:r>
          </w:p>
        </w:tc>
      </w:tr>
      <w:tr>
        <w:tc>
          <w:p>
            <w:pPr>
              <w:pStyle w:val="Compact"/>
              <w:jc w:val="left"/>
            </w:pPr>
            <w:r>
              <w:t xml:space="preserve">token to identifier</w:t>
            </w:r>
          </w:p>
        </w:tc>
        <w:tc>
          <w:p>
            <w:pPr>
              <w:pStyle w:val="Compact"/>
              <w:jc w:val="left"/>
            </w:pPr>
            <w:r>
              <w:t xml:space="preserve">Is the token admitted by this vocabulary, and which index is assigned?</w:t>
            </w:r>
          </w:p>
        </w:tc>
      </w:tr>
      <w:tr>
        <w:tc>
          <w:p>
            <w:pPr>
              <w:pStyle w:val="Compact"/>
              <w:jc w:val="left"/>
            </w:pPr>
            <w:r>
              <w:t xml:space="preserve">identifier to coordinate</w:t>
            </w:r>
          </w:p>
        </w:tc>
        <w:tc>
          <w:p>
            <w:pPr>
              <w:pStyle w:val="Compact"/>
              <w:jc w:val="left"/>
            </w:pPr>
            <w:r>
              <w:t xml:space="preserve">Which basis and dimension define the numerical position?</w:t>
            </w:r>
          </w:p>
        </w:tc>
      </w:tr>
      <w:tr>
        <w:tc>
          <w:p>
            <w:pPr>
              <w:pStyle w:val="Compact"/>
              <w:jc w:val="left"/>
            </w:pPr>
            <w:r>
              <w:t xml:space="preserve">coordinate to vector</w:t>
            </w:r>
          </w:p>
        </w:tc>
        <w:tc>
          <w:p>
            <w:pPr>
              <w:pStyle w:val="Compact"/>
              <w:jc w:val="left"/>
            </w:pPr>
            <w:r>
              <w:t xml:space="preserve">Which table row is selected, and how was that table obtained?</w:t>
            </w:r>
          </w:p>
        </w:tc>
      </w:tr>
    </w:tbl>
    <w:p>
      <w:pPr>
        <w:pStyle w:val="BodyText"/>
      </w:pPr>
      <w:r>
        <w:t xml:space="preserve">Answers at one boundary do not answer the others. Unicode normalization does not define vocabulary membership. A token identifier does not specify vector dimension. A lookup operation does not establish that its rows were learned or that their distances support a task.</w:t>
      </w:r>
    </w:p>
    <w:p>
      <w:pPr>
        <w:pStyle w:val="Heading2"/>
      </w:pPr>
      <w:bookmarkStart w:id="48" w:name="Xf151ae8792c2fab9c54d3dbcdcf5541292af3f2"/>
      <w:r>
        <w:t xml:space="preserve">Representation Can Discard Distinctions</w:t>
      </w:r>
      <w:bookmarkEnd w:id="48"/>
    </w:p>
    <w:p>
      <w:pPr>
        <w:pStyle w:val="FirstParagraph"/>
      </w:pPr>
      <w:r>
        <w:t xml:space="preserve">The vocabulary also declares an unknown-token fallback. If a token is absent, the base system returns the identifier assigned to</w:t>
      </w:r>
      <w:r>
        <w:t xml:space="preserve"> </w:t>
      </w:r>
      <w:r>
        <w:rPr>
          <w:rStyle w:val="VerbatimChar"/>
        </w:rPr>
        <w:t xml:space="preserve">&lt;unk&gt;</w:t>
      </w:r>
      <w:r>
        <w:t xml:space="preserve">:</w:t>
      </w:r>
    </w:p>
    <w:p>
      <w:pPr>
        <w:pStyle w:val="BodyText"/>
      </w:pPr>
      <m:oMathPara>
        <m:oMathParaPr>
          <m:jc m:val="center"/>
        </m:oMathParaPr>
        <m:oMath>
          <m:sSub>
            <m:e>
              <m:r>
                <m:rPr>
                  <m:nor/>
                  <m:sty m:val="p"/>
                </m:rPr>
                <m:t>id</m:t>
              </m:r>
            </m:e>
            <m:sub>
              <m:r>
                <m:t>b</m:t>
              </m:r>
              <m:r>
                <m:t>a</m:t>
              </m:r>
              <m:r>
                <m:t>s</m:t>
              </m:r>
              <m:r>
                <m:t>e</m:t>
              </m:r>
            </m:sub>
          </m:sSub>
          <m:r>
            <m:t>(</m:t>
          </m:r>
          <m:r>
            <m:t>&lt;</m:t>
          </m:r>
          <m:r>
            <m:t>u</m:t>
          </m:r>
          <m:r>
            <m:t>n</m:t>
          </m:r>
          <m:r>
            <m:t>k</m:t>
          </m:r>
          <m:r>
            <m:t>&gt;</m:t>
          </m:r>
          <m:r>
            <m:t>)</m:t>
          </m:r>
          <m:r>
            <m:t>=</m:t>
          </m:r>
          <m:r>
            <m:t>0</m:t>
          </m:r>
          <m:r>
            <m:t>.</m:t>
          </m:r>
        </m:oMath>
      </m:oMathPara>
    </w:p>
    <w:p>
      <w:pPr>
        <w:pStyle w:val="FirstParagraph"/>
      </w:pPr>
      <w:r>
        <w:t xml:space="preserve">Now submit two distinct inputs:</w:t>
      </w:r>
    </w:p>
    <w:p>
      <w:pPr>
        <w:pStyle w:val="SourceCode"/>
      </w:pPr>
      <w:r>
        <w:rPr>
          <w:rStyle w:val="VerbatimChar"/>
        </w:rPr>
        <w:t xml:space="preserve">ajar</w:t>
      </w:r>
      <w:r>
        <w:br/>
      </w:r>
      <w:r>
        <w:rPr>
          <w:rStyle w:val="VerbatimChar"/>
        </w:rPr>
        <w:t xml:space="preserve">obstructed</w:t>
      </w:r>
    </w:p>
    <w:p>
      <w:pPr>
        <w:pStyle w:val="FirstParagraph"/>
      </w:pPr>
      <w:r>
        <w:t xml:space="preserve">Neither appears in the base vocabulary. Under the declared fallback,</w:t>
      </w:r>
    </w:p>
    <w:p>
      <w:pPr>
        <w:pStyle w:val="BodyText"/>
      </w:pPr>
      <m:oMathPara>
        <m:oMathParaPr>
          <m:jc m:val="center"/>
        </m:oMathParaPr>
        <m:oMath>
          <m:sSub>
            <m:e>
              <m:r>
                <m:rPr>
                  <m:nor/>
                  <m:sty m:val="p"/>
                </m:rPr>
                <m:t>id</m:t>
              </m:r>
            </m:e>
            <m:sub>
              <m:r>
                <m:t>b</m:t>
              </m:r>
              <m:r>
                <m:t>a</m:t>
              </m:r>
              <m:r>
                <m:t>s</m:t>
              </m:r>
              <m:r>
                <m:t>e</m:t>
              </m:r>
            </m:sub>
          </m:sSub>
          <m:r>
            <m:t>(</m:t>
          </m:r>
          <m:r>
            <m:t>a</m:t>
          </m:r>
          <m:r>
            <m:t>j</m:t>
          </m:r>
          <m:r>
            <m:t>a</m:t>
          </m:r>
          <m:r>
            <m:t>r</m:t>
          </m:r>
          <m:r>
            <m:t>)</m:t>
          </m:r>
          <m:r>
            <m:t>=</m:t>
          </m:r>
          <m:sSub>
            <m:e>
              <m:r>
                <m:rPr>
                  <m:nor/>
                  <m:sty m:val="p"/>
                </m:rPr>
                <m:t>id</m:t>
              </m:r>
            </m:e>
            <m:sub>
              <m:r>
                <m:t>b</m:t>
              </m:r>
              <m:r>
                <m:t>a</m:t>
              </m:r>
              <m:r>
                <m:t>s</m:t>
              </m:r>
              <m:r>
                <m:t>e</m:t>
              </m:r>
            </m:sub>
          </m:sSub>
          <m:r>
            <m:t>(</m:t>
          </m:r>
          <m:r>
            <m:t>o</m:t>
          </m:r>
          <m:r>
            <m:t>b</m:t>
          </m:r>
          <m:r>
            <m:t>s</m:t>
          </m:r>
          <m:r>
            <m:t>t</m:t>
          </m:r>
          <m:r>
            <m:t>r</m:t>
          </m:r>
          <m:r>
            <m:t>u</m:t>
          </m:r>
          <m:r>
            <m:t>c</m:t>
          </m:r>
          <m:r>
            <m:t>t</m:t>
          </m:r>
          <m:r>
            <m:t>e</m:t>
          </m:r>
          <m:r>
            <m:t>d</m:t>
          </m:r>
          <m:r>
            <m:t>)</m:t>
          </m:r>
          <m:r>
            <m:t>=</m:t>
          </m:r>
          <m:r>
            <m:t>0</m:t>
          </m:r>
          <m:r>
            <m:t>.</m:t>
          </m:r>
        </m:oMath>
      </m:oMathPara>
    </w:p>
    <w:p>
      <w:pPr>
        <w:pStyle w:val="FirstParagraph"/>
      </w:pPr>
      <w:r>
        <w:t xml:space="preserve">Both identifiers select the same vector:</w:t>
      </w:r>
    </w:p>
    <w:p>
      <w:pPr>
        <w:pStyle w:val="BodyText"/>
      </w:pPr>
      <m:oMathPara>
        <m:oMathParaPr>
          <m:jc m:val="center"/>
        </m:oMathParaPr>
        <m:oMath>
          <m:r>
            <m:t>(</m:t>
          </m:r>
          <m:r>
            <m:t>0.0</m:t>
          </m:r>
          <m:r>
            <m:t>,</m:t>
          </m:r>
          <m:r>
            <m:t>0.0</m:t>
          </m:r>
          <m:r>
            <m:t>,</m:t>
          </m:r>
          <m:r>
            <m:t>0.0</m:t>
          </m:r>
          <m:r>
            <m:t>)</m:t>
          </m:r>
          <m:r>
            <m:t>.</m:t>
          </m:r>
        </m:oMath>
      </m:oMathPara>
    </w:p>
    <w:p>
      <w:pPr>
        <w:pStyle w:val="FirstParagraph"/>
      </w:pPr>
      <w:r>
        <w:t xml:space="preserve">After this mapping, downstream operations receiving only that identifier or vector cannot recover which of the two absent tokens was supplied. The policy has discarded that distinction.</w:t>
      </w:r>
    </w:p>
    <w:p>
      <w:pPr>
        <w:pStyle w:val="BodyText"/>
      </w:pPr>
      <w:r>
        <w:t xml:space="preserve">This result is specific to the toy policy. Some production tokenizers split unfamiliar strings into known subword units. Byte-level approaches can represent inputs without a single unknown-token fallback. Those designs apply different declared policies and preserve different distinctions for downstream computation.</w:t>
      </w:r>
    </w:p>
    <w:p>
      <w:pPr>
        <w:pStyle w:val="Heading2"/>
      </w:pPr>
      <w:bookmarkStart w:id="49" w:name="chapter-2-what-the-probe-establishes"/>
      <w:r>
        <w:t xml:space="preserve">What the Probe Establishes</w:t>
      </w:r>
      <w:bookmarkEnd w:id="49"/>
    </w:p>
    <w:p>
      <w:pPr>
        <w:pStyle w:val="FirstParagraph"/>
      </w:pPr>
      <w:r>
        <w:t xml:space="preserve">The standard-library Python probe checks five conditions:</w:t>
      </w:r>
    </w:p>
    <w:p>
      <w:pPr>
        <w:numPr>
          <w:ilvl w:val="0"/>
          <w:numId w:val="1004"/>
        </w:numPr>
        <w:pStyle w:val="Compact"/>
      </w:pPr>
      <w:r>
        <w:t xml:space="preserve">normalization produces the single token</w:t>
      </w:r>
      <w:r>
        <w:t xml:space="preserve"> </w:t>
      </w:r>
      <w:r>
        <w:rPr>
          <w:rStyle w:val="VerbatimChar"/>
        </w:rPr>
        <w:t xml:space="preserve">open</w:t>
      </w:r>
    </w:p>
    <w:p>
      <w:pPr>
        <w:numPr>
          <w:ilvl w:val="0"/>
          <w:numId w:val="1004"/>
        </w:numPr>
        <w:pStyle w:val="Compact"/>
      </w:pPr>
      <w:r>
        <w:t xml:space="preserve">the two vocabularies assign different identifiers to</w:t>
      </w:r>
      <w:r>
        <w:t xml:space="preserve"> </w:t>
      </w:r>
      <w:r>
        <w:rPr>
          <w:rStyle w:val="VerbatimChar"/>
        </w:rPr>
        <w:t xml:space="preserve">open</w:t>
      </w:r>
    </w:p>
    <w:p>
      <w:pPr>
        <w:numPr>
          <w:ilvl w:val="0"/>
          <w:numId w:val="1004"/>
        </w:numPr>
        <w:pStyle w:val="Compact"/>
      </w:pPr>
      <w:r>
        <w:t xml:space="preserve">the corresponding one-hot coordinates differ</w:t>
      </w:r>
    </w:p>
    <w:p>
      <w:pPr>
        <w:numPr>
          <w:ilvl w:val="0"/>
          <w:numId w:val="1004"/>
        </w:numPr>
        <w:pStyle w:val="Compact"/>
      </w:pPr>
      <w:r>
        <w:t xml:space="preserve">consistently permuted tables select the same vector for</w:t>
      </w:r>
      <w:r>
        <w:t xml:space="preserve"> </w:t>
      </w:r>
      <w:r>
        <w:rPr>
          <w:rStyle w:val="VerbatimChar"/>
        </w:rPr>
        <w:t xml:space="preserve">open</w:t>
      </w:r>
    </w:p>
    <w:p>
      <w:pPr>
        <w:numPr>
          <w:ilvl w:val="0"/>
          <w:numId w:val="1004"/>
        </w:numPr>
        <w:pStyle w:val="Compact"/>
      </w:pPr>
      <w:r>
        <w:rPr>
          <w:rStyle w:val="VerbatimChar"/>
        </w:rPr>
        <w:t xml:space="preserve">ajar</w:t>
      </w:r>
      <w:r>
        <w:t xml:space="preserve"> </w:t>
      </w:r>
      <w:r>
        <w:t xml:space="preserve">and</w:t>
      </w:r>
      <w:r>
        <w:t xml:space="preserve"> </w:t>
      </w:r>
      <w:r>
        <w:rPr>
          <w:rStyle w:val="VerbatimChar"/>
        </w:rPr>
        <w:t xml:space="preserve">obstructed</w:t>
      </w:r>
      <w:r>
        <w:t xml:space="preserve"> </w:t>
      </w:r>
      <w:r>
        <w:t xml:space="preserve">share one identifier and vector under the declared fallback</w:t>
      </w:r>
    </w:p>
    <w:p>
      <w:pPr>
        <w:pStyle w:val="FirstParagraph"/>
      </w:pPr>
      <w:r>
        <w:t xml:space="preserve">Every assertion passes. The result supports two bounded claims. First, a vocabulary identifier is an assigned index rather than an intrinsic meaning. Second, a representation policy can discard distinctions among inputs.</w:t>
      </w:r>
    </w:p>
    <w:p>
      <w:pPr>
        <w:pStyle w:val="BodyText"/>
      </w:pPr>
      <w:r>
        <w:t xml:space="preserve">The probe does not show how a production tokenizer should segment text. It does not train an embedding table, interpret vector directions, specify storage layout, or establish task adequacy. Those questions require different evidence and belong to later chapters.</w:t>
      </w:r>
    </w:p>
    <w:p>
      <w:pPr>
        <w:pStyle w:val="Heading2"/>
      </w:pPr>
      <w:bookmarkStart w:id="50" w:name="X0cc56a7a6c171485317a6dfe9102cef46f4df23"/>
      <w:r>
        <w:t xml:space="preserve">Numerical Objects Ready for Transformation</w:t>
      </w:r>
      <w:bookmarkEnd w:id="50"/>
    </w:p>
    <w:p>
      <w:pPr>
        <w:pStyle w:val="FirstParagraph"/>
      </w:pPr>
      <w:r>
        <w:t xml:space="preserve">Chapter 1 showed that operations act on admitted objects under declared constraints. This chapter has constructed numerical objects that later operations can accept. The construction involved choices at every stage: normalization, boundaries, vocabulary coverage, index assignment, coordinate basis, and table lookup.</w:t>
      </w:r>
    </w:p>
    <w:p>
      <w:pPr>
        <w:pStyle w:val="BodyText"/>
      </w:pPr>
      <w:r>
        <w:t xml:space="preserve">That chain gives computation something precise to manipulate. It also determines which distinctions remain available. Renumbering can preserve a lookup result when all dependent structures move together. Unknown-token mapping can merge inputs that were distinct in the source.</w:t>
      </w:r>
    </w:p>
    <w:p>
      <w:pPr>
        <w:pStyle w:val="BodyText"/>
      </w:pPr>
      <w:r>
        <w:t xml:space="preserve">The lookup demonstrated here — an identifier selects one table row — is the same mechanism a trained embedding layer performs inside a Transformer, at far greater width. There the table holds learned rather than fixed rows, and hardware executes the selection as a memory-bound gather from contiguous storage rather than an arithmetic-heavy computation. Training changes which vectors occupy the rows; it does not change the indexing operation demonstrated here.</w:t>
      </w:r>
    </w:p>
    <w:p>
      <w:pPr>
        <w:pStyle w:val="BodyText"/>
      </w:pPr>
      <w:r>
        <w:t xml:space="preserve">The next mathematical step is transformation: vectors become inputs to linear maps, and derivatives describe how outputs change with inputs and parameters. Before that, Chapter 3 takes a parallel route through numerical representation. Instead of assigning one state, it represents uncertainty across several hypotheses and asks how evidence changes their relative weight.</w:t>
      </w:r>
    </w:p>
    <w:p>
      <w:pPr>
        <w:pStyle w:val="Heading2"/>
      </w:pPr>
      <w:bookmarkStart w:id="51" w:name="chapter-2-sources-and-evidence"/>
      <w:r>
        <w:t xml:space="preserve">Sources and Evidence</w:t>
      </w:r>
      <w:bookmarkEnd w:id="51"/>
    </w:p>
    <w:p>
      <w:pPr>
        <w:pStyle w:val="FirstParagraph"/>
      </w:pPr>
      <w:r>
        <w:t xml:space="preserve">The chapter’s bounded claims about normalization, tokenizer components, subword policies, and indexed lookup are documented in the</w:t>
      </w:r>
      <w:r>
        <w:t xml:space="preserve"> </w:t>
      </w:r>
      <w:hyperlink r:id="rId52">
        <w:r>
          <w:rPr>
            <w:rStyle w:val="Hyperlink"/>
          </w:rPr>
          <w:t xml:space="preserve">Chapter 2 source ledger</w:t>
        </w:r>
      </w:hyperlink>
      <w:r>
        <w:t xml:space="preserve">. Exact inputs, tables, assertions, and outputs are recorded in the</w:t>
      </w:r>
      <w:r>
        <w:t xml:space="preserve"> </w:t>
      </w:r>
      <w:hyperlink r:id="rId53">
        <w:r>
          <w:rPr>
            <w:rStyle w:val="Hyperlink"/>
          </w:rPr>
          <w:t xml:space="preserve">representation probe</w:t>
        </w:r>
      </w:hyperlink>
      <w:r>
        <w:t xml:space="preserve">, with its</w:t>
      </w:r>
      <w:r>
        <w:t xml:space="preserve"> </w:t>
      </w:r>
      <w:hyperlink r:id="rId54">
        <w:r>
          <w:rPr>
            <w:rStyle w:val="Hyperlink"/>
          </w:rPr>
          <w:t xml:space="preserve">Python implementation</w:t>
        </w:r>
      </w:hyperlink>
      <w:r>
        <w:t xml:space="preserve">. Visual provenance and accessibility details are recorded with</w:t>
      </w:r>
      <w:r>
        <w:t xml:space="preserve"> </w:t>
      </w:r>
      <w:hyperlink r:id="rId55">
        <w:r>
          <w:rPr>
            <w:rStyle w:val="Hyperlink"/>
          </w:rPr>
          <w:t xml:space="preserve">From Token to Coordinate</w:t>
        </w:r>
      </w:hyperlink>
      <w:r>
        <w:t xml:space="preserve">.</w:t>
      </w:r>
    </w:p>
    <w:p>
      <w:pPr>
        <w:pStyle w:val="Heading1"/>
      </w:pPr>
      <w:bookmarkStart w:id="56" w:name="chapter-3"/>
      <w:r>
        <w:t xml:space="preserve">Chapter 3 — Reasoning Under Uncertainty</w:t>
      </w:r>
      <w:bookmarkEnd w:id="56"/>
    </w:p>
    <w:p>
      <w:pPr>
        <w:pStyle w:val="FirstParagraph"/>
      </w:pPr>
      <w:r>
        <w:t xml:space="preserve">Chapter 2 ended with numerical objects ready for transformation. A token could be assigned an identifier, represented by a coordinate, and used to select a vector. Each step depended on a declared policy, and each policy preserved some distinctions while discarding others.</w:t>
      </w:r>
    </w:p>
    <w:p>
      <w:pPr>
        <w:pStyle w:val="BodyText"/>
      </w:pPr>
      <w:r>
        <w:t xml:space="preserve">Numerical representation does not require a system to commit to one state. It can also assign weight across several hypotheses. When evidence arrives, those weights can change without collapsing to a single certain answer.</w:t>
      </w:r>
    </w:p>
    <w:p>
      <w:pPr>
        <w:pStyle w:val="BodyText"/>
      </w:pPr>
      <w:r>
        <w:t xml:space="preserve">That distinction is the subject of this chapter. We will return to the door, but we will no longer assert one modeled state. Instead, we will represent uncertainty over two hypotheses, admit one observation, and inspect how a Bayesian update redistributes probability. The example is small enough that every assumption and arithmetic step remains visible.</w:t>
      </w:r>
    </w:p>
    <w:p>
      <w:pPr>
        <w:pStyle w:val="Heading2"/>
      </w:pPr>
      <w:bookmarkStart w:id="57" w:name="X27652c7096aa47ab46f16a1d3e6053731cfa4e2"/>
      <w:r>
        <w:t xml:space="preserve">Possibilities Before Predictions</w:t>
      </w:r>
      <w:bookmarkEnd w:id="57"/>
    </w:p>
    <w:p>
      <w:pPr>
        <w:pStyle w:val="FirstParagraph"/>
      </w:pPr>
      <w:r>
        <w:t xml:space="preserve">Let the door-state hypothesis be</w:t>
      </w:r>
    </w:p>
    <w:p>
      <w:pPr>
        <w:pStyle w:val="BodyText"/>
      </w:pPr>
      <m:oMathPara>
        <m:oMathParaPr>
          <m:jc m:val="center"/>
        </m:oMathParaPr>
        <m:oMath>
          <m:r>
            <m:t>H</m:t>
          </m:r>
          <m:r>
            <m:t>∈</m:t>
          </m:r>
          <m:r>
            <m:t>{</m:t>
          </m:r>
          <m:r>
            <m:t>l</m:t>
          </m:r>
          <m:r>
            <m:t>o</m:t>
          </m:r>
          <m:r>
            <m:t>c</m:t>
          </m:r>
          <m:r>
            <m:t>k</m:t>
          </m:r>
          <m:r>
            <m:t>e</m:t>
          </m:r>
          <m:r>
            <m:t>d</m:t>
          </m:r>
          <m:r>
            <m:t>,</m:t>
          </m:r>
          <m:r>
            <m:t>u</m:t>
          </m:r>
          <m:r>
            <m:t>n</m:t>
          </m:r>
          <m:r>
            <m:t>l</m:t>
          </m:r>
          <m:r>
            <m:t>o</m:t>
          </m:r>
          <m:r>
            <m:t>c</m:t>
          </m:r>
          <m:r>
            <m:t>k</m:t>
          </m:r>
          <m:r>
            <m:t>e</m:t>
          </m:r>
          <m:r>
            <m:t>d</m:t>
          </m:r>
          <m:r>
            <m:t>}</m:t>
          </m:r>
          <m:r>
            <m:t>.</m:t>
          </m:r>
        </m:oMath>
      </m:oMathPara>
    </w:p>
    <w:p>
      <w:pPr>
        <w:pStyle w:val="FirstParagraph"/>
      </w:pPr>
      <w:r>
        <w:t xml:space="preserve">A hypothesis is not the same object as an outcome or an event. An outcome is one possible result of an experiment. An event is a set of outcomes to which probability can be assigned. A hypothesis is a represented claim whose probability may be considered before and after evidence. In this model,</w:t>
      </w:r>
      <w:r>
        <w:t xml:space="preserve"> </w:t>
      </w:r>
      <w:r>
        <w:rPr>
          <w:rStyle w:val="VerbatimChar"/>
        </w:rPr>
        <w:t xml:space="preserve">locked</w:t>
      </w:r>
      <w:r>
        <w:t xml:space="preserve"> </w:t>
      </w:r>
      <w:r>
        <w:t xml:space="preserve">and</w:t>
      </w:r>
      <w:r>
        <w:t xml:space="preserve"> </w:t>
      </w:r>
      <w:r>
        <w:rPr>
          <w:rStyle w:val="VerbatimChar"/>
        </w:rPr>
        <w:t xml:space="preserve">unlocked</w:t>
      </w:r>
      <w:r>
        <w:t xml:space="preserve"> </w:t>
      </w:r>
      <w:r>
        <w:t xml:space="preserve">are the two admitted hypotheses.</w:t>
      </w:r>
    </w:p>
    <w:p>
      <w:pPr>
        <w:pStyle w:val="BodyText"/>
      </w:pPr>
      <w:r>
        <w:t xml:space="preserve">We begin with a prior distribution:</w:t>
      </w:r>
    </w:p>
    <w:p>
      <w:pPr>
        <w:pStyle w:val="BodyText"/>
      </w:pPr>
      <m:oMathPara>
        <m:oMathParaPr>
          <m:jc m:val="center"/>
        </m:oMathParaPr>
        <m:oMath>
          <m:r>
            <m:t>P</m:t>
          </m:r>
          <m:r>
            <m:t>(</m:t>
          </m:r>
          <m:r>
            <m:t>l</m:t>
          </m:r>
          <m:r>
            <m:t>o</m:t>
          </m:r>
          <m:r>
            <m:t>c</m:t>
          </m:r>
          <m:r>
            <m:t>k</m:t>
          </m:r>
          <m:r>
            <m:t>e</m:t>
          </m:r>
          <m:r>
            <m:t>d</m:t>
          </m:r>
          <m:r>
            <m:t>)</m:t>
          </m:r>
          <m:r>
            <m:t>=</m:t>
          </m:r>
          <m:r>
            <m:t>0.6</m:t>
          </m:r>
          <m:r>
            <m:t>,</m:t>
          </m:r>
          <m:r>
            <m:t>  </m:t>
          </m:r>
          <m:r>
            <m:t>P</m:t>
          </m:r>
          <m:r>
            <m:t>(</m:t>
          </m:r>
          <m:r>
            <m:t>u</m:t>
          </m:r>
          <m:r>
            <m:t>n</m:t>
          </m:r>
          <m:r>
            <m:t>l</m:t>
          </m:r>
          <m:r>
            <m:t>o</m:t>
          </m:r>
          <m:r>
            <m:t>c</m:t>
          </m:r>
          <m:r>
            <m:t>k</m:t>
          </m:r>
          <m:r>
            <m:t>e</m:t>
          </m:r>
          <m:r>
            <m:t>d</m:t>
          </m:r>
          <m:r>
            <m:t>)</m:t>
          </m:r>
          <m:r>
            <m:t>=</m:t>
          </m:r>
          <m:r>
            <m:t>0.4</m:t>
          </m:r>
          <m:r>
            <m:t>.</m:t>
          </m:r>
        </m:oMath>
      </m:oMathPara>
    </w:p>
    <w:p>
      <w:pPr>
        <w:pStyle w:val="FirstParagraph"/>
      </w:pPr>
      <w:r>
        <w:t xml:space="preserve">The prior distributes total probability mass across the declared hypothesis space:</w:t>
      </w:r>
    </w:p>
    <w:p>
      <w:pPr>
        <w:pStyle w:val="BodyText"/>
      </w:pPr>
      <m:oMathPara>
        <m:oMathParaPr>
          <m:jc m:val="center"/>
        </m:oMathParaPr>
        <m:oMath>
          <m:r>
            <m:t>0.6</m:t>
          </m:r>
          <m:r>
            <m:t>+</m:t>
          </m:r>
          <m:r>
            <m:t>0.4</m:t>
          </m:r>
          <m:r>
            <m:t>=</m:t>
          </m:r>
          <m:r>
            <m:t>1</m:t>
          </m:r>
          <m:r>
            <m:t>.</m:t>
          </m:r>
        </m:oMath>
      </m:oMathPara>
    </w:p>
    <w:p>
      <w:pPr>
        <w:pStyle w:val="FirstParagraph"/>
      </w:pPr>
      <w:r>
        <w:t xml:space="preserve">It does not report an observed frequency, a measured sensor accuracy, or a ground-truth door state. These values are fixed assumptions of the toy model. The model also treats its two hypotheses as exhaustive. A physical door might be missing, broken, partly engaged, or incorrectly represented. Those possibilities are outside the declared space, not disproved by it.</w:t>
      </w:r>
    </w:p>
    <w:p>
      <w:pPr>
        <w:pStyle w:val="BodyText"/>
      </w:pPr>
      <w:r>
        <w:t xml:space="preserve">The distribution therefore says something narrower than</w:t>
      </w:r>
      <w:r>
        <w:t xml:space="preserve"> </w:t>
      </w:r>
      <w:r>
        <w:t xml:space="preserve">“</w:t>
      </w:r>
      <w:r>
        <w:t xml:space="preserve">the door is locked.</w:t>
      </w:r>
      <w:r>
        <w:t xml:space="preserve">”</w:t>
      </w:r>
      <w:r>
        <w:t xml:space="preserve"> </w:t>
      </w:r>
      <w:r>
        <w:t xml:space="preserve">Before admitting the observation, the model assigns more probability to</w:t>
      </w:r>
      <w:r>
        <w:t xml:space="preserve"> </w:t>
      </w:r>
      <w:r>
        <w:rPr>
          <w:rStyle w:val="VerbatimChar"/>
        </w:rPr>
        <w:t xml:space="preserve">locked</w:t>
      </w:r>
      <w:r>
        <w:t xml:space="preserve"> </w:t>
      </w:r>
      <w:r>
        <w:t xml:space="preserve">than to</w:t>
      </w:r>
      <w:r>
        <w:t xml:space="preserve"> </w:t>
      </w:r>
      <w:r>
        <w:rPr>
          <w:rStyle w:val="VerbatimChar"/>
        </w:rPr>
        <w:t xml:space="preserve">unlocked</w:t>
      </w:r>
      <w:r>
        <w:t xml:space="preserve">.</w:t>
      </w:r>
    </w:p>
    <w:p>
      <w:pPr>
        <w:pStyle w:val="Heading2"/>
      </w:pPr>
      <w:bookmarkStart w:id="58" w:name="Xba3997721c17826e7cfb544cec7696c42a2d30d"/>
      <w:r>
        <w:t xml:space="preserve">Evidence Needs a Likelihood Model</w:t>
      </w:r>
      <w:bookmarkEnd w:id="58"/>
    </w:p>
    <w:p>
      <w:pPr>
        <w:pStyle w:val="FirstParagraph"/>
      </w:pPr>
      <w:r>
        <w:t xml:space="preserve">Now admit the observation</w:t>
      </w:r>
    </w:p>
    <w:p>
      <w:pPr>
        <w:pStyle w:val="BodyText"/>
      </w:pPr>
      <m:oMathPara>
        <m:oMathParaPr>
          <m:jc m:val="center"/>
        </m:oMathParaPr>
        <m:oMath>
          <m:r>
            <m:t>E</m:t>
          </m:r>
          <m:r>
            <m:t>=</m:t>
          </m:r>
          <m:r>
            <m:t>r</m:t>
          </m:r>
          <m:r>
            <m:t>e</m:t>
          </m:r>
          <m:r>
            <m:t>d</m:t>
          </m:r>
          <m:r>
            <m:t>.</m:t>
          </m:r>
        </m:oMath>
      </m:oMathPara>
    </w:p>
    <w:p>
      <w:pPr>
        <w:pStyle w:val="FirstParagraph"/>
      </w:pPr>
      <w:r>
        <w:t xml:space="preserve">The word</w:t>
      </w:r>
      <w:r>
        <w:t xml:space="preserve"> </w:t>
      </w:r>
      <w:r>
        <w:rPr>
          <w:rStyle w:val="VerbatimChar"/>
        </w:rPr>
        <w:t xml:space="preserve">red</w:t>
      </w:r>
      <w:r>
        <w:t xml:space="preserve"> </w:t>
      </w:r>
      <w:r>
        <w:t xml:space="preserve">does not update the prior by itself. The model needs a likelihood for observing red under each hypothesis:</w:t>
      </w:r>
    </w:p>
    <w:p>
      <w:pPr>
        <w:pStyle w:val="BodyText"/>
      </w:pPr>
      <m:oMathPara>
        <m:oMathParaPr>
          <m:jc m:val="center"/>
        </m:oMathParaPr>
        <m:oMath>
          <m:r>
            <m:t>P</m:t>
          </m:r>
          <m:r>
            <m:t>(</m:t>
          </m:r>
          <m:r>
            <m:t>r</m:t>
          </m:r>
          <m:r>
            <m:t>e</m:t>
          </m:r>
          <m:r>
            <m:t>d</m:t>
          </m:r>
          <m:r>
            <m:t>∣</m:t>
          </m:r>
          <m:r>
            <m:t>l</m:t>
          </m:r>
          <m:r>
            <m:t>o</m:t>
          </m:r>
          <m:r>
            <m:t>c</m:t>
          </m:r>
          <m:r>
            <m:t>k</m:t>
          </m:r>
          <m:r>
            <m:t>e</m:t>
          </m:r>
          <m:r>
            <m:t>d</m:t>
          </m:r>
          <m:r>
            <m:t>)</m:t>
          </m:r>
          <m:r>
            <m:t>=</m:t>
          </m:r>
          <m:r>
            <m:t>0.8</m:t>
          </m:r>
          <m:r>
            <m:t>,</m:t>
          </m:r>
        </m:oMath>
      </m:oMathPara>
    </w:p>
    <w:p>
      <w:pPr>
        <w:pStyle w:val="FirstParagraph"/>
      </w:pPr>
      <m:oMathPara>
        <m:oMathParaPr>
          <m:jc m:val="center"/>
        </m:oMathParaPr>
        <m:oMath>
          <m:r>
            <m:t>P</m:t>
          </m:r>
          <m:r>
            <m:t>(</m:t>
          </m:r>
          <m:r>
            <m:t>r</m:t>
          </m:r>
          <m:r>
            <m:t>e</m:t>
          </m:r>
          <m:r>
            <m:t>d</m:t>
          </m:r>
          <m:r>
            <m:t>∣</m:t>
          </m:r>
          <m:r>
            <m:t>u</m:t>
          </m:r>
          <m:r>
            <m:t>n</m:t>
          </m:r>
          <m:r>
            <m:t>l</m:t>
          </m:r>
          <m:r>
            <m:t>o</m:t>
          </m:r>
          <m:r>
            <m:t>c</m:t>
          </m:r>
          <m:r>
            <m:t>k</m:t>
          </m:r>
          <m:r>
            <m:t>e</m:t>
          </m:r>
          <m:r>
            <m:t>d</m:t>
          </m:r>
          <m:r>
            <m:t>)</m:t>
          </m:r>
          <m:r>
            <m:t>=</m:t>
          </m:r>
          <m:r>
            <m:t>0.3</m:t>
          </m:r>
          <m:r>
            <m:t>.</m:t>
          </m:r>
        </m:oMath>
      </m:oMathPara>
    </w:p>
    <w:p>
      <w:pPr>
        <w:pStyle w:val="FirstParagraph"/>
      </w:pPr>
      <w:r>
        <w:t xml:space="preserve">These conditional probabilities answer a forward question within the model: if a hypothesis were admitted, how much probability would the model assign to this observation? They do not answer the reverse question we care about:</w:t>
      </w:r>
    </w:p>
    <w:p>
      <w:pPr>
        <w:pStyle w:val="BodyText"/>
      </w:pPr>
      <m:oMathPara>
        <m:oMathParaPr>
          <m:jc m:val="center"/>
        </m:oMathParaPr>
        <m:oMath>
          <m:r>
            <m:t>P</m:t>
          </m:r>
          <m:r>
            <m:t>(</m:t>
          </m:r>
          <m:r>
            <m:t>r</m:t>
          </m:r>
          <m:r>
            <m:t>e</m:t>
          </m:r>
          <m:r>
            <m:t>d</m:t>
          </m:r>
          <m:r>
            <m:t>∣</m:t>
          </m:r>
          <m:r>
            <m:t>l</m:t>
          </m:r>
          <m:r>
            <m:t>o</m:t>
          </m:r>
          <m:r>
            <m:t>c</m:t>
          </m:r>
          <m:r>
            <m:t>k</m:t>
          </m:r>
          <m:r>
            <m:t>e</m:t>
          </m:r>
          <m:r>
            <m:t>d</m:t>
          </m:r>
          <m:r>
            <m:t>)</m:t>
          </m:r>
          <m:r>
            <m:t>≠</m:t>
          </m:r>
          <m:r>
            <m:t>P</m:t>
          </m:r>
          <m:r>
            <m:t>(</m:t>
          </m:r>
          <m:r>
            <m:t>l</m:t>
          </m:r>
          <m:r>
            <m:t>o</m:t>
          </m:r>
          <m:r>
            <m:t>c</m:t>
          </m:r>
          <m:r>
            <m:t>k</m:t>
          </m:r>
          <m:r>
            <m:t>e</m:t>
          </m:r>
          <m:r>
            <m:t>d</m:t>
          </m:r>
          <m:r>
            <m:t>∣</m:t>
          </m:r>
          <m:r>
            <m:t>r</m:t>
          </m:r>
          <m:r>
            <m:t>e</m:t>
          </m:r>
          <m:r>
            <m:t>d</m:t>
          </m:r>
          <m:r>
            <m:t>)</m:t>
          </m:r>
          <m:r>
            <m:t>.</m:t>
          </m:r>
        </m:oMath>
      </m:oMathPara>
    </w:p>
    <w:p>
      <w:pPr>
        <w:pStyle w:val="FirstParagraph"/>
      </w:pPr>
      <w:r>
        <w:t xml:space="preserve">The distinction matters because an observation can be common under one hypothesis without making that hypothesis certain after the observation. The posterior must also account for how probability was distributed before the evidence arrived and how well the evidence fits the alternatives.</w:t>
      </w:r>
    </w:p>
    <w:p>
      <w:pPr>
        <w:pStyle w:val="BodyText"/>
      </w:pPr>
      <w:r>
        <w:t xml:space="preserve">The illustrative likelihoods are not measurements of a real indicator. No physical sensor was calibrated for this chapter. The values let us inspect the update arithmetic and nothing more.</w:t>
      </w:r>
    </w:p>
    <w:p>
      <w:pPr>
        <w:pStyle w:val="Heading2"/>
      </w:pPr>
      <w:bookmarkStart w:id="59" w:name="chapter-3-weight-then-normalize"/>
      <w:r>
        <w:t xml:space="preserve">Weight, Then Normalize</w:t>
      </w:r>
      <w:bookmarkEnd w:id="59"/>
    </w:p>
    <w:p>
      <w:pPr>
        <w:pStyle w:val="FirstParagraph"/>
      </w:pPr>
      <w:r>
        <w:t xml:space="preserve">For each hypothesis</w:t>
      </w:r>
      <w:r>
        <w:t xml:space="preserve"> </w:t>
      </w:r>
      <m:oMath>
        <m:r>
          <m:t>h</m:t>
        </m:r>
      </m:oMath>
      <w:r>
        <w:t xml:space="preserve">, multiply its prior probability by the likelihood of the admitted evidence:</w:t>
      </w:r>
    </w:p>
    <w:p>
      <w:pPr>
        <w:pStyle w:val="BodyText"/>
      </w:pPr>
      <m:oMathPara>
        <m:oMathParaPr>
          <m:jc m:val="center"/>
        </m:oMathParaPr>
        <m:oMath>
          <m:r>
            <m:t>w</m:t>
          </m:r>
          <m:r>
            <m:t>(</m:t>
          </m:r>
          <m:r>
            <m:t>h</m:t>
          </m:r>
          <m:r>
            <m:t>)</m:t>
          </m:r>
          <m:r>
            <m:t>=</m:t>
          </m:r>
          <m:r>
            <m:t>P</m:t>
          </m:r>
          <m:r>
            <m:t>(</m:t>
          </m:r>
          <m:r>
            <m:t>r</m:t>
          </m:r>
          <m:r>
            <m:t>e</m:t>
          </m:r>
          <m:r>
            <m:t>d</m:t>
          </m:r>
          <m:r>
            <m:t>∣</m:t>
          </m:r>
          <m:r>
            <m:t>h</m:t>
          </m:r>
          <m:r>
            <m:t>)</m:t>
          </m:r>
          <m:r>
            <m:t>P</m:t>
          </m:r>
          <m:r>
            <m:t>(</m:t>
          </m:r>
          <m:r>
            <m:t>h</m:t>
          </m:r>
          <m:r>
            <m:t>)</m:t>
          </m:r>
          <m:r>
            <m:t>.</m:t>
          </m:r>
        </m:oMath>
      </m:oMathPara>
    </w:p>
    <w:p>
      <w:pPr>
        <w:pStyle w:val="FirstParagraph"/>
      </w:pPr>
      <w:r>
        <w:t xml:space="preserve">For</w:t>
      </w:r>
      <w:r>
        <w:t xml:space="preserve"> </w:t>
      </w:r>
      <w:r>
        <w:rPr>
          <w:rStyle w:val="VerbatimChar"/>
        </w:rPr>
        <w:t xml:space="preserve">locked</w:t>
      </w:r>
      <w:r>
        <w:t xml:space="preserve">, the unnormalized joint weight is</w:t>
      </w:r>
    </w:p>
    <w:p>
      <w:pPr>
        <w:pStyle w:val="BodyText"/>
      </w:pPr>
      <m:oMathPara>
        <m:oMathParaPr>
          <m:jc m:val="center"/>
        </m:oMathParaPr>
        <m:oMath>
          <m:r>
            <m:t>w</m:t>
          </m:r>
          <m:r>
            <m:t>(</m:t>
          </m:r>
          <m:r>
            <m:t>l</m:t>
          </m:r>
          <m:r>
            <m:t>o</m:t>
          </m:r>
          <m:r>
            <m:t>c</m:t>
          </m:r>
          <m:r>
            <m:t>k</m:t>
          </m:r>
          <m:r>
            <m:t>e</m:t>
          </m:r>
          <m:r>
            <m:t>d</m:t>
          </m:r>
          <m:r>
            <m:t>)</m:t>
          </m:r>
          <m:r>
            <m:t>=</m:t>
          </m:r>
          <m:r>
            <m:t>0.8</m:t>
          </m:r>
          <m:r>
            <m:t>×</m:t>
          </m:r>
          <m:r>
            <m:t>0.6</m:t>
          </m:r>
          <m:r>
            <m:t>=</m:t>
          </m:r>
          <m:r>
            <m:t>0.48</m:t>
          </m:r>
          <m:r>
            <m:t>.</m:t>
          </m:r>
        </m:oMath>
      </m:oMathPara>
    </w:p>
    <w:p>
      <w:pPr>
        <w:pStyle w:val="FirstParagraph"/>
      </w:pPr>
      <w:r>
        <w:t xml:space="preserve">For</w:t>
      </w:r>
      <w:r>
        <w:t xml:space="preserve"> </w:t>
      </w:r>
      <w:r>
        <w:rPr>
          <w:rStyle w:val="VerbatimChar"/>
        </w:rPr>
        <w:t xml:space="preserve">unlocked</w:t>
      </w:r>
      <w:r>
        <w:t xml:space="preserve">, it is</w:t>
      </w:r>
    </w:p>
    <w:p>
      <w:pPr>
        <w:pStyle w:val="BodyText"/>
      </w:pPr>
      <m:oMathPara>
        <m:oMathParaPr>
          <m:jc m:val="center"/>
        </m:oMathParaPr>
        <m:oMath>
          <m:r>
            <m:t>w</m:t>
          </m:r>
          <m:r>
            <m:t>(</m:t>
          </m:r>
          <m:r>
            <m:t>u</m:t>
          </m:r>
          <m:r>
            <m:t>n</m:t>
          </m:r>
          <m:r>
            <m:t>l</m:t>
          </m:r>
          <m:r>
            <m:t>o</m:t>
          </m:r>
          <m:r>
            <m:t>c</m:t>
          </m:r>
          <m:r>
            <m:t>k</m:t>
          </m:r>
          <m:r>
            <m:t>e</m:t>
          </m:r>
          <m:r>
            <m:t>d</m:t>
          </m:r>
          <m:r>
            <m:t>)</m:t>
          </m:r>
          <m:r>
            <m:t>=</m:t>
          </m:r>
          <m:r>
            <m:t>0.3</m:t>
          </m:r>
          <m:r>
            <m:t>×</m:t>
          </m:r>
          <m:r>
            <m:t>0.4</m:t>
          </m:r>
          <m:r>
            <m:t>=</m:t>
          </m:r>
          <m:r>
            <m:t>0.12</m:t>
          </m:r>
          <m:r>
            <m:t>.</m:t>
          </m:r>
        </m:oMath>
      </m:oMathPara>
    </w:p>
    <w:p>
      <w:pPr>
        <w:pStyle w:val="FirstParagraph"/>
      </w:pPr>
      <w:r>
        <w:t xml:space="preserve">The sum of these weights gives the probability assigned to the evidence under the complete toy model:</w:t>
      </w:r>
    </w:p>
    <w:p>
      <w:pPr>
        <w:pStyle w:val="BodyText"/>
      </w:pPr>
      <m:oMathPara>
        <m:oMathParaPr>
          <m:jc m:val="center"/>
        </m:oMathParaPr>
        <m:oMath>
          <m:r>
            <m:t>P</m:t>
          </m:r>
          <m:r>
            <m:t>(</m:t>
          </m:r>
          <m:r>
            <m:t>r</m:t>
          </m:r>
          <m:r>
            <m:t>e</m:t>
          </m:r>
          <m:r>
            <m:t>d</m:t>
          </m:r>
          <m:r>
            <m:t>)</m:t>
          </m:r>
          <m:r>
            <m:t>=</m:t>
          </m:r>
          <m:r>
            <m:t>0.48</m:t>
          </m:r>
          <m:r>
            <m:t>+</m:t>
          </m:r>
          <m:r>
            <m:t>0.12</m:t>
          </m:r>
          <m:r>
            <m:t>=</m:t>
          </m:r>
          <m:r>
            <m:t>0.60</m:t>
          </m:r>
          <m:r>
            <m:t>.</m:t>
          </m:r>
        </m:oMath>
      </m:oMathPara>
    </w:p>
    <w:p>
      <w:pPr>
        <w:pStyle w:val="FirstParagraph"/>
      </w:pPr>
      <w:r>
        <w:t xml:space="preserve">Normalize each weight by that total:</w:t>
      </w:r>
    </w:p>
    <w:p>
      <w:pPr>
        <w:pStyle w:val="BodyText"/>
      </w:pPr>
      <m:oMathPara>
        <m:oMathParaPr>
          <m:jc m:val="center"/>
        </m:oMathParaPr>
        <m:oMath>
          <m:r>
            <m:t>P</m:t>
          </m:r>
          <m:r>
            <m:t>(</m:t>
          </m:r>
          <m:r>
            <m:t>l</m:t>
          </m:r>
          <m:r>
            <m:t>o</m:t>
          </m:r>
          <m:r>
            <m:t>c</m:t>
          </m:r>
          <m:r>
            <m:t>k</m:t>
          </m:r>
          <m:r>
            <m:t>e</m:t>
          </m:r>
          <m:r>
            <m:t>d</m:t>
          </m:r>
          <m:r>
            <m:t>∣</m:t>
          </m:r>
          <m:r>
            <m:t>r</m:t>
          </m:r>
          <m:r>
            <m:t>e</m:t>
          </m:r>
          <m:r>
            <m:t>d</m:t>
          </m:r>
          <m:r>
            <m:t>)</m:t>
          </m:r>
          <m:r>
            <m:t>=</m:t>
          </m:r>
          <m:f>
            <m:fPr>
              <m:type m:val="bar"/>
            </m:fPr>
            <m:num>
              <m:r>
                <m:t>0.48</m:t>
              </m:r>
            </m:num>
            <m:den>
              <m:r>
                <m:t>0.60</m:t>
              </m:r>
            </m:den>
          </m:f>
          <m:r>
            <m:t>=</m:t>
          </m:r>
          <m:r>
            <m:t>0.8</m:t>
          </m:r>
          <m:r>
            <m:t>,</m:t>
          </m:r>
        </m:oMath>
      </m:oMathPara>
    </w:p>
    <w:p>
      <w:pPr>
        <w:pStyle w:val="FirstParagraph"/>
      </w:pPr>
      <m:oMathPara>
        <m:oMathParaPr>
          <m:jc m:val="center"/>
        </m:oMathParaPr>
        <m:oMath>
          <m:r>
            <m:t>P</m:t>
          </m:r>
          <m:r>
            <m:t>(</m:t>
          </m:r>
          <m:r>
            <m:t>u</m:t>
          </m:r>
          <m:r>
            <m:t>n</m:t>
          </m:r>
          <m:r>
            <m:t>l</m:t>
          </m:r>
          <m:r>
            <m:t>o</m:t>
          </m:r>
          <m:r>
            <m:t>c</m:t>
          </m:r>
          <m:r>
            <m:t>k</m:t>
          </m:r>
          <m:r>
            <m:t>e</m:t>
          </m:r>
          <m:r>
            <m:t>d</m:t>
          </m:r>
          <m:r>
            <m:t>∣</m:t>
          </m:r>
          <m:r>
            <m:t>r</m:t>
          </m:r>
          <m:r>
            <m:t>e</m:t>
          </m:r>
          <m:r>
            <m:t>d</m:t>
          </m:r>
          <m:r>
            <m:t>)</m:t>
          </m:r>
          <m:r>
            <m:t>=</m:t>
          </m:r>
          <m:f>
            <m:fPr>
              <m:type m:val="bar"/>
            </m:fPr>
            <m:num>
              <m:r>
                <m:t>0.12</m:t>
              </m:r>
            </m:num>
            <m:den>
              <m:r>
                <m:t>0.60</m:t>
              </m:r>
            </m:den>
          </m:f>
          <m:r>
            <m:t>=</m:t>
          </m:r>
          <m:r>
            <m:t>0.2</m:t>
          </m:r>
          <m:r>
            <m:t>.</m:t>
          </m:r>
        </m:oMath>
      </m:oMathPara>
    </w:p>
    <w:p>
      <w:pPr>
        <w:pStyle w:val="FirstParagraph"/>
      </w:pPr>
      <w:r>
        <w:t xml:space="preserve">The posterior is again a distribution:</w:t>
      </w:r>
    </w:p>
    <w:p>
      <w:pPr>
        <w:pStyle w:val="BodyText"/>
      </w:pPr>
      <m:oMathPara>
        <m:oMathParaPr>
          <m:jc m:val="center"/>
        </m:oMathParaPr>
        <m:oMath>
          <m:r>
            <m:t>0.8</m:t>
          </m:r>
          <m:r>
            <m:t>+</m:t>
          </m:r>
          <m:r>
            <m:t>0.2</m:t>
          </m:r>
          <m:r>
            <m:t>=</m:t>
          </m:r>
          <m:r>
            <m:t>1</m:t>
          </m:r>
          <m:r>
            <m:t>.</m:t>
          </m:r>
        </m:oMath>
      </m:oMathPara>
    </w:p>
    <w:p>
      <w:pPr>
        <w:pStyle w:val="FirstParagraph"/>
      </w:pPr>
      <w:r>
        <w:t xml:space="preserve">The observation has shifted probability from the prior</w:t>
      </w:r>
      <w:r>
        <w:t xml:space="preserve"> </w:t>
      </w:r>
      <m:oMath>
        <m:r>
          <m:t>(</m:t>
        </m:r>
        <m:r>
          <m:t>0.6</m:t>
        </m:r>
        <m:r>
          <m:t>,</m:t>
        </m:r>
        <m:r>
          <m:t>0.4</m:t>
        </m:r>
        <m:r>
          <m:t>)</m:t>
        </m:r>
      </m:oMath>
      <w:r>
        <w:t xml:space="preserve"> </w:t>
      </w:r>
      <w:r>
        <w:t xml:space="preserve">to the posterior</w:t>
      </w:r>
      <w:r>
        <w:t xml:space="preserve"> </w:t>
      </w:r>
      <m:oMath>
        <m:r>
          <m:t>(</m:t>
        </m:r>
        <m:r>
          <m:t>0.8</m:t>
        </m:r>
        <m:r>
          <m:t>,</m:t>
        </m:r>
        <m:r>
          <m:t>0.2</m:t>
        </m:r>
        <m:r>
          <m:t>)</m:t>
        </m:r>
      </m:oMath>
      <w:r>
        <w:t xml:space="preserve">. It has not selected a certain state. Both posterior values remain strictly between zero and one.</w:t>
      </w:r>
    </w:p>
    <w:p>
      <w:pPr>
        <w:pStyle w:val="CaptionedFigure"/>
      </w:pPr>
      <w:r>
        <w:drawing>
          <wp:inline>
            <wp:extent cx="5334000" cy="3378200"/>
            <wp:effectExtent b="0" l="0" r="0" t="0"/>
            <wp:docPr descr="The Shape of Updated Belief" title="" id="1" name="Picture"/>
            <a:graphic>
              <a:graphicData uri="http://schemas.openxmlformats.org/drawingml/2006/picture">
                <pic:pic>
                  <pic:nvPicPr>
                    <pic:cNvPr descr="../visuals/chapter_03_shape_of_updated_belief.svg" id="0" name="Picture"/>
                    <pic:cNvPicPr>
                      <a:picLocks noChangeArrowheads="1" noChangeAspect="1"/>
                    </pic:cNvPicPr>
                  </pic:nvPicPr>
                  <pic:blipFill>
                    <a:blip r:embed="rId60"/>
                    <a:stretch>
                      <a:fillRect/>
                    </a:stretch>
                  </pic:blipFill>
                  <pic:spPr bwMode="auto">
                    <a:xfrm>
                      <a:off x="0" y="0"/>
                      <a:ext cx="5334000" cy="3378200"/>
                    </a:xfrm>
                    <a:prstGeom prst="rect">
                      <a:avLst/>
                    </a:prstGeom>
                    <a:noFill/>
                    <a:ln w="9525">
                      <a:noFill/>
                      <a:headEnd/>
                      <a:tailEnd/>
                    </a:ln>
                  </pic:spPr>
                </pic:pic>
              </a:graphicData>
            </a:graphic>
          </wp:inline>
        </w:drawing>
      </w:r>
    </w:p>
    <w:p>
      <w:pPr>
        <w:pStyle w:val="ImageCaption"/>
      </w:pPr>
      <w:r>
        <w:t xml:space="preserve">The Shape of Updated Belief</w:t>
      </w:r>
    </w:p>
    <w:p>
      <w:pPr>
        <w:pStyle w:val="BodyText"/>
      </w:pPr>
      <w:r>
        <w:rPr>
          <w:i/>
        </w:rPr>
        <w:t xml:space="preserve">Under the declared prior and likelihood model, observing</w:t>
      </w:r>
      <w:r>
        <w:rPr>
          <w:i/>
        </w:rPr>
        <w:t xml:space="preserve"> </w:t>
      </w:r>
      <w:r>
        <w:rPr>
          <w:rStyle w:val="VerbatimChar"/>
          <w:i/>
        </w:rPr>
        <w:t xml:space="preserve">red</w:t>
      </w:r>
      <w:r>
        <w:rPr>
          <w:i/>
        </w:rPr>
        <w:t xml:space="preserve"> </w:t>
      </w:r>
      <w:r>
        <w:rPr>
          <w:i/>
        </w:rPr>
        <w:t xml:space="preserve">shifts probability from</w:t>
      </w:r>
      <w:r>
        <w:rPr>
          <w:i/>
        </w:rPr>
        <w:t xml:space="preserve"> </w:t>
      </w:r>
      <m:oMath>
        <m:r>
          <m:t>(</m:t>
        </m:r>
        <m:r>
          <m:t>0.6</m:t>
        </m:r>
        <m:r>
          <m:t>,</m:t>
        </m:r>
        <m:r>
          <m:t>0.4</m:t>
        </m:r>
        <m:r>
          <m:t>)</m:t>
        </m:r>
      </m:oMath>
      <w:r>
        <w:rPr>
          <w:i/>
        </w:rPr>
        <w:t xml:space="preserve"> </w:t>
      </w:r>
      <w:r>
        <w:rPr>
          <w:i/>
        </w:rPr>
        <w:t xml:space="preserve">to</w:t>
      </w:r>
      <w:r>
        <w:rPr>
          <w:i/>
        </w:rPr>
        <w:t xml:space="preserve"> </w:t>
      </w:r>
      <m:oMath>
        <m:r>
          <m:t>(</m:t>
        </m:r>
        <m:r>
          <m:t>0.8</m:t>
        </m:r>
        <m:r>
          <m:t>,</m:t>
        </m:r>
        <m:r>
          <m:t>0.2</m:t>
        </m:r>
        <m:r>
          <m:t>)</m:t>
        </m:r>
      </m:oMath>
      <w:r>
        <w:rPr>
          <w:i/>
        </w:rPr>
        <w:t xml:space="preserve">. The posterior remains a distribution conditioned on the model and evidence; sensitivity marks show how alternate prior or likelihood assumptions change that distribution.</w:t>
      </w:r>
    </w:p>
    <w:p>
      <w:pPr>
        <w:pStyle w:val="Heading2"/>
      </w:pPr>
      <w:bookmarkStart w:id="61" w:name="Xd9bc5ff74c3066f8c3715c2e6f88ea753ee2351"/>
      <w:r>
        <w:t xml:space="preserve">The Same Evidence, Different Assumptions</w:t>
      </w:r>
      <w:bookmarkEnd w:id="61"/>
    </w:p>
    <w:p>
      <w:pPr>
        <w:pStyle w:val="FirstParagraph"/>
      </w:pPr>
      <w:r>
        <w:t xml:space="preserve">The update depends on more than the word</w:t>
      </w:r>
      <w:r>
        <w:t xml:space="preserve"> </w:t>
      </w:r>
      <w:r>
        <w:rPr>
          <w:rStyle w:val="VerbatimChar"/>
        </w:rPr>
        <w:t xml:space="preserve">red</w:t>
      </w:r>
      <w:r>
        <w:t xml:space="preserve">. We can hold the observation fixed and change one assumption at a time.</w:t>
      </w:r>
    </w:p>
    <w:p>
      <w:pPr>
        <w:pStyle w:val="BodyText"/>
      </w:pPr>
      <w:r>
        <w:t xml:space="preserve">First change only the prior:</w:t>
      </w:r>
    </w:p>
    <w:p>
      <w:pPr>
        <w:pStyle w:val="BodyText"/>
      </w:pPr>
      <m:oMathPara>
        <m:oMathParaPr>
          <m:jc m:val="center"/>
        </m:oMathParaPr>
        <m:oMath>
          <m:r>
            <m:t>P</m:t>
          </m:r>
          <m:r>
            <m:t>(</m:t>
          </m:r>
          <m:r>
            <m:t>l</m:t>
          </m:r>
          <m:r>
            <m:t>o</m:t>
          </m:r>
          <m:r>
            <m:t>c</m:t>
          </m:r>
          <m:r>
            <m:t>k</m:t>
          </m:r>
          <m:r>
            <m:t>e</m:t>
          </m:r>
          <m:r>
            <m:t>d</m:t>
          </m:r>
          <m:r>
            <m:t>)</m:t>
          </m:r>
          <m:r>
            <m:t>=</m:t>
          </m:r>
          <m:r>
            <m:t>0.4</m:t>
          </m:r>
          <m:r>
            <m:t>,</m:t>
          </m:r>
          <m:r>
            <m:t>  </m:t>
          </m:r>
          <m:r>
            <m:t>P</m:t>
          </m:r>
          <m:r>
            <m:t>(</m:t>
          </m:r>
          <m:r>
            <m:t>u</m:t>
          </m:r>
          <m:r>
            <m:t>n</m:t>
          </m:r>
          <m:r>
            <m:t>l</m:t>
          </m:r>
          <m:r>
            <m:t>o</m:t>
          </m:r>
          <m:r>
            <m:t>c</m:t>
          </m:r>
          <m:r>
            <m:t>k</m:t>
          </m:r>
          <m:r>
            <m:t>e</m:t>
          </m:r>
          <m:r>
            <m:t>d</m:t>
          </m:r>
          <m:r>
            <m:t>)</m:t>
          </m:r>
          <m:r>
            <m:t>=</m:t>
          </m:r>
          <m:r>
            <m:t>0.6</m:t>
          </m:r>
          <m:r>
            <m:t>.</m:t>
          </m:r>
        </m:oMath>
      </m:oMathPara>
    </w:p>
    <w:p>
      <w:pPr>
        <w:pStyle w:val="FirstParagraph"/>
      </w:pPr>
      <w:r>
        <w:t xml:space="preserve">Retain the original likelihoods. The resulting posterior becomes</w:t>
      </w:r>
    </w:p>
    <w:p>
      <w:pPr>
        <w:pStyle w:val="BodyText"/>
      </w:pPr>
      <m:oMathPara>
        <m:oMathParaPr>
          <m:jc m:val="center"/>
        </m:oMathParaPr>
        <m:oMath>
          <m:r>
            <m:t>P</m:t>
          </m:r>
          <m:r>
            <m:t>(</m:t>
          </m:r>
          <m:r>
            <m:t>l</m:t>
          </m:r>
          <m:r>
            <m:t>o</m:t>
          </m:r>
          <m:r>
            <m:t>c</m:t>
          </m:r>
          <m:r>
            <m:t>k</m:t>
          </m:r>
          <m:r>
            <m:t>e</m:t>
          </m:r>
          <m:r>
            <m:t>d</m:t>
          </m:r>
          <m:r>
            <m:t>∣</m:t>
          </m:r>
          <m:r>
            <m:t>r</m:t>
          </m:r>
          <m:r>
            <m:t>e</m:t>
          </m:r>
          <m:r>
            <m:t>d</m:t>
          </m:r>
          <m:r>
            <m:t>)</m:t>
          </m:r>
          <m:r>
            <m:t>=</m:t>
          </m:r>
          <m:r>
            <m:t>0.64</m:t>
          </m:r>
          <m:r>
            <m:t>,</m:t>
          </m:r>
          <m:r>
            <m:t>  </m:t>
          </m:r>
          <m:r>
            <m:t>P</m:t>
          </m:r>
          <m:r>
            <m:t>(</m:t>
          </m:r>
          <m:r>
            <m:t>u</m:t>
          </m:r>
          <m:r>
            <m:t>n</m:t>
          </m:r>
          <m:r>
            <m:t>l</m:t>
          </m:r>
          <m:r>
            <m:t>o</m:t>
          </m:r>
          <m:r>
            <m:t>c</m:t>
          </m:r>
          <m:r>
            <m:t>k</m:t>
          </m:r>
          <m:r>
            <m:t>e</m:t>
          </m:r>
          <m:r>
            <m:t>d</m:t>
          </m:r>
          <m:r>
            <m:t>∣</m:t>
          </m:r>
          <m:r>
            <m:t>r</m:t>
          </m:r>
          <m:r>
            <m:t>e</m:t>
          </m:r>
          <m:r>
            <m:t>d</m:t>
          </m:r>
          <m:r>
            <m:t>)</m:t>
          </m:r>
          <m:r>
            <m:t>=</m:t>
          </m:r>
          <m:r>
            <m:t>0.36</m:t>
          </m:r>
          <m:r>
            <m:t>.</m:t>
          </m:r>
        </m:oMath>
      </m:oMathPara>
    </w:p>
    <w:p>
      <w:pPr>
        <w:pStyle w:val="FirstParagraph"/>
      </w:pPr>
      <w:r>
        <w:t xml:space="preserve">The evidence still shifts probability toward</w:t>
      </w:r>
      <w:r>
        <w:t xml:space="preserve"> </w:t>
      </w:r>
      <w:r>
        <w:rPr>
          <w:rStyle w:val="VerbatimChar"/>
        </w:rPr>
        <w:t xml:space="preserve">locked</w:t>
      </w:r>
      <w:r>
        <w:t xml:space="preserve">, but the result differs because the starting distribution differs.</w:t>
      </w:r>
    </w:p>
    <w:p>
      <w:pPr>
        <w:pStyle w:val="BodyText"/>
      </w:pPr>
      <w:r>
        <w:t xml:space="preserve">Now restore the original prior and change only one likelihood:</w:t>
      </w:r>
    </w:p>
    <w:p>
      <w:pPr>
        <w:pStyle w:val="BodyText"/>
      </w:pPr>
      <m:oMathPara>
        <m:oMathParaPr>
          <m:jc m:val="center"/>
        </m:oMathParaPr>
        <m:oMath>
          <m:r>
            <m:t>P</m:t>
          </m:r>
          <m:r>
            <m:t>(</m:t>
          </m:r>
          <m:r>
            <m:t>r</m:t>
          </m:r>
          <m:r>
            <m:t>e</m:t>
          </m:r>
          <m:r>
            <m:t>d</m:t>
          </m:r>
          <m:r>
            <m:t>∣</m:t>
          </m:r>
          <m:r>
            <m:t>l</m:t>
          </m:r>
          <m:r>
            <m:t>o</m:t>
          </m:r>
          <m:r>
            <m:t>c</m:t>
          </m:r>
          <m:r>
            <m:t>k</m:t>
          </m:r>
          <m:r>
            <m:t>e</m:t>
          </m:r>
          <m:r>
            <m:t>d</m:t>
          </m:r>
          <m:r>
            <m:t>)</m:t>
          </m:r>
          <m:r>
            <m:t>=</m:t>
          </m:r>
          <m:r>
            <m:t>0.5</m:t>
          </m:r>
          <m:r>
            <m:t>.</m:t>
          </m:r>
        </m:oMath>
      </m:oMathPara>
    </w:p>
    <w:p>
      <w:pPr>
        <w:pStyle w:val="FirstParagraph"/>
      </w:pPr>
      <w:r>
        <w:t xml:space="preserve">Keep</w:t>
      </w:r>
      <w:r>
        <w:t xml:space="preserve"> </w:t>
      </w:r>
      <m:oMath>
        <m:r>
          <m:t>P</m:t>
        </m:r>
        <m:r>
          <m:t>(</m:t>
        </m:r>
        <m:r>
          <m:t>r</m:t>
        </m:r>
        <m:r>
          <m:t>e</m:t>
        </m:r>
        <m:r>
          <m:t>d</m:t>
        </m:r>
        <m:r>
          <m:t>∣</m:t>
        </m:r>
        <m:r>
          <m:t>u</m:t>
        </m:r>
        <m:r>
          <m:t>n</m:t>
        </m:r>
        <m:r>
          <m:t>l</m:t>
        </m:r>
        <m:r>
          <m:t>o</m:t>
        </m:r>
        <m:r>
          <m:t>c</m:t>
        </m:r>
        <m:r>
          <m:t>k</m:t>
        </m:r>
        <m:r>
          <m:t>e</m:t>
        </m:r>
        <m:r>
          <m:t>d</m:t>
        </m:r>
        <m:r>
          <m:t>)</m:t>
        </m:r>
        <m:r>
          <m:t>=</m:t>
        </m:r>
        <m:r>
          <m:t>0.3</m:t>
        </m:r>
      </m:oMath>
      <w:r>
        <w:t xml:space="preserve">. The posterior becomes</w:t>
      </w:r>
    </w:p>
    <w:p>
      <w:pPr>
        <w:pStyle w:val="BodyText"/>
      </w:pPr>
      <m:oMathPara>
        <m:oMathParaPr>
          <m:jc m:val="center"/>
        </m:oMathParaPr>
        <m:oMath>
          <m:r>
            <m:t>P</m:t>
          </m:r>
          <m:r>
            <m:t>(</m:t>
          </m:r>
          <m:r>
            <m:t>l</m:t>
          </m:r>
          <m:r>
            <m:t>o</m:t>
          </m:r>
          <m:r>
            <m:t>c</m:t>
          </m:r>
          <m:r>
            <m:t>k</m:t>
          </m:r>
          <m:r>
            <m:t>e</m:t>
          </m:r>
          <m:r>
            <m:t>d</m:t>
          </m:r>
          <m:r>
            <m:t>∣</m:t>
          </m:r>
          <m:r>
            <m:t>r</m:t>
          </m:r>
          <m:r>
            <m:t>e</m:t>
          </m:r>
          <m:r>
            <m:t>d</m:t>
          </m:r>
          <m:r>
            <m:t>)</m:t>
          </m:r>
          <m:r>
            <m:t>=</m:t>
          </m:r>
          <m:f>
            <m:fPr>
              <m:type m:val="bar"/>
            </m:fPr>
            <m:num>
              <m:r>
                <m:t>5</m:t>
              </m:r>
            </m:num>
            <m:den>
              <m:r>
                <m:t>7</m:t>
              </m:r>
            </m:den>
          </m:f>
          <m:r>
            <m:t>,</m:t>
          </m:r>
          <m:r>
            <m:t>  </m:t>
          </m:r>
          <m:r>
            <m:t>P</m:t>
          </m:r>
          <m:r>
            <m:t>(</m:t>
          </m:r>
          <m:r>
            <m:t>u</m:t>
          </m:r>
          <m:r>
            <m:t>n</m:t>
          </m:r>
          <m:r>
            <m:t>l</m:t>
          </m:r>
          <m:r>
            <m:t>o</m:t>
          </m:r>
          <m:r>
            <m:t>c</m:t>
          </m:r>
          <m:r>
            <m:t>k</m:t>
          </m:r>
          <m:r>
            <m:t>e</m:t>
          </m:r>
          <m:r>
            <m:t>d</m:t>
          </m:r>
          <m:r>
            <m:t>∣</m:t>
          </m:r>
          <m:r>
            <m:t>r</m:t>
          </m:r>
          <m:r>
            <m:t>e</m:t>
          </m:r>
          <m:r>
            <m:t>d</m:t>
          </m:r>
          <m:r>
            <m:t>)</m:t>
          </m:r>
          <m:r>
            <m:t>=</m:t>
          </m:r>
          <m:f>
            <m:fPr>
              <m:type m:val="bar"/>
            </m:fPr>
            <m:num>
              <m:r>
                <m:t>2</m:t>
              </m:r>
            </m:num>
            <m:den>
              <m:r>
                <m:t>7</m:t>
              </m:r>
            </m:den>
          </m:f>
          <m:r>
            <m:t>.</m:t>
          </m:r>
        </m:oMath>
      </m:oMathPara>
    </w:p>
    <w:p>
      <w:pPr>
        <w:pStyle w:val="FirstParagraph"/>
      </w:pPr>
      <w:r>
        <w:t xml:space="preserve">Again, the observation has not changed. The model used to interpret it has. These sensitivity cases do not tell us which assumptions correspond to a physical door. They establish that the posterior is conditional on the prior and likelihood model as well as the admitted evidence.</w:t>
      </w:r>
    </w:p>
    <w:p>
      <w:pPr>
        <w:pStyle w:val="Heading2"/>
      </w:pPr>
      <w:bookmarkStart w:id="62" w:name="chapter-3-a-graph-declares-dependence"/>
      <w:r>
        <w:t xml:space="preserve">A Graph Declares Dependence</w:t>
      </w:r>
      <w:bookmarkEnd w:id="62"/>
    </w:p>
    <w:p>
      <w:pPr>
        <w:pStyle w:val="FirstParagraph"/>
      </w:pPr>
      <w:r>
        <w:t xml:space="preserve">The toy model can be drawn as one directed edge:</w:t>
      </w:r>
    </w:p>
    <w:p>
      <w:pPr>
        <w:pStyle w:val="BodyText"/>
      </w:pPr>
      <m:oMathPara>
        <m:oMathParaPr>
          <m:jc m:val="center"/>
        </m:oMathParaPr>
        <m:oMath>
          <m:r>
            <m:t>H</m:t>
          </m:r>
          <m:r>
            <m:t>→</m:t>
          </m:r>
          <m:r>
            <m:t>E</m:t>
          </m:r>
          <m:r>
            <m:t>.</m:t>
          </m:r>
        </m:oMath>
      </m:oMathPara>
    </w:p>
    <w:p>
      <w:pPr>
        <w:pStyle w:val="FirstParagraph"/>
      </w:pPr>
      <w:r>
        <w:t xml:space="preserve">The edge says that the probability assigned to the observation is conditioned on the door-state hypothesis. It makes the factorization used in the update explicit. It does not, by itself, prove that a physical door causes a physical indicator to display red.</w:t>
      </w:r>
    </w:p>
    <w:p>
      <w:pPr>
        <w:pStyle w:val="BodyText"/>
      </w:pPr>
      <w:r>
        <w:t xml:space="preserve">This distinction becomes increasingly important in larger probabilistic graphical models. A graph can organize represented variables and conditional relationships so that inference can be computed. The meaning of an edge still depends on the model’s definition. Direction alone is not a license to infer physical causation.</w:t>
      </w:r>
    </w:p>
    <w:p>
      <w:pPr>
        <w:pStyle w:val="BodyText"/>
      </w:pPr>
      <w:r>
        <w:t xml:space="preserve">Probabilistic belief networks became an explicit research subject in artificial intelligence by the 1980s. Their historical presence matters here because AI did not develop only through deterministic rules. Systems also represented and propagated uncertainty. That history does not imply that probabilistic methods replaced symbolic AI or that every AI system performs Bayesian inference.</w:t>
      </w:r>
    </w:p>
    <w:p>
      <w:pPr>
        <w:pStyle w:val="Heading2"/>
      </w:pPr>
      <w:bookmarkStart w:id="63" w:name="chapter-3-inference-is-not-a-decision"/>
      <w:r>
        <w:t xml:space="preserve">Inference Is Not a Decision</w:t>
      </w:r>
      <w:bookmarkEnd w:id="63"/>
    </w:p>
    <w:p>
      <w:pPr>
        <w:pStyle w:val="FirstParagraph"/>
      </w:pPr>
      <w:r>
        <w:t xml:space="preserve">The posterior answers a question inside the model: after admitting</w:t>
      </w:r>
      <w:r>
        <w:t xml:space="preserve"> </w:t>
      </w:r>
      <w:r>
        <w:rPr>
          <w:rStyle w:val="VerbatimChar"/>
        </w:rPr>
        <w:t xml:space="preserve">red</w:t>
      </w:r>
      <w:r>
        <w:t xml:space="preserve">, how is probability distributed across</w:t>
      </w:r>
      <w:r>
        <w:t xml:space="preserve"> </w:t>
      </w:r>
      <w:r>
        <w:rPr>
          <w:rStyle w:val="VerbatimChar"/>
        </w:rPr>
        <w:t xml:space="preserve">locked</w:t>
      </w:r>
      <w:r>
        <w:t xml:space="preserve"> </w:t>
      </w:r>
      <w:r>
        <w:t xml:space="preserve">and</w:t>
      </w:r>
      <w:r>
        <w:t xml:space="preserve"> </w:t>
      </w:r>
      <w:r>
        <w:rPr>
          <w:rStyle w:val="VerbatimChar"/>
        </w:rPr>
        <w:t xml:space="preserve">unlocked</w:t>
      </w:r>
      <w:r>
        <w:t xml:space="preserve">?</w:t>
      </w:r>
    </w:p>
    <w:p>
      <w:pPr>
        <w:pStyle w:val="BodyText"/>
      </w:pPr>
      <w:r>
        <w:t xml:space="preserve">It does not answer what anyone should do next.</w:t>
      </w:r>
    </w:p>
    <w:p>
      <w:pPr>
        <w:pStyle w:val="BodyText"/>
      </w:pPr>
      <w:r>
        <w:t xml:space="preserve">A decision would require additional machinery. A system might introduce a threshold, assign different costs to errors, compare expected losses, request another observation, or decline to act. None of those choices follows from the posterior alone. Acting whenever one hypothesis exceeds</w:t>
      </w:r>
      <w:r>
        <w:t xml:space="preserve"> </w:t>
      </w:r>
      <m:oMath>
        <m:r>
          <m:t>0.5</m:t>
        </m:r>
      </m:oMath>
      <w:r>
        <w:t xml:space="preserve"> </w:t>
      </w:r>
      <w:r>
        <w:t xml:space="preserve">is a decision rule, not Bayes’ theorem.</w:t>
      </w:r>
    </w:p>
    <w:p>
      <w:pPr>
        <w:pStyle w:val="BodyText"/>
      </w:pPr>
      <w:r>
        <w:t xml:space="preserve">The separation prevents four different objects from collapsing into one:</w:t>
      </w:r>
    </w:p>
    <w:p>
      <w:pPr>
        <w:numPr>
          <w:ilvl w:val="0"/>
          <w:numId w:val="1005"/>
        </w:numPr>
        <w:pStyle w:val="Compact"/>
      </w:pPr>
      <w:r>
        <w:t xml:space="preserve">the evidence is the admitted observation</w:t>
      </w:r>
      <w:r>
        <w:t xml:space="preserve"> </w:t>
      </w:r>
      <w:r>
        <w:rPr>
          <w:rStyle w:val="VerbatimChar"/>
        </w:rPr>
        <w:t xml:space="preserve">red</w:t>
      </w:r>
    </w:p>
    <w:p>
      <w:pPr>
        <w:numPr>
          <w:ilvl w:val="0"/>
          <w:numId w:val="1005"/>
        </w:numPr>
        <w:pStyle w:val="Compact"/>
      </w:pPr>
      <w:r>
        <w:t xml:space="preserve">the likelihood model states how probable that evidence is under each hypothesis</w:t>
      </w:r>
    </w:p>
    <w:p>
      <w:pPr>
        <w:numPr>
          <w:ilvl w:val="0"/>
          <w:numId w:val="1005"/>
        </w:numPr>
        <w:pStyle w:val="Compact"/>
      </w:pPr>
      <w:r>
        <w:t xml:space="preserve">the posterior redistributes probability after conditioning</w:t>
      </w:r>
    </w:p>
    <w:p>
      <w:pPr>
        <w:numPr>
          <w:ilvl w:val="0"/>
          <w:numId w:val="1005"/>
        </w:numPr>
        <w:pStyle w:val="Compact"/>
      </w:pPr>
      <w:r>
        <w:t xml:space="preserve">a decision rule, if one were supplied, would consume that distribution and select an action</w:t>
      </w:r>
    </w:p>
    <w:p>
      <w:pPr>
        <w:pStyle w:val="FirstParagraph"/>
      </w:pPr>
      <w:r>
        <w:t xml:space="preserve">This chapter stops at the third object. It contains no threshold, utility, loss function, predicted action, or asserted ground-truth state.</w:t>
      </w:r>
    </w:p>
    <w:p>
      <w:pPr>
        <w:pStyle w:val="Heading2"/>
      </w:pPr>
      <w:bookmarkStart w:id="64" w:name="chapter-3-what-the-probe-establishes"/>
      <w:r>
        <w:t xml:space="preserve">What the Probe Establishes</w:t>
      </w:r>
      <w:bookmarkEnd w:id="64"/>
    </w:p>
    <w:p>
      <w:pPr>
        <w:pStyle w:val="FirstParagraph"/>
      </w:pPr>
      <w:r>
        <w:t xml:space="preserve">The standard-library Python probe records the hypotheses, prior, likelihoods, joint weights, evidence probability, and posterior. It verifies that every prior and posterior sums to one. It verifies that the base posterior remains non-collapsed, that</w:t>
      </w:r>
      <w:r>
        <w:t xml:space="preserve"> </w:t>
      </w:r>
      <w:r>
        <w:rPr>
          <w:rStyle w:val="VerbatimChar"/>
        </w:rPr>
        <w:t xml:space="preserve">red</w:t>
      </w:r>
      <w:r>
        <w:t xml:space="preserve"> </w:t>
      </w:r>
      <w:r>
        <w:t xml:space="preserve">increases the probability of</w:t>
      </w:r>
      <w:r>
        <w:t xml:space="preserve"> </w:t>
      </w:r>
      <w:r>
        <w:rPr>
          <w:rStyle w:val="VerbatimChar"/>
        </w:rPr>
        <w:t xml:space="preserve">locked</w:t>
      </w:r>
      <w:r>
        <w:t xml:space="preserve"> </w:t>
      </w:r>
      <w:r>
        <w:t xml:space="preserve">without making it certain, and that changing either the prior or one likelihood changes the result.</w:t>
      </w:r>
    </w:p>
    <w:p>
      <w:pPr>
        <w:pStyle w:val="BodyText"/>
      </w:pPr>
      <w:r>
        <w:t xml:space="preserve">The probe also rejects malformed inputs: an empty hypothesis space, mismatched keys, negative or non-finite probabilities, a prior that does not sum to one, and evidence with zero total probability. Those checks enforce the declared computational contract.</w:t>
      </w:r>
    </w:p>
    <w:p>
      <w:pPr>
        <w:pStyle w:val="BodyText"/>
      </w:pPr>
      <w:r>
        <w:t xml:space="preserve">They do not establish physical correspondence. The probe cannot show that the hypotheses exhaust a real door’s states, that</w:t>
      </w:r>
      <w:r>
        <w:t xml:space="preserve"> </w:t>
      </w:r>
      <w:r>
        <w:rPr>
          <w:rStyle w:val="VerbatimChar"/>
        </w:rPr>
        <w:t xml:space="preserve">red</w:t>
      </w:r>
      <w:r>
        <w:t xml:space="preserve"> </w:t>
      </w:r>
      <w:r>
        <w:t xml:space="preserve">came from a real indicator, that the likelihoods measure sensor performance, or that an action based on the posterior would be adequate. Internal arithmetic can be valid while the model remains incomplete or poorly matched to a task.</w:t>
      </w:r>
    </w:p>
    <w:p>
      <w:pPr>
        <w:pStyle w:val="Heading2"/>
      </w:pPr>
      <w:bookmarkStart w:id="65" w:name="X3bebad3c1d955aa2a3c20d7e6c69792489b6ea6"/>
      <w:r>
        <w:t xml:space="preserve">A Distribution Ready for Later Machinery</w:t>
      </w:r>
      <w:bookmarkEnd w:id="65"/>
    </w:p>
    <w:p>
      <w:pPr>
        <w:pStyle w:val="FirstParagraph"/>
      </w:pPr>
      <w:r>
        <w:t xml:space="preserve">Chapter 1 established domains, operations, and constraints. Chapter 2 followed selected distinctions into numerical representation. This chapter has added another numerical object: a probability distribution over declared possibilities. Evidence changes that object through likelihood weighting and normalization, but the result remains conditional and uncertain.</w:t>
      </w:r>
    </w:p>
    <w:p>
      <w:pPr>
        <w:pStyle w:val="BodyText"/>
      </w:pPr>
      <w:r>
        <w:t xml:space="preserve">Later chapters will use probability in two distinct directions. Chapter 6 will combine expected quantities with objectives and gradients when it introduces learning by adjustment. Chapter 10 will examine normalized weighting in attention while keeping attention weights distinct from Bayesian posterior probabilities.</w:t>
      </w:r>
    </w:p>
    <w:p>
      <w:pPr>
        <w:pStyle w:val="BodyText"/>
      </w:pPr>
      <w:r>
        <w:t xml:space="preserve">The weighting arithmetic performed here by hand — multiply, sum, normalize — recurs later as the softmax kernel a GPU executes inside attention: exponentiate a vector of scores, reduce it to a sum, divide each entry by that sum. Shared arithmetic is not shared interpretation. A posterior is conditioned on a declared hypothesis space and likelihood model; an attention weight is conditioned on learned projections with no declared hypothesis space at all. Chapter 10 keeps that distinction explicit even where the executed operations rhyme.</w:t>
      </w:r>
    </w:p>
    <w:p>
      <w:pPr>
        <w:pStyle w:val="BodyText"/>
      </w:pPr>
      <w:r>
        <w:t xml:space="preserve">Before either step, Chapter 4 turns to transformations more generally. Vectors and distributions can change; matrices, maps, and derivatives provide language for describing how outputs depend on inputs and parameters. The posterior showed one carefully bounded change. The next chapter develops machinery for change itself.</w:t>
      </w:r>
    </w:p>
    <w:p>
      <w:pPr>
        <w:pStyle w:val="Heading2"/>
      </w:pPr>
      <w:bookmarkStart w:id="66" w:name="chapter-3-sources-and-evidence"/>
      <w:r>
        <w:t xml:space="preserve">Sources and Evidence</w:t>
      </w:r>
      <w:bookmarkEnd w:id="66"/>
    </w:p>
    <w:p>
      <w:pPr>
        <w:pStyle w:val="FirstParagraph"/>
      </w:pPr>
      <w:r>
        <w:t xml:space="preserve">The chapter’s bounded claims about conditional probability, Bayesian updating, historical origin, and probabilistic graphical models are documented in the</w:t>
      </w:r>
      <w:r>
        <w:t xml:space="preserve"> </w:t>
      </w:r>
      <w:hyperlink r:id="rId67">
        <w:r>
          <w:rPr>
            <w:rStyle w:val="Hyperlink"/>
          </w:rPr>
          <w:t xml:space="preserve">Chapter 3 source ledger</w:t>
        </w:r>
      </w:hyperlink>
      <w:r>
        <w:t xml:space="preserve">. Exact assumptions, validation gates, sensitivity cases, and observed outputs are recorded in the</w:t>
      </w:r>
      <w:r>
        <w:t xml:space="preserve"> </w:t>
      </w:r>
      <w:hyperlink r:id="rId68">
        <w:r>
          <w:rPr>
            <w:rStyle w:val="Hyperlink"/>
          </w:rPr>
          <w:t xml:space="preserve">Bayesian update probe</w:t>
        </w:r>
      </w:hyperlink>
      <w:r>
        <w:t xml:space="preserve">, with its</w:t>
      </w:r>
      <w:r>
        <w:t xml:space="preserve"> </w:t>
      </w:r>
      <w:hyperlink r:id="rId69">
        <w:r>
          <w:rPr>
            <w:rStyle w:val="Hyperlink"/>
          </w:rPr>
          <w:t xml:space="preserve">Python implementation</w:t>
        </w:r>
      </w:hyperlink>
      <w:r>
        <w:t xml:space="preserve">. Visual provenance and accessibility details are recorded with</w:t>
      </w:r>
      <w:r>
        <w:t xml:space="preserve"> </w:t>
      </w:r>
      <w:hyperlink r:id="rId70">
        <w:r>
          <w:rPr>
            <w:rStyle w:val="Hyperlink"/>
          </w:rPr>
          <w:t xml:space="preserve">The Shape of Updated Belief</w:t>
        </w:r>
      </w:hyperlink>
      <w:r>
        <w:t xml:space="preserve">.</w:t>
      </w:r>
    </w:p>
    <w:p>
      <w:pPr>
        <w:pStyle w:val="Heading1"/>
      </w:pPr>
      <w:bookmarkStart w:id="71" w:name="chapter-4"/>
      <w:r>
        <w:t xml:space="preserve">Chapter 4 — Transformations and Change</w:t>
      </w:r>
      <w:bookmarkEnd w:id="71"/>
    </w:p>
    <w:p>
      <w:pPr>
        <w:pStyle w:val="FirstParagraph"/>
      </w:pPr>
      <w:r>
        <w:t xml:space="preserve">Chapter 2 constructed vectors that numerical operations could accept. Chapter 3 showed a probability distribution changing when evidence entered a declared model. We now need language for transformation itself: what a map does to an input, which transformations are linear, and how a nonlinear map changes near one point.</w:t>
      </w:r>
    </w:p>
    <w:p>
      <w:pPr>
        <w:pStyle w:val="BodyText"/>
      </w:pPr>
      <w:r>
        <w:t xml:space="preserve">These questions lead to matrices and derivatives. They are related, but they are not interchangeable. A matrix can represent a linear map across its complete domain once coordinates have been selected. A derivative describes local change. For a differentiable map with several inputs and outputs, that derivative can itself be represented by a matrix called the Jacobian.</w:t>
      </w:r>
    </w:p>
    <w:p>
      <w:pPr>
        <w:pStyle w:val="BodyText"/>
      </w:pPr>
      <w:r>
        <w:t xml:space="preserve">The word</w:t>
      </w:r>
      <w:r>
        <w:t xml:space="preserve"> </w:t>
      </w:r>
      <w:r>
        <w:rPr>
          <w:i/>
        </w:rPr>
        <w:t xml:space="preserve">local</w:t>
      </w:r>
      <w:r>
        <w:t xml:space="preserve"> </w:t>
      </w:r>
      <w:r>
        <w:t xml:space="preserve">carries much of this chapter’s weight. A Jacobian can expose how a map behaves near a declared point without describing the map globally. We will make that boundary visible with one fixed matrix, one nonlinear map, and one executable finite-difference check.</w:t>
      </w:r>
    </w:p>
    <w:p>
      <w:pPr>
        <w:pStyle w:val="Heading2"/>
      </w:pPr>
      <w:bookmarkStart w:id="72" w:name="chapter-4-a-matrix-acts-on-coordinates"/>
      <w:r>
        <w:t xml:space="preserve">A Matrix Acts on Coordinates</w:t>
      </w:r>
      <w:bookmarkEnd w:id="72"/>
    </w:p>
    <w:p>
      <w:pPr>
        <w:pStyle w:val="FirstParagraph"/>
      </w:pPr>
      <w:r>
        <w:t xml:space="preserve">Consider the matrix</w:t>
      </w:r>
    </w:p>
    <w:p>
      <w:pPr>
        <w:pStyle w:val="BodyText"/>
      </w:pPr>
      <m:oMathPara>
        <m:oMathParaPr>
          <m:jc m:val="center"/>
        </m:oMathParaPr>
        <m:oMath>
          <m:r>
            <m:t>A</m:t>
          </m:r>
          <m:r>
            <m:t>=</m:t>
          </m:r>
          <m:d>
            <m:dPr>
              <m:begChr m:val="["/>
              <m:endChr m:val="]"/>
              <m:grow/>
            </m:dPr>
            <m:e>
              <m:m>
                <m:mPr>
                  <m:baseJc m:val="center"/>
                  <m:plcHide m:val="1"/>
                  <m:mcs>
                    <m:mc>
                      <m:mcPr>
                        <m:mcJc m:val="center"/>
                        <m:count m:val="1"/>
                      </m:mcPr>
                    </m:mc>
                    <m:mc>
                      <m:mcPr>
                        <m:mcJc m:val="center"/>
                        <m:count m:val="1"/>
                      </m:mcPr>
                    </m:mc>
                  </m:mcs>
                </m:mPr>
                <m:mr>
                  <m:e>
                    <m:r>
                      <m:t>1</m:t>
                    </m:r>
                  </m:e>
                  <m:e>
                    <m:r>
                      <m:t>0.5</m:t>
                    </m:r>
                  </m:e>
                </m:mr>
                <m:mr>
                  <m:e>
                    <m:r>
                      <m:t>−</m:t>
                    </m:r>
                    <m:r>
                      <m:t>0.25</m:t>
                    </m:r>
                  </m:e>
                  <m:e>
                    <m:r>
                      <m:t>1</m:t>
                    </m:r>
                  </m:e>
                </m:mr>
              </m:m>
            </m:e>
          </m:d>
          <m:r>
            <m:t>.</m:t>
          </m:r>
        </m:oMath>
      </m:oMathPara>
    </w:p>
    <w:p>
      <w:pPr>
        <w:pStyle w:val="FirstParagraph"/>
      </w:pPr>
      <w:r>
        <w:t xml:space="preserve">Applied to a coordinate vector</w:t>
      </w:r>
      <w:r>
        <w:t xml:space="preserve"> </w:t>
      </w:r>
      <m:oMath>
        <m:r>
          <m:t>(</m:t>
        </m:r>
        <m:r>
          <m:t>x</m:t>
        </m:r>
        <m:r>
          <m:t>,</m:t>
        </m:r>
        <m:r>
          <m:t>y</m:t>
        </m:r>
        <m:r>
          <m:t>)</m:t>
        </m:r>
      </m:oMath>
      <w:r>
        <w:t xml:space="preserve">, it produces</w:t>
      </w:r>
    </w:p>
    <w:p>
      <w:pPr>
        <w:pStyle w:val="BodyText"/>
      </w:pPr>
      <m:oMathPara>
        <m:oMathParaPr>
          <m:jc m:val="center"/>
        </m:oMathParaPr>
        <m:oMath>
          <m:r>
            <m:t>A</m:t>
          </m:r>
          <m:d>
            <m:dPr>
              <m:begChr m:val="["/>
              <m:endChr m:val="]"/>
              <m:grow/>
            </m:dPr>
            <m:e>
              <m:m>
                <m:mPr>
                  <m:baseJc m:val="center"/>
                  <m:plcHide m:val="1"/>
                  <m:mcs>
                    <m:mc>
                      <m:mcPr>
                        <m:mcJc m:val="center"/>
                        <m:count m:val="1"/>
                      </m:mcPr>
                    </m:mc>
                  </m:mcs>
                </m:mPr>
                <m:mr>
                  <m:e>
                    <m:r>
                      <m:t>x</m:t>
                    </m:r>
                  </m:e>
                </m:mr>
                <m:mr>
                  <m:e>
                    <m:r>
                      <m:t>y</m:t>
                    </m:r>
                  </m:e>
                </m:mr>
              </m:m>
            </m:e>
          </m:d>
          <m:r>
            <m:t>=</m:t>
          </m:r>
          <m:d>
            <m:dPr>
              <m:begChr m:val="["/>
              <m:endChr m:val="]"/>
              <m:grow/>
            </m:dPr>
            <m:e>
              <m:m>
                <m:mPr>
                  <m:baseJc m:val="center"/>
                  <m:plcHide m:val="1"/>
                  <m:mcs>
                    <m:mc>
                      <m:mcPr>
                        <m:mcJc m:val="center"/>
                        <m:count m:val="1"/>
                      </m:mcPr>
                    </m:mc>
                  </m:mcs>
                </m:mPr>
                <m:mr>
                  <m:e>
                    <m:r>
                      <m:t>x</m:t>
                    </m:r>
                    <m:r>
                      <m:t>+</m:t>
                    </m:r>
                    <m:r>
                      <m:t>0.5</m:t>
                    </m:r>
                    <m:r>
                      <m:t>y</m:t>
                    </m:r>
                  </m:e>
                </m:mr>
                <m:mr>
                  <m:e>
                    <m:r>
                      <m:t>−</m:t>
                    </m:r>
                    <m:r>
                      <m:t>0.25</m:t>
                    </m:r>
                    <m:r>
                      <m:t>x</m:t>
                    </m:r>
                    <m:r>
                      <m:t>+</m:t>
                    </m:r>
                    <m:r>
                      <m:t>y</m:t>
                    </m:r>
                  </m:e>
                </m:mr>
              </m:m>
            </m:e>
          </m:d>
          <m:r>
            <m:t>.</m:t>
          </m:r>
        </m:oMath>
      </m:oMathPara>
    </w:p>
    <w:p>
      <w:pPr>
        <w:pStyle w:val="FirstParagraph"/>
      </w:pPr>
      <w:r>
        <w:t xml:space="preserve">The output is another coordinate vector. The first output coordinate combines all of</w:t>
      </w:r>
      <w:r>
        <w:t xml:space="preserve"> </w:t>
      </w:r>
      <m:oMath>
        <m:r>
          <m:t>x</m:t>
        </m:r>
      </m:oMath>
      <w:r>
        <w:t xml:space="preserve"> </w:t>
      </w:r>
      <w:r>
        <w:t xml:space="preserve">with half of</w:t>
      </w:r>
      <w:r>
        <w:t xml:space="preserve"> </w:t>
      </w:r>
      <m:oMath>
        <m:r>
          <m:t>y</m:t>
        </m:r>
      </m:oMath>
      <w:r>
        <w:t xml:space="preserve">. The second combines all of</w:t>
      </w:r>
      <w:r>
        <w:t xml:space="preserve"> </w:t>
      </w:r>
      <m:oMath>
        <m:r>
          <m:t>y</m:t>
        </m:r>
      </m:oMath>
      <w:r>
        <w:t xml:space="preserve"> </w:t>
      </w:r>
      <w:r>
        <w:t xml:space="preserve">with negative one quarter of</w:t>
      </w:r>
      <w:r>
        <w:t xml:space="preserve"> </w:t>
      </w:r>
      <m:oMath>
        <m:r>
          <m:t>x</m:t>
        </m:r>
      </m:oMath>
      <w:r>
        <w:t xml:space="preserve">. Applying the matrix across a coordinate grid shears and rotates its visible directions while preserving the origin and straight combinations.</w:t>
      </w:r>
    </w:p>
    <w:p>
      <w:pPr>
        <w:pStyle w:val="BodyText"/>
      </w:pPr>
      <w:r>
        <w:t xml:space="preserve">Strictly, the matrix is not the underlying linear map without qualification. A linear map acts between vector spaces. Once bases are selected, a matrix records how that map acts on coordinates in those bases. Changing the bases can change the matrix without changing the underlying map. Our probe fixes ordinary coordinates in</w:t>
      </w:r>
      <w:r>
        <w:t xml:space="preserve"> </w:t>
      </w:r>
      <m:oMath>
        <m:sSup>
          <m:e>
            <m:r>
              <m:rPr>
                <m:sty m:val="p"/>
                <m:scr m:val="double-struck"/>
              </m:rPr>
              <m:t>R</m:t>
            </m:r>
          </m:e>
          <m:sup>
            <m:r>
              <m:t>2</m:t>
            </m:r>
          </m:sup>
        </m:sSup>
      </m:oMath>
      <w:r>
        <w:t xml:space="preserve">, so the distinction remains visible even though no basis change is performed.</w:t>
      </w:r>
    </w:p>
    <w:p>
      <w:pPr>
        <w:pStyle w:val="Heading2"/>
      </w:pPr>
      <w:bookmarkStart w:id="73" w:name="chapter-4-what-makes-the-map-linear"/>
      <w:r>
        <w:t xml:space="preserve">What Makes the Map Linear</w:t>
      </w:r>
      <w:bookmarkEnd w:id="73"/>
    </w:p>
    <w:p>
      <w:pPr>
        <w:pStyle w:val="FirstParagraph"/>
      </w:pPr>
      <w:r>
        <w:t xml:space="preserve">Linearity is not a synonym for numerical transformation. A map</w:t>
      </w:r>
      <w:r>
        <w:t xml:space="preserve"> </w:t>
      </w:r>
      <m:oMath>
        <m:r>
          <m:t>T</m:t>
        </m:r>
      </m:oMath>
      <w:r>
        <w:t xml:space="preserve"> </w:t>
      </w:r>
      <w:r>
        <w:t xml:space="preserve">is linear when it preserves vector addition and scalar multiplication:</w:t>
      </w:r>
    </w:p>
    <w:p>
      <w:pPr>
        <w:pStyle w:val="BodyText"/>
      </w:pPr>
      <m:oMathPara>
        <m:oMathParaPr>
          <m:jc m:val="center"/>
        </m:oMathParaPr>
        <m:oMath>
          <m:r>
            <m:t>T</m:t>
          </m:r>
          <m:r>
            <m:t>(</m:t>
          </m:r>
          <m:r>
            <m:t>u</m:t>
          </m:r>
          <m:r>
            <m:t>+</m:t>
          </m:r>
          <m:r>
            <m:t>v</m:t>
          </m:r>
          <m:r>
            <m:t>)</m:t>
          </m:r>
          <m:r>
            <m:t>=</m:t>
          </m:r>
          <m:r>
            <m:t>T</m:t>
          </m:r>
          <m:r>
            <m:t>(</m:t>
          </m:r>
          <m:r>
            <m:t>u</m:t>
          </m:r>
          <m:r>
            <m:t>)</m:t>
          </m:r>
          <m:r>
            <m:t>+</m:t>
          </m:r>
          <m:r>
            <m:t>T</m:t>
          </m:r>
          <m:r>
            <m:t>(</m:t>
          </m:r>
          <m:r>
            <m:t>v</m:t>
          </m:r>
          <m:r>
            <m:t>)</m:t>
          </m:r>
        </m:oMath>
      </m:oMathPara>
    </w:p>
    <w:p>
      <w:pPr>
        <w:pStyle w:val="FirstParagraph"/>
      </w:pPr>
      <w:r>
        <w:t xml:space="preserve">and</w:t>
      </w:r>
    </w:p>
    <w:p>
      <w:pPr>
        <w:pStyle w:val="BodyText"/>
      </w:pPr>
      <m:oMathPara>
        <m:oMathParaPr>
          <m:jc m:val="center"/>
        </m:oMathParaPr>
        <m:oMath>
          <m:r>
            <m:t>T</m:t>
          </m:r>
          <m:r>
            <m:t>(</m:t>
          </m:r>
          <m:r>
            <m:t>c</m:t>
          </m:r>
          <m:r>
            <m:t>u</m:t>
          </m:r>
          <m:r>
            <m:t>)</m:t>
          </m:r>
          <m:r>
            <m:t>=</m:t>
          </m:r>
          <m:r>
            <m:t>c</m:t>
          </m:r>
          <m:r>
            <m:t>T</m:t>
          </m:r>
          <m:r>
            <m:t>(</m:t>
          </m:r>
          <m:r>
            <m:t>u</m:t>
          </m:r>
          <m:r>
            <m:t>)</m:t>
          </m:r>
          <m:r>
            <m:t>.</m:t>
          </m:r>
        </m:oMath>
      </m:oMathPara>
    </w:p>
    <w:p>
      <w:pPr>
        <w:pStyle w:val="FirstParagraph"/>
      </w:pPr>
      <w:r>
        <w:t xml:space="preserve">The probe checks both relations for declared inputs</w:t>
      </w:r>
    </w:p>
    <w:p>
      <w:pPr>
        <w:pStyle w:val="BodyText"/>
      </w:pPr>
      <m:oMathPara>
        <m:oMathParaPr>
          <m:jc m:val="center"/>
        </m:oMathParaPr>
        <m:oMath>
          <m:r>
            <m:t>u</m:t>
          </m:r>
          <m:r>
            <m:t>=</m:t>
          </m:r>
          <m:r>
            <m:t>(</m:t>
          </m:r>
          <m:r>
            <m:t>1</m:t>
          </m:r>
          <m:r>
            <m:t>,</m:t>
          </m:r>
          <m:r>
            <m:t>2</m:t>
          </m:r>
          <m:r>
            <m:t>)</m:t>
          </m:r>
          <m:r>
            <m:t>,</m:t>
          </m:r>
          <m:r>
            <m:t>  </m:t>
          </m:r>
          <m:r>
            <m:t>v</m:t>
          </m:r>
          <m:r>
            <m:t>=</m:t>
          </m:r>
          <m:r>
            <m:t>(</m:t>
          </m:r>
          <m:r>
            <m:t>−</m:t>
          </m:r>
          <m:r>
            <m:t>1</m:t>
          </m:r>
          <m:r>
            <m:t>,</m:t>
          </m:r>
          <m:r>
            <m:t>1</m:t>
          </m:r>
          <m:r>
            <m:t>)</m:t>
          </m:r>
          <m:r>
            <m:t>,</m:t>
          </m:r>
          <m:r>
            <m:t>  </m:t>
          </m:r>
          <m:r>
            <m:t>c</m:t>
          </m:r>
          <m:r>
            <m:t>=</m:t>
          </m:r>
          <m:r>
            <m:t>3</m:t>
          </m:r>
          <m:r>
            <m:t>.</m:t>
          </m:r>
        </m:oMath>
      </m:oMathPara>
    </w:p>
    <w:p>
      <w:pPr>
        <w:pStyle w:val="FirstParagraph"/>
      </w:pPr>
      <w:r>
        <w:t xml:space="preserve">First,</w:t>
      </w:r>
    </w:p>
    <w:p>
      <w:pPr>
        <w:pStyle w:val="BodyText"/>
      </w:pPr>
      <m:oMathPara>
        <m:oMathParaPr>
          <m:jc m:val="center"/>
        </m:oMathParaPr>
        <m:oMath>
          <m:r>
            <m:t>u</m:t>
          </m:r>
          <m:r>
            <m:t>+</m:t>
          </m:r>
          <m:r>
            <m:t>v</m:t>
          </m:r>
          <m:r>
            <m:t>=</m:t>
          </m:r>
          <m:r>
            <m:t>(</m:t>
          </m:r>
          <m:r>
            <m:t>0</m:t>
          </m:r>
          <m:r>
            <m:t>,</m:t>
          </m:r>
          <m:r>
            <m:t>3</m:t>
          </m:r>
          <m:r>
            <m:t>)</m:t>
          </m:r>
          <m:r>
            <m:t>,</m:t>
          </m:r>
        </m:oMath>
      </m:oMathPara>
    </w:p>
    <w:p>
      <w:pPr>
        <w:pStyle w:val="FirstParagraph"/>
      </w:pPr>
      <w:r>
        <w:t xml:space="preserve">so</w:t>
      </w:r>
    </w:p>
    <w:p>
      <w:pPr>
        <w:pStyle w:val="BodyText"/>
      </w:pPr>
      <m:oMathPara>
        <m:oMathParaPr>
          <m:jc m:val="center"/>
        </m:oMathParaPr>
        <m:oMath>
          <m:r>
            <m:t>A</m:t>
          </m:r>
          <m:r>
            <m:t>(</m:t>
          </m:r>
          <m:r>
            <m:t>u</m:t>
          </m:r>
          <m:r>
            <m:t>+</m:t>
          </m:r>
          <m:r>
            <m:t>v</m:t>
          </m:r>
          <m:r>
            <m:t>)</m:t>
          </m:r>
          <m:r>
            <m:t>=</m:t>
          </m:r>
          <m:r>
            <m:t>(</m:t>
          </m:r>
          <m:r>
            <m:t>1.5</m:t>
          </m:r>
          <m:r>
            <m:t>,</m:t>
          </m:r>
          <m:r>
            <m:t>3</m:t>
          </m:r>
          <m:r>
            <m:t>)</m:t>
          </m:r>
          <m:r>
            <m:t>.</m:t>
          </m:r>
        </m:oMath>
      </m:oMathPara>
    </w:p>
    <w:p>
      <w:pPr>
        <w:pStyle w:val="FirstParagraph"/>
      </w:pPr>
      <w:r>
        <w:t xml:space="preserve">Computing the two transformed vectors separately and then adding gives the same result:</w:t>
      </w:r>
    </w:p>
    <w:p>
      <w:pPr>
        <w:pStyle w:val="BodyText"/>
      </w:pPr>
      <m:oMathPara>
        <m:oMathParaPr>
          <m:jc m:val="center"/>
        </m:oMathParaPr>
        <m:oMath>
          <m:r>
            <m:t>A</m:t>
          </m:r>
          <m:r>
            <m:t>u</m:t>
          </m:r>
          <m:r>
            <m:t>+</m:t>
          </m:r>
          <m:r>
            <m:t>A</m:t>
          </m:r>
          <m:r>
            <m:t>v</m:t>
          </m:r>
          <m:r>
            <m:t>=</m:t>
          </m:r>
          <m:r>
            <m:t>(</m:t>
          </m:r>
          <m:r>
            <m:t>1.5</m:t>
          </m:r>
          <m:r>
            <m:t>,</m:t>
          </m:r>
          <m:r>
            <m:t>3</m:t>
          </m:r>
          <m:r>
            <m:t>)</m:t>
          </m:r>
          <m:r>
            <m:t>.</m:t>
          </m:r>
        </m:oMath>
      </m:oMathPara>
    </w:p>
    <w:p>
      <w:pPr>
        <w:pStyle w:val="FirstParagraph"/>
      </w:pPr>
      <w:r>
        <w:t xml:space="preserve">For scalar multiplication, both routes produce</w:t>
      </w:r>
    </w:p>
    <w:p>
      <w:pPr>
        <w:pStyle w:val="BodyText"/>
      </w:pPr>
      <m:oMathPara>
        <m:oMathParaPr>
          <m:jc m:val="center"/>
        </m:oMathParaPr>
        <m:oMath>
          <m:r>
            <m:t>A</m:t>
          </m:r>
          <m:r>
            <m:t>(</m:t>
          </m:r>
          <m:r>
            <m:t>3</m:t>
          </m:r>
          <m:r>
            <m:t>u</m:t>
          </m:r>
          <m:r>
            <m:t>)</m:t>
          </m:r>
          <m:r>
            <m:t>=</m:t>
          </m:r>
          <m:r>
            <m:t>3</m:t>
          </m:r>
          <m:r>
            <m:t>A</m:t>
          </m:r>
          <m:r>
            <m:t>u</m:t>
          </m:r>
          <m:r>
            <m:t>=</m:t>
          </m:r>
          <m:r>
            <m:t>(</m:t>
          </m:r>
          <m:r>
            <m:t>6</m:t>
          </m:r>
          <m:r>
            <m:t>,</m:t>
          </m:r>
          <m:r>
            <m:t>5.25</m:t>
          </m:r>
          <m:r>
            <m:t>)</m:t>
          </m:r>
          <m:r>
            <m:t>.</m:t>
          </m:r>
        </m:oMath>
      </m:oMathPara>
    </w:p>
    <w:p>
      <w:pPr>
        <w:pStyle w:val="FirstParagraph"/>
      </w:pPr>
      <w:r>
        <w:t xml:space="preserve">These equalities test the implementation against the defining relations. Two numerical examples do not prove linearity by sampling. The algebraic form of matrix multiplication establishes that every matrix map preserves these operations; the probe verifies that our implementation and reported values agree with that structure.</w:t>
      </w:r>
    </w:p>
    <w:p>
      <w:pPr>
        <w:pStyle w:val="BodyText"/>
      </w:pPr>
      <w:r>
        <w:t xml:space="preserve">Composition remains available. If</w:t>
      </w:r>
      <w:r>
        <w:t xml:space="preserve"> </w:t>
      </w:r>
      <m:oMath>
        <m:r>
          <m:t>A</m:t>
        </m:r>
      </m:oMath>
      <w:r>
        <w:t xml:space="preserve"> </w:t>
      </w:r>
      <w:r>
        <w:t xml:space="preserve">and</w:t>
      </w:r>
      <w:r>
        <w:t xml:space="preserve"> </w:t>
      </w:r>
      <m:oMath>
        <m:r>
          <m:t>B</m:t>
        </m:r>
      </m:oMath>
      <w:r>
        <w:t xml:space="preserve"> </w:t>
      </w:r>
      <w:r>
        <w:t xml:space="preserve">represent compatible linear maps, the product</w:t>
      </w:r>
      <w:r>
        <w:t xml:space="preserve"> </w:t>
      </w:r>
      <m:oMath>
        <m:r>
          <m:t>B</m:t>
        </m:r>
        <m:r>
          <m:t>A</m:t>
        </m:r>
      </m:oMath>
      <w:r>
        <w:t xml:space="preserve"> </w:t>
      </w:r>
      <w:r>
        <w:t xml:space="preserve">represents applying</w:t>
      </w:r>
      <w:r>
        <w:t xml:space="preserve"> </w:t>
      </w:r>
      <m:oMath>
        <m:r>
          <m:t>A</m:t>
        </m:r>
      </m:oMath>
      <w:r>
        <w:t xml:space="preserve"> </w:t>
      </w:r>
      <w:r>
        <w:t xml:space="preserve">first and</w:t>
      </w:r>
      <w:r>
        <w:t xml:space="preserve"> </w:t>
      </w:r>
      <m:oMath>
        <m:r>
          <m:t>B</m:t>
        </m:r>
      </m:oMath>
      <w:r>
        <w:t xml:space="preserve"> </w:t>
      </w:r>
      <w:r>
        <w:t xml:space="preserve">second. Matrix multiplication therefore records a composed transformation, not merely a table of unrelated numbers. Later chapters will rely on repeated compositions of this kind.</w:t>
      </w:r>
    </w:p>
    <w:p>
      <w:pPr>
        <w:pStyle w:val="Heading2"/>
      </w:pPr>
      <w:bookmarkStart w:id="74" w:name="X4ca777c6cef9e1b14abd0974c6c9be9a5ccbd24"/>
      <w:r>
        <w:t xml:space="preserve">A Transformation That Is Not Linear</w:t>
      </w:r>
      <w:bookmarkEnd w:id="74"/>
    </w:p>
    <w:p>
      <w:pPr>
        <w:pStyle w:val="FirstParagraph"/>
      </w:pPr>
      <w:r>
        <w:t xml:space="preserve">Now declare a different map:</w:t>
      </w:r>
    </w:p>
    <w:p>
      <w:pPr>
        <w:pStyle w:val="BodyText"/>
      </w:pPr>
      <m:oMathPara>
        <m:oMathParaPr>
          <m:jc m:val="center"/>
        </m:oMathParaPr>
        <m:oMath>
          <m:r>
            <m:t>f</m:t>
          </m:r>
          <m:r>
            <m:t>(</m:t>
          </m:r>
          <m:r>
            <m:t>x</m:t>
          </m:r>
          <m:r>
            <m:t>,</m:t>
          </m:r>
          <m:r>
            <m:t>y</m:t>
          </m:r>
          <m:r>
            <m:t>)</m:t>
          </m:r>
          <m:r>
            <m:t>=</m:t>
          </m:r>
          <m:d>
            <m:dPr>
              <m:begChr m:val="("/>
              <m:endChr m:val=")"/>
              <m:grow/>
            </m:dPr>
            <m:e>
              <m:r>
                <m:t>x</m:t>
              </m:r>
              <m:r>
                <m:t>+</m:t>
              </m:r>
              <m:f>
                <m:fPr>
                  <m:type m:val="bar"/>
                </m:fPr>
                <m:num>
                  <m:r>
                    <m:t>1</m:t>
                  </m:r>
                </m:num>
                <m:den>
                  <m:r>
                    <m:t>4</m:t>
                  </m:r>
                </m:den>
              </m:f>
              <m:sSup>
                <m:e>
                  <m:r>
                    <m:t>y</m:t>
                  </m:r>
                </m:e>
                <m:sup>
                  <m:r>
                    <m:t>2</m:t>
                  </m:r>
                </m:sup>
              </m:sSup>
              <m:r>
                <m:t>,</m:t>
              </m:r>
              <m:r>
                <m:rPr>
                  <m:nor/>
                  <m:sty m:val="p"/>
                </m:rPr>
                <m:t>sin</m:t>
              </m:r>
              <m:r>
                <m:t>x</m:t>
              </m:r>
              <m:r>
                <m:t>+</m:t>
              </m:r>
              <m:r>
                <m:t>y</m:t>
              </m:r>
            </m:e>
          </m:d>
          <m:r>
            <m:t>.</m:t>
          </m:r>
        </m:oMath>
      </m:oMathPara>
    </w:p>
    <w:p>
      <w:pPr>
        <w:pStyle w:val="FirstParagraph"/>
      </w:pPr>
      <w:r>
        <w:t xml:space="preserve">This map is nonlinear. The squared term means that doubling an input does not generally double the first output. The sine term also changes its rate of response as</w:t>
      </w:r>
      <w:r>
        <w:t xml:space="preserve"> </w:t>
      </w:r>
      <m:oMath>
        <m:r>
          <m:t>x</m:t>
        </m:r>
      </m:oMath>
      <w:r>
        <w:t xml:space="preserve"> </w:t>
      </w:r>
      <w:r>
        <w:t xml:space="preserve">changes. No single fixed matrix reproduces</w:t>
      </w:r>
      <w:r>
        <w:t xml:space="preserve"> </w:t>
      </w:r>
      <m:oMath>
        <m:r>
          <m:t>f</m:t>
        </m:r>
      </m:oMath>
      <w:r>
        <w:t xml:space="preserve"> </w:t>
      </w:r>
      <w:r>
        <w:t xml:space="preserve">over its complete domain.</w:t>
      </w:r>
    </w:p>
    <w:p>
      <w:pPr>
        <w:pStyle w:val="BodyText"/>
      </w:pPr>
      <w:r>
        <w:t xml:space="preserve">That does not prevent linear machinery from being useful. Near a specified point, a differentiable map can be approximated to first order by a linear map. For a scalar-valued function, its derivative in several coordinates is often organized as a gradient. For a vector-valued function such as</w:t>
      </w:r>
      <w:r>
        <w:t xml:space="preserve"> </w:t>
      </w:r>
      <m:oMath>
        <m:r>
          <m:t>f</m:t>
        </m:r>
        <m:r>
          <m:t>:</m:t>
        </m:r>
        <m:sSup>
          <m:e>
            <m:r>
              <m:rPr>
                <m:sty m:val="p"/>
                <m:scr m:val="double-struck"/>
              </m:rPr>
              <m:t>R</m:t>
            </m:r>
          </m:e>
          <m:sup>
            <m:r>
              <m:t>2</m:t>
            </m:r>
          </m:sup>
        </m:sSup>
        <m:r>
          <m:t>→</m:t>
        </m:r>
        <m:sSup>
          <m:e>
            <m:r>
              <m:rPr>
                <m:sty m:val="p"/>
                <m:scr m:val="double-struck"/>
              </m:rPr>
              <m:t>R</m:t>
            </m:r>
          </m:e>
          <m:sup>
            <m:r>
              <m:t>2</m:t>
            </m:r>
          </m:sup>
        </m:sSup>
      </m:oMath>
      <w:r>
        <w:t xml:space="preserve">, the derivative is represented by the Jacobian matrix.</w:t>
      </w:r>
    </w:p>
    <w:p>
      <w:pPr>
        <w:pStyle w:val="BodyText"/>
      </w:pPr>
      <w:r>
        <w:t xml:space="preserve">Differentiate each output with respect to each input:</w:t>
      </w:r>
    </w:p>
    <w:p>
      <w:pPr>
        <w:pStyle w:val="BodyText"/>
      </w:pPr>
      <m:oMathPara>
        <m:oMathParaPr>
          <m:jc m:val="center"/>
        </m:oMathParaPr>
        <m:oMath>
          <m:sSub>
            <m:e>
              <m:r>
                <m:t>J</m:t>
              </m:r>
            </m:e>
            <m:sub>
              <m:r>
                <m:t>f</m:t>
              </m:r>
            </m:sub>
          </m:sSub>
          <m:r>
            <m:t>(</m:t>
          </m:r>
          <m:r>
            <m:t>x</m:t>
          </m:r>
          <m:r>
            <m:t>,</m:t>
          </m:r>
          <m:r>
            <m:t>y</m:t>
          </m:r>
          <m:r>
            <m:t>)</m:t>
          </m:r>
          <m:r>
            <m:t>=</m:t>
          </m:r>
          <m:d>
            <m:dPr>
              <m:begChr m:val="["/>
              <m:endChr m:val="]"/>
              <m:grow/>
            </m:dPr>
            <m:e>
              <m:m>
                <m:mPr>
                  <m:baseJc m:val="center"/>
                  <m:plcHide m:val="1"/>
                  <m:mcs>
                    <m:mc>
                      <m:mcPr>
                        <m:mcJc m:val="center"/>
                        <m:count m:val="1"/>
                      </m:mcPr>
                    </m:mc>
                    <m:mc>
                      <m:mcPr>
                        <m:mcJc m:val="center"/>
                        <m:count m:val="1"/>
                      </m:mcPr>
                    </m:mc>
                  </m:mcs>
                </m:mPr>
                <m:mr>
                  <m:e>
                    <m:r>
                      <m:t>1</m:t>
                    </m:r>
                  </m:e>
                  <m:e>
                    <m:r>
                      <m:t>0.5</m:t>
                    </m:r>
                    <m:r>
                      <m:t>y</m:t>
                    </m:r>
                  </m:e>
                </m:mr>
                <m:mr>
                  <m:e>
                    <m:r>
                      <m:rPr>
                        <m:nor/>
                        <m:sty m:val="p"/>
                      </m:rPr>
                      <m:t>cos</m:t>
                    </m:r>
                    <m:r>
                      <m:t>x</m:t>
                    </m:r>
                  </m:e>
                  <m:e>
                    <m:r>
                      <m:t>1</m:t>
                    </m:r>
                  </m:e>
                </m:mr>
              </m:m>
            </m:e>
          </m:d>
          <m:r>
            <m:t>.</m:t>
          </m:r>
        </m:oMath>
      </m:oMathPara>
    </w:p>
    <w:p>
      <w:pPr>
        <w:pStyle w:val="FirstParagraph"/>
      </w:pPr>
      <w:r>
        <w:t xml:space="preserve">The rows correspond to output components; the columns correspond to input coordinates. This matrix is not context-free. It belongs to the declared map</w:t>
      </w:r>
      <w:r>
        <w:t xml:space="preserve"> </w:t>
      </w:r>
      <m:oMath>
        <m:r>
          <m:t>f</m:t>
        </m:r>
      </m:oMath>
      <w:r>
        <w:t xml:space="preserve"> </w:t>
      </w:r>
      <w:r>
        <w:t xml:space="preserve">and still depends on the evaluation point</w:t>
      </w:r>
      <w:r>
        <w:t xml:space="preserve"> </w:t>
      </w:r>
      <m:oMath>
        <m:r>
          <m:t>(</m:t>
        </m:r>
        <m:r>
          <m:t>x</m:t>
        </m:r>
        <m:r>
          <m:t>,</m:t>
        </m:r>
        <m:r>
          <m:t>y</m:t>
        </m:r>
        <m:r>
          <m:t>)</m:t>
        </m:r>
      </m:oMath>
      <w:r>
        <w:t xml:space="preserve">.</w:t>
      </w:r>
    </w:p>
    <w:p>
      <w:pPr>
        <w:pStyle w:val="Heading2"/>
      </w:pPr>
      <w:bookmarkStart w:id="75" w:name="chapter-4-change-near-one-point"/>
      <w:r>
        <w:t xml:space="preserve">Change Near One Point</w:t>
      </w:r>
      <w:bookmarkEnd w:id="75"/>
    </w:p>
    <w:p>
      <w:pPr>
        <w:pStyle w:val="FirstParagraph"/>
      </w:pPr>
      <w:r>
        <w:t xml:space="preserve">Choose</w:t>
      </w:r>
    </w:p>
    <w:p>
      <w:pPr>
        <w:pStyle w:val="BodyText"/>
      </w:pPr>
      <m:oMathPara>
        <m:oMathParaPr>
          <m:jc m:val="center"/>
        </m:oMathParaPr>
        <m:oMath>
          <m:r>
            <m:t>p</m:t>
          </m:r>
          <m:r>
            <m:t>=</m:t>
          </m:r>
          <m:r>
            <m:t>(</m:t>
          </m:r>
          <m:r>
            <m:t>0.6</m:t>
          </m:r>
          <m:r>
            <m:t>,</m:t>
          </m:r>
          <m:r>
            <m:t>−</m:t>
          </m:r>
          <m:r>
            <m:t>0.8</m:t>
          </m:r>
          <m:r>
            <m:t>)</m:t>
          </m:r>
          <m:r>
            <m:t>.</m:t>
          </m:r>
        </m:oMath>
      </m:oMathPara>
    </w:p>
    <w:p>
      <w:pPr>
        <w:pStyle w:val="FirstParagraph"/>
      </w:pPr>
      <w:r>
        <w:t xml:space="preserve">At this point,</w:t>
      </w:r>
    </w:p>
    <w:p>
      <w:pPr>
        <w:pStyle w:val="BodyText"/>
      </w:pPr>
      <m:oMathPara>
        <m:oMathParaPr>
          <m:jc m:val="center"/>
        </m:oMathParaPr>
        <m:oMath>
          <m:sSub>
            <m:e>
              <m:r>
                <m:t>J</m:t>
              </m:r>
            </m:e>
            <m:sub>
              <m:r>
                <m:t>f</m:t>
              </m:r>
            </m:sub>
          </m:sSub>
          <m:r>
            <m:t>(</m:t>
          </m:r>
          <m:r>
            <m:t>p</m:t>
          </m:r>
          <m:r>
            <m:t>)</m:t>
          </m:r>
          <m:r>
            <m:t>=</m:t>
          </m:r>
          <m:d>
            <m:dPr>
              <m:begChr m:val="["/>
              <m:endChr m:val="]"/>
              <m:grow/>
            </m:dPr>
            <m:e>
              <m:m>
                <m:mPr>
                  <m:baseJc m:val="center"/>
                  <m:plcHide m:val="1"/>
                  <m:mcs>
                    <m:mc>
                      <m:mcPr>
                        <m:mcJc m:val="center"/>
                        <m:count m:val="1"/>
                      </m:mcPr>
                    </m:mc>
                    <m:mc>
                      <m:mcPr>
                        <m:mcJc m:val="center"/>
                        <m:count m:val="1"/>
                      </m:mcPr>
                    </m:mc>
                  </m:mcs>
                </m:mPr>
                <m:mr>
                  <m:e>
                    <m:r>
                      <m:t>1</m:t>
                    </m:r>
                  </m:e>
                  <m:e>
                    <m:r>
                      <m:t>−</m:t>
                    </m:r>
                    <m:r>
                      <m:t>0.4</m:t>
                    </m:r>
                  </m:e>
                </m:mr>
                <m:mr>
                  <m:e>
                    <m:r>
                      <m:t>0.8253356149</m:t>
                    </m:r>
                  </m:e>
                  <m:e>
                    <m:r>
                      <m:t>1</m:t>
                    </m:r>
                  </m:e>
                </m:mr>
              </m:m>
            </m:e>
          </m:d>
          <m:r>
            <m:t>.</m:t>
          </m:r>
        </m:oMath>
      </m:oMathPara>
    </w:p>
    <w:p>
      <w:pPr>
        <w:pStyle w:val="FirstParagraph"/>
      </w:pPr>
      <w:r>
        <w:t xml:space="preserve">Now choose the input direction</w:t>
      </w:r>
    </w:p>
    <w:p>
      <w:pPr>
        <w:pStyle w:val="BodyText"/>
      </w:pPr>
      <m:oMathPara>
        <m:oMathParaPr>
          <m:jc m:val="center"/>
        </m:oMathParaPr>
        <m:oMath>
          <m:r>
            <m:t>d</m:t>
          </m:r>
          <m:r>
            <m:t>=</m:t>
          </m:r>
          <m:r>
            <m:t>(</m:t>
          </m:r>
          <m:r>
            <m:t>0.3</m:t>
          </m:r>
          <m:r>
            <m:t>,</m:t>
          </m:r>
          <m:r>
            <m:t>−</m:t>
          </m:r>
          <m:r>
            <m:t>0.2</m:t>
          </m:r>
          <m:r>
            <m:t>)</m:t>
          </m:r>
          <m:r>
            <m:t>.</m:t>
          </m:r>
        </m:oMath>
      </m:oMathPara>
    </w:p>
    <w:p>
      <w:pPr>
        <w:pStyle w:val="FirstParagraph"/>
      </w:pPr>
      <w:r>
        <w:t xml:space="preserve">Multiplying the Jacobian by this direction predicts the first-order output change per unit step along</w:t>
      </w:r>
      <w:r>
        <w:t xml:space="preserve"> </w:t>
      </w:r>
      <m:oMath>
        <m:r>
          <m:t>d</m:t>
        </m:r>
      </m:oMath>
      <w:r>
        <w:t xml:space="preserve">:</w:t>
      </w:r>
    </w:p>
    <w:p>
      <w:pPr>
        <w:pStyle w:val="BodyText"/>
      </w:pPr>
      <m:oMathPara>
        <m:oMathParaPr>
          <m:jc m:val="center"/>
        </m:oMathParaPr>
        <m:oMath>
          <m:sSub>
            <m:e>
              <m:r>
                <m:t>J</m:t>
              </m:r>
            </m:e>
            <m:sub>
              <m:r>
                <m:t>f</m:t>
              </m:r>
            </m:sub>
          </m:sSub>
          <m:r>
            <m:t>(</m:t>
          </m:r>
          <m:r>
            <m:t>p</m:t>
          </m:r>
          <m:r>
            <m:t>)</m:t>
          </m:r>
          <m:r>
            <m:t>d</m:t>
          </m:r>
          <m:r>
            <m:t>=</m:t>
          </m:r>
          <m:r>
            <m:t>(</m:t>
          </m:r>
          <m:r>
            <m:t>0.38</m:t>
          </m:r>
          <m:r>
            <m:t>,</m:t>
          </m:r>
          <m:r>
            <m:t>0.0476006845</m:t>
          </m:r>
          <m:r>
            <m:t>)</m:t>
          </m:r>
          <m:r>
            <m:t>.</m:t>
          </m:r>
        </m:oMath>
      </m:oMathPara>
    </w:p>
    <w:p>
      <w:pPr>
        <w:pStyle w:val="FirstParagraph"/>
      </w:pPr>
      <w:r>
        <w:t xml:space="preserve">For a small scalar</w:t>
      </w:r>
      <w:r>
        <w:t xml:space="preserve"> </w:t>
      </w:r>
      <m:oMath>
        <m:r>
          <m:t>h</m:t>
        </m:r>
      </m:oMath>
      <w:r>
        <w:t xml:space="preserve">, this gives the approximation</w:t>
      </w:r>
    </w:p>
    <w:p>
      <w:pPr>
        <w:pStyle w:val="BodyText"/>
      </w:pPr>
      <m:oMathPara>
        <m:oMathParaPr>
          <m:jc m:val="center"/>
        </m:oMathParaPr>
        <m:oMath>
          <m:r>
            <m:t>f</m:t>
          </m:r>
          <m:r>
            <m:t>(</m:t>
          </m:r>
          <m:r>
            <m:t>p</m:t>
          </m:r>
          <m:r>
            <m:t>+</m:t>
          </m:r>
          <m:r>
            <m:t>h</m:t>
          </m:r>
          <m:r>
            <m:t>d</m:t>
          </m:r>
          <m:r>
            <m:t>)</m:t>
          </m:r>
          <m:r>
            <m:t>≈</m:t>
          </m:r>
          <m:r>
            <m:t>f</m:t>
          </m:r>
          <m:r>
            <m:t>(</m:t>
          </m:r>
          <m:r>
            <m:t>p</m:t>
          </m:r>
          <m:r>
            <m:t>)</m:t>
          </m:r>
          <m:r>
            <m:t>+</m:t>
          </m:r>
          <m:r>
            <m:t>h</m:t>
          </m:r>
          <m:sSub>
            <m:e>
              <m:r>
                <m:t>J</m:t>
              </m:r>
            </m:e>
            <m:sub>
              <m:r>
                <m:t>f</m:t>
              </m:r>
            </m:sub>
          </m:sSub>
          <m:r>
            <m:t>(</m:t>
          </m:r>
          <m:r>
            <m:t>p</m:t>
          </m:r>
          <m:r>
            <m:t>)</m:t>
          </m:r>
          <m:r>
            <m:t>d</m:t>
          </m:r>
          <m:r>
            <m:t>.</m:t>
          </m:r>
        </m:oMath>
      </m:oMathPara>
    </w:p>
    <w:p>
      <w:pPr>
        <w:pStyle w:val="FirstParagraph"/>
      </w:pPr>
      <w:r>
        <w:t xml:space="preserve">The approximation is local in two senses. It is evaluated at</w:t>
      </w:r>
      <w:r>
        <w:t xml:space="preserve"> </w:t>
      </w:r>
      <m:oMath>
        <m:r>
          <m:t>p</m:t>
        </m:r>
      </m:oMath>
      <w:r>
        <w:t xml:space="preserve">, and its error is expected to become small as the step</w:t>
      </w:r>
      <w:r>
        <w:t xml:space="preserve"> </w:t>
      </w:r>
      <m:oMath>
        <m:r>
          <m:t>h</m:t>
        </m:r>
      </m:oMath>
      <w:r>
        <w:t xml:space="preserve"> </w:t>
      </w:r>
      <w:r>
        <w:t xml:space="preserve">becomes small. Moving far from</w:t>
      </w:r>
      <w:r>
        <w:t xml:space="preserve"> </w:t>
      </w:r>
      <m:oMath>
        <m:r>
          <m:t>p</m:t>
        </m:r>
      </m:oMath>
      <w:r>
        <w:t xml:space="preserve"> </w:t>
      </w:r>
      <w:r>
        <w:t xml:space="preserve">allows the nonlinear terms to accumulate. Evaluating the Jacobian at another point can produce another matrix.</w:t>
      </w:r>
    </w:p>
    <w:p>
      <w:pPr>
        <w:pStyle w:val="CaptionedFigure"/>
      </w:pPr>
      <w:r>
        <w:drawing>
          <wp:inline>
            <wp:extent cx="5334000" cy="3378200"/>
            <wp:effectExtent b="0" l="0" r="0" t="0"/>
            <wp:docPr descr="A Map and Its Local Change" title="" id="1" name="Picture"/>
            <a:graphic>
              <a:graphicData uri="http://schemas.openxmlformats.org/drawingml/2006/picture">
                <pic:pic>
                  <pic:nvPicPr>
                    <pic:cNvPr descr="../visuals/chapter_04_map_and_local_change.svg" id="0" name="Picture"/>
                    <pic:cNvPicPr>
                      <a:picLocks noChangeArrowheads="1" noChangeAspect="1"/>
                    </pic:cNvPicPr>
                  </pic:nvPicPr>
                  <pic:blipFill>
                    <a:blip r:embed="rId76"/>
                    <a:stretch>
                      <a:fillRect/>
                    </a:stretch>
                  </pic:blipFill>
                  <pic:spPr bwMode="auto">
                    <a:xfrm>
                      <a:off x="0" y="0"/>
                      <a:ext cx="5334000" cy="3378200"/>
                    </a:xfrm>
                    <a:prstGeom prst="rect">
                      <a:avLst/>
                    </a:prstGeom>
                    <a:noFill/>
                    <a:ln w="9525">
                      <a:noFill/>
                      <a:headEnd/>
                      <a:tailEnd/>
                    </a:ln>
                  </pic:spPr>
                </pic:pic>
              </a:graphicData>
            </a:graphic>
          </wp:inline>
        </w:drawing>
      </w:r>
    </w:p>
    <w:p>
      <w:pPr>
        <w:pStyle w:val="ImageCaption"/>
      </w:pPr>
      <w:r>
        <w:t xml:space="preserve">A Map and Its Local Change</w:t>
      </w:r>
    </w:p>
    <w:p>
      <w:pPr>
        <w:pStyle w:val="BodyText"/>
      </w:pPr>
      <w:r>
        <w:rPr>
          <w:i/>
        </w:rPr>
        <w:t xml:space="preserve">The fixed matrix transforms the complete coordinate field on the left. On the right, the nonlinear map’s actual displacement near</w:t>
      </w:r>
      <w:r>
        <w:rPr>
          <w:i/>
        </w:rPr>
        <w:t xml:space="preserve"> </w:t>
      </w:r>
      <m:oMath>
        <m:r>
          <m:t>p</m:t>
        </m:r>
        <m:r>
          <m:t>=</m:t>
        </m:r>
        <m:r>
          <m:t>(</m:t>
        </m:r>
        <m:r>
          <m:t>0.6</m:t>
        </m:r>
        <m:r>
          <m:t>,</m:t>
        </m:r>
        <m:r>
          <m:t>−</m:t>
        </m:r>
        <m:r>
          <m:t>0.8</m:t>
        </m:r>
        <m:r>
          <m:t>)</m:t>
        </m:r>
      </m:oMath>
      <w:r>
        <w:rPr>
          <w:i/>
        </w:rPr>
        <w:t xml:space="preserve"> </w:t>
      </w:r>
      <w:r>
        <w:rPr>
          <w:i/>
        </w:rPr>
        <w:t xml:space="preserve">nearly coincides with the directional change predicted by</w:t>
      </w:r>
      <w:r>
        <w:rPr>
          <w:i/>
        </w:rPr>
        <w:t xml:space="preserve"> </w:t>
      </w:r>
      <m:oMath>
        <m:sSub>
          <m:e>
            <m:r>
              <m:t>J</m:t>
            </m:r>
          </m:e>
          <m:sub>
            <m:r>
              <m:t>f</m:t>
            </m:r>
          </m:sub>
        </m:sSub>
        <m:r>
          <m:t>(</m:t>
        </m:r>
        <m:r>
          <m:t>p</m:t>
        </m:r>
        <m:r>
          <m:t>)</m:t>
        </m:r>
      </m:oMath>
      <w:r>
        <w:rPr>
          <w:i/>
        </w:rPr>
        <w:t xml:space="preserve">; the agreement is local, not a claim that the nonlinear map equals its Jacobian globally.</w:t>
      </w:r>
    </w:p>
    <w:p>
      <w:pPr>
        <w:pStyle w:val="BodyText"/>
      </w:pPr>
      <w:r>
        <w:t xml:space="preserve">The visual places the two roles side by side. The left field is transformed everywhere by one matrix. On the right, the solid and dashed displacements nearly coincide only within the highlighted neighborhood. The Jacobian exposes local structure; it does not turn the nonlinear map into a globally linear one.</w:t>
      </w:r>
    </w:p>
    <w:p>
      <w:pPr>
        <w:pStyle w:val="Heading2"/>
      </w:pPr>
      <w:bookmarkStart w:id="77" w:name="X1098cbb4237a0d54469f7b1efacc9becdcdc1a1"/>
      <w:r>
        <w:t xml:space="preserve">Checking the Derivative Numerically</w:t>
      </w:r>
      <w:bookmarkEnd w:id="77"/>
    </w:p>
    <w:p>
      <w:pPr>
        <w:pStyle w:val="FirstParagraph"/>
      </w:pPr>
      <w:r>
        <w:t xml:space="preserve">An analytic derivative can be written incorrectly, and derivative code can disagree with the function it is intended to describe. A finite difference supplies an independent computational check.</w:t>
      </w:r>
    </w:p>
    <w:p>
      <w:pPr>
        <w:pStyle w:val="BodyText"/>
      </w:pPr>
      <w:r>
        <w:t xml:space="preserve">The probe uses the central directional difference</w:t>
      </w:r>
    </w:p>
    <w:p>
      <w:pPr>
        <w:pStyle w:val="BodyText"/>
      </w:pPr>
      <m:oMathPara>
        <m:oMathParaPr>
          <m:jc m:val="center"/>
        </m:oMathParaPr>
        <m:oMath>
          <m:f>
            <m:fPr>
              <m:type m:val="bar"/>
            </m:fPr>
            <m:num>
              <m:r>
                <m:t>f</m:t>
              </m:r>
              <m:r>
                <m:t>(</m:t>
              </m:r>
              <m:r>
                <m:t>p</m:t>
              </m:r>
              <m:r>
                <m:t>+</m:t>
              </m:r>
              <m:r>
                <m:t>h</m:t>
              </m:r>
              <m:r>
                <m:t>d</m:t>
              </m:r>
              <m:r>
                <m:t>)</m:t>
              </m:r>
              <m:r>
                <m:t>−</m:t>
              </m:r>
              <m:r>
                <m:t>f</m:t>
              </m:r>
              <m:r>
                <m:t>(</m:t>
              </m:r>
              <m:r>
                <m:t>p</m:t>
              </m:r>
              <m:r>
                <m:t>−</m:t>
              </m:r>
              <m:r>
                <m:t>h</m:t>
              </m:r>
              <m:r>
                <m:t>d</m:t>
              </m:r>
              <m:r>
                <m:t>)</m:t>
              </m:r>
            </m:num>
            <m:den>
              <m:r>
                <m:t>2</m:t>
              </m:r>
              <m:r>
                <m:t>h</m:t>
              </m:r>
            </m:den>
          </m:f>
          <m:r>
            <m:t>.</m:t>
          </m:r>
        </m:oMath>
      </m:oMathPara>
    </w:p>
    <w:p>
      <w:pPr>
        <w:pStyle w:val="FirstParagraph"/>
      </w:pPr>
      <w:r>
        <w:t xml:space="preserve">It compares that vector with</w:t>
      </w:r>
      <w:r>
        <w:t xml:space="preserve"> </w:t>
      </w:r>
      <m:oMath>
        <m:sSub>
          <m:e>
            <m:r>
              <m:t>J</m:t>
            </m:r>
          </m:e>
          <m:sub>
            <m:r>
              <m:t>f</m:t>
            </m:r>
          </m:sub>
        </m:sSub>
        <m:r>
          <m:t>(</m:t>
        </m:r>
        <m:r>
          <m:t>p</m:t>
        </m:r>
        <m:r>
          <m:t>)</m:t>
        </m:r>
        <m:r>
          <m:t>d</m:t>
        </m:r>
      </m:oMath>
      <w:r>
        <w:t xml:space="preserve"> </w:t>
      </w:r>
      <w:r>
        <w:t xml:space="preserve">for four decreasing step sizes:</w:t>
      </w:r>
    </w:p>
    <w:tbl>
      <w:tblPr>
        <w:tblStyle w:val="Table"/>
        <w:tblW w:type="pct" w:w="0.0"/>
        <w:tblLook w:firstRow="1"/>
      </w:tblPr>
      <w:tblGrid/>
      <w:tr>
        <w:trPr>
          <w:cnfStyle w:firstRow="1"/>
        </w:trPr>
        <w:tc>
          <w:tcPr>
            <w:tcBorders>
              <w:bottom w:val="single"/>
            </w:tcBorders>
            <w:vAlign w:val="bottom"/>
          </w:tcPr>
          <w:p>
            <w:pPr>
              <w:pStyle w:val="Compact"/>
              <w:jc w:val="right"/>
            </w:pPr>
            <m:oMath>
              <m:r>
                <m:t>h</m:t>
              </m:r>
            </m:oMath>
          </w:p>
        </w:tc>
        <w:tc>
          <w:tcPr>
            <w:tcBorders>
              <w:bottom w:val="single"/>
            </w:tcBorders>
            <w:vAlign w:val="bottom"/>
          </w:tcPr>
          <w:p>
            <w:pPr>
              <w:pStyle w:val="Compact"/>
              <w:jc w:val="right"/>
            </w:pPr>
            <w:r>
              <w:t xml:space="preserve">Error from</w:t>
            </w:r>
            <w:r>
              <w:t xml:space="preserve"> </w:t>
            </w:r>
            <m:oMath>
              <m:sSub>
                <m:e>
                  <m:r>
                    <m:t>J</m:t>
                  </m:r>
                </m:e>
                <m:sub>
                  <m:r>
                    <m:t>f</m:t>
                  </m:r>
                </m:sub>
              </m:sSub>
              <m:r>
                <m:t>(</m:t>
              </m:r>
              <m:r>
                <m:t>p</m:t>
              </m:r>
              <m:r>
                <m:t>)</m:t>
              </m:r>
              <m:r>
                <m:t>d</m:t>
              </m:r>
            </m:oMath>
          </w:p>
        </w:tc>
      </w:tr>
      <w:tr>
        <w:tc>
          <w:p>
            <w:pPr>
              <w:pStyle w:val="Compact"/>
              <w:jc w:val="right"/>
            </w:pPr>
            <m:oMath>
              <m:sSup>
                <m:e>
                  <m:r>
                    <m:t>10</m:t>
                  </m:r>
                </m:e>
                <m:sup>
                  <m:r>
                    <m:t>−</m:t>
                  </m:r>
                  <m:r>
                    <m:t>1</m:t>
                  </m:r>
                </m:sup>
              </m:sSup>
            </m:oMath>
          </w:p>
        </w:tc>
        <w:tc>
          <w:p>
            <w:pPr>
              <w:pStyle w:val="Compact"/>
              <w:jc w:val="right"/>
            </w:pPr>
            <m:oMath>
              <m:r>
                <m:t>3.7138</m:t>
              </m:r>
              <m:r>
                <m:t>×</m:t>
              </m:r>
              <m:sSup>
                <m:e>
                  <m:r>
                    <m:t>10</m:t>
                  </m:r>
                </m:e>
                <m:sup>
                  <m:r>
                    <m:t>−</m:t>
                  </m:r>
                  <m:r>
                    <m:t>5</m:t>
                  </m:r>
                </m:sup>
              </m:sSup>
            </m:oMath>
          </w:p>
        </w:tc>
      </w:tr>
      <w:tr>
        <w:tc>
          <w:p>
            <w:pPr>
              <w:pStyle w:val="Compact"/>
              <w:jc w:val="right"/>
            </w:pPr>
            <m:oMath>
              <m:sSup>
                <m:e>
                  <m:r>
                    <m:t>10</m:t>
                  </m:r>
                </m:e>
                <m:sup>
                  <m:r>
                    <m:t>−</m:t>
                  </m:r>
                  <m:r>
                    <m:t>2</m:t>
                  </m:r>
                </m:sup>
              </m:sSup>
            </m:oMath>
          </w:p>
        </w:tc>
        <w:tc>
          <w:p>
            <w:pPr>
              <w:pStyle w:val="Compact"/>
              <w:jc w:val="right"/>
            </w:pPr>
            <m:oMath>
              <m:r>
                <m:t>3.7140</m:t>
              </m:r>
              <m:r>
                <m:t>×</m:t>
              </m:r>
              <m:sSup>
                <m:e>
                  <m:r>
                    <m:t>10</m:t>
                  </m:r>
                </m:e>
                <m:sup>
                  <m:r>
                    <m:t>−</m:t>
                  </m:r>
                  <m:r>
                    <m:t>7</m:t>
                  </m:r>
                </m:sup>
              </m:sSup>
            </m:oMath>
          </w:p>
        </w:tc>
      </w:tr>
      <w:tr>
        <w:tc>
          <w:p>
            <w:pPr>
              <w:pStyle w:val="Compact"/>
              <w:jc w:val="right"/>
            </w:pPr>
            <m:oMath>
              <m:sSup>
                <m:e>
                  <m:r>
                    <m:t>10</m:t>
                  </m:r>
                </m:e>
                <m:sup>
                  <m:r>
                    <m:t>−</m:t>
                  </m:r>
                  <m:r>
                    <m:t>3</m:t>
                  </m:r>
                </m:sup>
              </m:sSup>
            </m:oMath>
          </w:p>
        </w:tc>
        <w:tc>
          <w:p>
            <w:pPr>
              <w:pStyle w:val="Compact"/>
              <w:jc w:val="right"/>
            </w:pPr>
            <m:oMath>
              <m:r>
                <m:t>3.7140</m:t>
              </m:r>
              <m:r>
                <m:t>×</m:t>
              </m:r>
              <m:sSup>
                <m:e>
                  <m:r>
                    <m:t>10</m:t>
                  </m:r>
                </m:e>
                <m:sup>
                  <m:r>
                    <m:t>−</m:t>
                  </m:r>
                  <m:r>
                    <m:t>9</m:t>
                  </m:r>
                </m:sup>
              </m:sSup>
            </m:oMath>
          </w:p>
        </w:tc>
      </w:tr>
      <w:tr>
        <w:tc>
          <w:p>
            <w:pPr>
              <w:pStyle w:val="Compact"/>
              <w:jc w:val="right"/>
            </w:pPr>
            <m:oMath>
              <m:sSup>
                <m:e>
                  <m:r>
                    <m:t>10</m:t>
                  </m:r>
                </m:e>
                <m:sup>
                  <m:r>
                    <m:t>−</m:t>
                  </m:r>
                  <m:r>
                    <m:t>4</m:t>
                  </m:r>
                </m:sup>
              </m:sSup>
            </m:oMath>
          </w:p>
        </w:tc>
        <w:tc>
          <w:p>
            <w:pPr>
              <w:pStyle w:val="Compact"/>
              <w:jc w:val="right"/>
            </w:pPr>
            <m:oMath>
              <m:r>
                <m:t>3.7137</m:t>
              </m:r>
              <m:r>
                <m:t>×</m:t>
              </m:r>
              <m:sSup>
                <m:e>
                  <m:r>
                    <m:t>10</m:t>
                  </m:r>
                </m:e>
                <m:sup>
                  <m:r>
                    <m:t>−</m:t>
                  </m:r>
                  <m:r>
                    <m:t>11</m:t>
                  </m:r>
                </m:sup>
              </m:sSup>
            </m:oMath>
          </w:p>
        </w:tc>
      </w:tr>
    </w:tbl>
    <w:p>
      <w:pPr>
        <w:pStyle w:val="BodyText"/>
      </w:pPr>
      <w:r>
        <w:t xml:space="preserve">The Euclidean error decreases at every recorded step. Reducing</w:t>
      </w:r>
      <w:r>
        <w:t xml:space="preserve"> </w:t>
      </w:r>
      <m:oMath>
        <m:r>
          <m:t>h</m:t>
        </m:r>
      </m:oMath>
      <w:r>
        <w:t xml:space="preserve"> </w:t>
      </w:r>
      <w:r>
        <w:t xml:space="preserve">by a factor of ten reduces the observed error by approximately a factor of one hundred in this range. That pattern is consistent with the central difference approaching the analytic directional derivative for this smooth map.</w:t>
      </w:r>
    </w:p>
    <w:p>
      <w:pPr>
        <w:pStyle w:val="BodyText"/>
      </w:pPr>
      <w:r>
        <w:t xml:space="preserve">The check remains bounded. It compares one implemented function and derivative at one point, in one direction, over four step sizes. It does not prove that arbitrary functions are differentiable or that the derivative is globally accurate. Nor should</w:t>
      </w:r>
      <w:r>
        <w:t xml:space="preserve"> </w:t>
      </w:r>
      <m:oMath>
        <m:r>
          <m:t>h</m:t>
        </m:r>
      </m:oMath>
      <w:r>
        <w:t xml:space="preserve"> </w:t>
      </w:r>
      <w:r>
        <w:t xml:space="preserve">be reduced without limit: finite-precision subtraction can eventually make smaller steps less reliable.</w:t>
      </w:r>
    </w:p>
    <w:p>
      <w:pPr>
        <w:pStyle w:val="Heading2"/>
      </w:pPr>
      <w:bookmarkStart w:id="78" w:name="chapter-4-jacobian-gradient-and-learning"/>
      <w:r>
        <w:t xml:space="preserve">Jacobian, Gradient, and Learning</w:t>
      </w:r>
      <w:bookmarkEnd w:id="78"/>
    </w:p>
    <w:p>
      <w:pPr>
        <w:pStyle w:val="FirstParagraph"/>
      </w:pPr>
      <w:r>
        <w:t xml:space="preserve">Several later mechanisms use derivative language, so their roles must remain distinct.</w:t>
      </w:r>
    </w:p>
    <w:p>
      <w:pPr>
        <w:pStyle w:val="BodyText"/>
      </w:pPr>
      <w:r>
        <w:t xml:space="preserve">A Jacobian records the derivative of a vector-valued map. A gradient is associated with a scalar-valued function and points in the direction of steepest local increase under the usual Euclidean structure. An optimization method uses derivative information, an objective, and an update rule to choose a parameter change. A learning system adds parameters, data, loss construction, repeated execution, and stopping or evaluation conditions.</w:t>
      </w:r>
    </w:p>
    <w:p>
      <w:pPr>
        <w:pStyle w:val="BodyText"/>
      </w:pPr>
      <w:r>
        <w:t xml:space="preserve">This chapter supplies only transformation and local change. The calculation</w:t>
      </w:r>
    </w:p>
    <w:p>
      <w:pPr>
        <w:pStyle w:val="BodyText"/>
      </w:pPr>
      <w:r>
        <w:t xml:space="preserve">$$</w:t>
      </w:r>
      <w:r>
        <w:t xml:space="preserve"> </w:t>
      </w:r>
      <w:r>
        <w:t xml:space="preserve">J_f(p)d</w:t>
      </w:r>
    </w:p>
    <w:p>
      <w:pPr>
        <w:pStyle w:val="BodyText"/>
      </w:pPr>
      <w:r>
        <w:t xml:space="preserve">does not minimize anything, update a parameter, or learn from data. Chapter 6 will add objectives and adjustment. Keeping that machinery separate prevents every derivative from being described as learning.</w:t>
      </w:r>
    </w:p>
    <w:p>
      <w:pPr>
        <w:pStyle w:val="BodyText"/>
      </w:pPr>
      <w:r>
        <w:t xml:space="preserve">The same boundary applies beyond machines. A Jacobian is defined relative to a function, coordinates, and an evaluation point. A person does not simply</w:t>
      </w:r>
      <w:r>
        <w:t xml:space="preserve"> </w:t>
      </w:r>
      <w:r>
        <w:t xml:space="preserve">“</w:t>
      </w:r>
      <w:r>
        <w:t xml:space="preserve">have a Jacobian</w:t>
      </w:r>
      <w:r>
        <w:t xml:space="preserve">”</w:t>
      </w:r>
      <w:r>
        <w:t xml:space="preserve"> </w:t>
      </w:r>
      <w:r>
        <w:t xml:space="preserve">as a context-free trait, and matrix density or rank does not measure intelligence or worth.</w:t>
      </w:r>
    </w:p>
    <w:p>
      <w:pPr>
        <w:pStyle w:val="Heading2"/>
      </w:pPr>
      <w:bookmarkStart w:id="79" w:name="chapter-4-what-the-probe-establishes"/>
      <w:r>
        <w:t xml:space="preserve">What the Probe Establishes</w:t>
      </w:r>
      <w:bookmarkEnd w:id="79"/>
    </w:p>
    <w:p>
      <w:pPr>
        <w:pStyle w:val="FirstParagraph"/>
      </w:pPr>
      <w:r>
        <w:t xml:space="preserve">The dependency-free Python probe verifies the sampled additivity and homogeneity equalities for</w:t>
      </w:r>
      <w:r>
        <w:t xml:space="preserve"> </w:t>
      </w:r>
      <m:oMath>
        <m:r>
          <m:t>A</m:t>
        </m:r>
      </m:oMath>
      <w:r>
        <w:t xml:space="preserve">. It evaluates the analytic Jacobian, applies it to</w:t>
      </w:r>
      <w:r>
        <w:t xml:space="preserve"> </w:t>
      </w:r>
      <m:oMath>
        <m:r>
          <m:t>d</m:t>
        </m:r>
      </m:oMath>
      <w:r>
        <w:t xml:space="preserve">, computes the four central differences, and confirms decreasing error down to approximately</w:t>
      </w:r>
      <w:r>
        <w:t xml:space="preserve"> </w:t>
      </w:r>
      <m:oMath>
        <m:r>
          <m:t>3.7</m:t>
        </m:r>
        <m:r>
          <m:t>×</m:t>
        </m:r>
        <m:sSup>
          <m:e>
            <m:r>
              <m:t>10</m:t>
            </m:r>
          </m:e>
          <m:sup>
            <m:r>
              <m:t>−</m:t>
            </m:r>
            <m:r>
              <m:t>11</m:t>
            </m:r>
          </m:sup>
        </m:sSup>
      </m:oMath>
      <w:r>
        <w:t xml:space="preserve">.</w:t>
      </w:r>
    </w:p>
    <w:p>
      <w:pPr>
        <w:pStyle w:val="BodyText"/>
      </w:pPr>
      <w:r>
        <w:t xml:space="preserve">The result supports two bounded claims. The fixed matrix implementation behaves according to the tested linearity relations, and the analytic Jacobian agrees with local numerical change for the recorded case. It does not establish global linearity for</w:t>
      </w:r>
      <w:r>
        <w:t xml:space="preserve"> </w:t>
      </w:r>
      <m:oMath>
        <m:r>
          <m:t>f</m:t>
        </m:r>
      </m:oMath>
      <w:r>
        <w:t xml:space="preserve">, numerical stability at every scale, or any optimization, neural-network, or attention result.</w:t>
      </w:r>
    </w:p>
    <w:p>
      <w:pPr>
        <w:pStyle w:val="Heading2"/>
      </w:pPr>
      <w:bookmarkStart w:id="80" w:name="Xcda2158c2b783e643ac33298395b406b9342f72"/>
      <w:r>
        <w:t xml:space="preserve">Machinery Ready for Composition</w:t>
      </w:r>
      <w:bookmarkEnd w:id="80"/>
    </w:p>
    <w:p>
      <w:pPr>
        <w:pStyle w:val="FirstParagraph"/>
      </w:pPr>
      <w:r>
        <w:t xml:space="preserve">Part I has assembled four kinds of structure. Operations act within declared domains. Representation policies produce numerical objects. Probability distributes weight across admitted possibilities. Matrices transform coordinates, while derivatives expose local change.</w:t>
      </w:r>
    </w:p>
    <w:p>
      <w:pPr>
        <w:pStyle w:val="BodyText"/>
      </w:pPr>
      <w:r>
        <w:t xml:space="preserve">These structures now have outgoing work. Matrices will contribute to neural computation, tensors, geometry, and attention. Derivatives will contribute to optimization and geometric analysis. None of those later uses changes what has been established here: global linear maps and local linear approximations are related machinery with different scopes.</w:t>
      </w:r>
    </w:p>
    <w:p>
      <w:pPr>
        <w:pStyle w:val="BodyText"/>
      </w:pPr>
      <w:r>
        <w:t xml:space="preserve">The matrix-vector product demonstrated here recurs, at far greater width, wherever a Transformer projects representations or scores compatibility between them. On hardware that repeated product decomposes into fused multiply-add operations, and their volume is what makes accelerators rather than general-purpose scalar execution the fitting substrate. Chapter 7 returns to this same operation at tensor scale and asks what parallel hardware does with it; the linearity and locality distinctions established here do not change with scale.</w:t>
      </w:r>
    </w:p>
    <w:p>
      <w:pPr>
        <w:pStyle w:val="BodyText"/>
      </w:pPr>
      <w:r>
        <w:t xml:space="preserve">Chapter 5 follows numerical intent into programming systems. Values must occupy memory, types must constrain operations, and compilers must translate source expressions before hardware can execute them. Only after that implementation path is visible will Chapter 6 combine derivatives with objectives and repeated parameter adjustment.</w:t>
      </w:r>
    </w:p>
    <w:p>
      <w:pPr>
        <w:pStyle w:val="Heading2"/>
      </w:pPr>
      <w:bookmarkStart w:id="81" w:name="chapter-4-sources-and-evidence"/>
      <w:r>
        <w:t xml:space="preserve">Sources and Evidence</w:t>
      </w:r>
      <w:bookmarkEnd w:id="81"/>
    </w:p>
    <w:p>
      <w:pPr>
        <w:pStyle w:val="FirstParagraph"/>
      </w:pPr>
      <w:r>
        <w:t xml:space="preserve">The chapter’s bounded claims about linear maps, matrix representation, multivariable derivatives, Jacobians, and finite-difference checks are documented in the</w:t>
      </w:r>
      <w:r>
        <w:t xml:space="preserve"> </w:t>
      </w:r>
      <w:hyperlink r:id="rId82">
        <w:r>
          <w:rPr>
            <w:rStyle w:val="Hyperlink"/>
          </w:rPr>
          <w:t xml:space="preserve">Chapter 4 source ledger</w:t>
        </w:r>
      </w:hyperlink>
      <w:r>
        <w:t xml:space="preserve">. Exact inputs, formulas, assertions, and outputs are recorded in the</w:t>
      </w:r>
      <w:r>
        <w:t xml:space="preserve"> </w:t>
      </w:r>
      <w:hyperlink r:id="rId83">
        <w:r>
          <w:rPr>
            <w:rStyle w:val="Hyperlink"/>
          </w:rPr>
          <w:t xml:space="preserve">map-and-local-change probe</w:t>
        </w:r>
      </w:hyperlink>
      <w:r>
        <w:t xml:space="preserve">, with its</w:t>
      </w:r>
      <w:r>
        <w:t xml:space="preserve"> </w:t>
      </w:r>
      <w:hyperlink r:id="rId84">
        <w:r>
          <w:rPr>
            <w:rStyle w:val="Hyperlink"/>
          </w:rPr>
          <w:t xml:space="preserve">Python implementation</w:t>
        </w:r>
      </w:hyperlink>
      <w:r>
        <w:t xml:space="preserve">. Visual provenance and accessibility details are recorded with</w:t>
      </w:r>
      <w:r>
        <w:t xml:space="preserve"> </w:t>
      </w:r>
      <w:hyperlink r:id="rId85">
        <w:r>
          <w:rPr>
            <w:rStyle w:val="Hyperlink"/>
          </w:rPr>
          <w:t xml:space="preserve">A Map and Its Local Change</w:t>
        </w:r>
      </w:hyperlink>
      <w:r>
        <w:t xml:space="preserve">.</w:t>
      </w:r>
    </w:p>
    <w:p>
      <w:pPr>
        <w:pStyle w:val="Heading1"/>
      </w:pPr>
      <w:bookmarkStart w:id="86" w:name="chapter-5"/>
      <w:r>
        <w:t xml:space="preserve">Chapter 5 — Memory, Types, and Translation</w:t>
      </w:r>
      <w:bookmarkEnd w:id="86"/>
    </w:p>
    <w:p>
      <w:pPr>
        <w:pStyle w:val="FirstParagraph"/>
      </w:pPr>
      <w:r>
        <w:t xml:space="preserve">Chapter 4 ended with mathematical machinery ready for composition. A matrix could transform coordinates, and a Jacobian could describe local change near a declared point. Those definitions do not place values in memory or produce instructions a processor can execute.</w:t>
      </w:r>
    </w:p>
    <w:p>
      <w:pPr>
        <w:pStyle w:val="BodyText"/>
      </w:pPr>
      <w:r>
        <w:t xml:space="preserve">Between a mathematical expression and a running program lie several interfaces. A language admits some source constructions and rejects others. A representation policy constrains how fields are laid out. A compiler translates source through intermediate forms. An executable can then produce observable behavior in a particular environment.</w:t>
      </w:r>
    </w:p>
    <w:p>
      <w:pPr>
        <w:pStyle w:val="BodyText"/>
      </w:pPr>
      <w:r>
        <w:t xml:space="preserve">It is tempting to call these artifacts different views of one unchanged intention. That description is too smooth. Each interface adds constraints, discards source form, or introduces target-dependent decisions. This chapter follows one small Rust record through the chain so that acceptance, layout, translation, and output remain distinguishable.</w:t>
      </w:r>
    </w:p>
    <w:p>
      <w:pPr>
        <w:pStyle w:val="Heading2"/>
      </w:pPr>
      <w:bookmarkStart w:id="87" w:name="chapter-5-a-typed-source-declaration"/>
      <w:r>
        <w:t xml:space="preserve">A Typed Source Declaration</w:t>
      </w:r>
      <w:bookmarkEnd w:id="87"/>
    </w:p>
    <w:p>
      <w:pPr>
        <w:pStyle w:val="FirstParagraph"/>
      </w:pPr>
      <w:r>
        <w:t xml:space="preserve">The source begins with three fields:</w:t>
      </w:r>
    </w:p>
    <w:p>
      <w:pPr>
        <w:pStyle w:val="SourceCode"/>
      </w:pPr>
      <w:r>
        <w:rPr>
          <w:rStyle w:val="AttributeTok"/>
        </w:rPr>
        <w:t xml:space="preserve">#[</w:t>
      </w:r>
      <w:r>
        <w:rPr>
          <w:rStyle w:val="NormalTok"/>
        </w:rPr>
        <w:t xml:space="preserve">repr</w:t>
      </w:r>
      <w:r>
        <w:rPr>
          <w:rStyle w:val="AttributeTok"/>
        </w:rPr>
        <w:t xml:space="preserve">(</w:t>
      </w:r>
      <w:r>
        <w:rPr>
          <w:rStyle w:val="NormalTok"/>
        </w:rPr>
        <w:t xml:space="preserve">C</w:t>
      </w:r>
      <w:r>
        <w:rPr>
          <w:rStyle w:val="AttributeTok"/>
        </w:rPr>
        <w:t xml:space="preserve">)]</w:t>
      </w:r>
      <w:r>
        <w:br/>
      </w:r>
      <w:r>
        <w:rPr>
          <w:rStyle w:val="KeywordTok"/>
        </w:rPr>
        <w:t xml:space="preserve">struct</w:t>
      </w:r>
      <w:r>
        <w:rPr>
          <w:rStyle w:val="NormalTok"/>
        </w:rPr>
        <w:t xml:space="preserve"> TokenRecord </w:t>
      </w:r>
      <w:r>
        <w:rPr>
          <w:rStyle w:val="OperatorTok"/>
        </w:rPr>
        <w:t xml:space="preserve">{</w:t>
      </w:r>
      <w:r>
        <w:br/>
      </w:r>
      <w:r>
        <w:rPr>
          <w:rStyle w:val="NormalTok"/>
        </w:rPr>
        <w:t xml:space="preserve">    identifier</w:t>
      </w:r>
      <w:r>
        <w:rPr>
          <w:rStyle w:val="OperatorTok"/>
        </w:rPr>
        <w:t xml:space="preserve">:</w:t>
      </w:r>
      <w:r>
        <w:rPr>
          <w:rStyle w:val="NormalTok"/>
        </w:rPr>
        <w:t xml:space="preserve"> </w:t>
      </w:r>
      <w:r>
        <w:rPr>
          <w:rStyle w:val="DataTypeTok"/>
        </w:rPr>
        <w:t xml:space="preserve">u32</w:t>
      </w:r>
      <w:r>
        <w:rPr>
          <w:rStyle w:val="OperatorTok"/>
        </w:rPr>
        <w:t xml:space="preserve">,</w:t>
      </w:r>
      <w:r>
        <w:br/>
      </w:r>
      <w:r>
        <w:rPr>
          <w:rStyle w:val="NormalTok"/>
        </w:rPr>
        <w:t xml:space="preserve">    weight</w:t>
      </w:r>
      <w:r>
        <w:rPr>
          <w:rStyle w:val="OperatorTok"/>
        </w:rPr>
        <w:t xml:space="preserve">:</w:t>
      </w:r>
      <w:r>
        <w:rPr>
          <w:rStyle w:val="NormalTok"/>
        </w:rPr>
        <w:t xml:space="preserve"> </w:t>
      </w:r>
      <w:r>
        <w:rPr>
          <w:rStyle w:val="DataTypeTok"/>
        </w:rPr>
        <w:t xml:space="preserve">f32</w:t>
      </w:r>
      <w:r>
        <w:rPr>
          <w:rStyle w:val="OperatorTok"/>
        </w:rPr>
        <w:t xml:space="preserve">,</w:t>
      </w:r>
      <w:r>
        <w:br/>
      </w:r>
      <w:r>
        <w:rPr>
          <w:rStyle w:val="NormalTok"/>
        </w:rPr>
        <w:t xml:space="preserve">    active</w:t>
      </w:r>
      <w:r>
        <w:rPr>
          <w:rStyle w:val="OperatorTok"/>
        </w:rPr>
        <w:t xml:space="preserve">:</w:t>
      </w:r>
      <w:r>
        <w:rPr>
          <w:rStyle w:val="NormalTok"/>
        </w:rPr>
        <w:t xml:space="preserve"> </w:t>
      </w:r>
      <w:r>
        <w:rPr>
          <w:rStyle w:val="DataTypeTok"/>
        </w:rPr>
        <w:t xml:space="preserve">bool</w:t>
      </w:r>
      <w:r>
        <w:rPr>
          <w:rStyle w:val="OperatorTok"/>
        </w:rPr>
        <w:t xml:space="preserve">,</w:t>
      </w:r>
      <w:r>
        <w:br/>
      </w:r>
      <w:r>
        <w:rPr>
          <w:rStyle w:val="OperatorTok"/>
        </w:rPr>
        <w:t xml:space="preserve">}</w:t>
      </w:r>
    </w:p>
    <w:p>
      <w:pPr>
        <w:pStyle w:val="FirstParagraph"/>
      </w:pPr>
      <w:r>
        <w:t xml:space="preserve">The names orient a human reader. The field types constrain the values admitted by this program.</w:t>
      </w:r>
      <w:r>
        <w:t xml:space="preserve"> </w:t>
      </w:r>
      <w:r>
        <w:rPr>
          <w:rStyle w:val="VerbatimChar"/>
        </w:rPr>
        <w:t xml:space="preserve">identifier</w:t>
      </w:r>
      <w:r>
        <w:t xml:space="preserve"> </w:t>
      </w:r>
      <w:r>
        <w:t xml:space="preserve">holds a 32-bit unsigned integer,</w:t>
      </w:r>
      <w:r>
        <w:t xml:space="preserve"> </w:t>
      </w:r>
      <w:r>
        <w:rPr>
          <w:rStyle w:val="VerbatimChar"/>
        </w:rPr>
        <w:t xml:space="preserve">weight</w:t>
      </w:r>
      <w:r>
        <w:t xml:space="preserve"> </w:t>
      </w:r>
      <w:r>
        <w:t xml:space="preserve">holds a 32-bit floating-point value, and</w:t>
      </w:r>
      <w:r>
        <w:t xml:space="preserve"> </w:t>
      </w:r>
      <w:r>
        <w:rPr>
          <w:rStyle w:val="VerbatimChar"/>
        </w:rPr>
        <w:t xml:space="preserve">active</w:t>
      </w:r>
      <w:r>
        <w:t xml:space="preserve"> </w:t>
      </w:r>
      <w:r>
        <w:t xml:space="preserve">holds a Boolean.</w:t>
      </w:r>
    </w:p>
    <w:p>
      <w:pPr>
        <w:pStyle w:val="BodyText"/>
      </w:pPr>
      <w:r>
        <w:t xml:space="preserve">The accepted record is</w:t>
      </w:r>
    </w:p>
    <w:p>
      <w:pPr>
        <w:pStyle w:val="SourceCode"/>
      </w:pPr>
      <w:r>
        <w:rPr>
          <w:rStyle w:val="KeywordTok"/>
        </w:rPr>
        <w:t xml:space="preserve">let</w:t>
      </w:r>
      <w:r>
        <w:rPr>
          <w:rStyle w:val="NormalTok"/>
        </w:rPr>
        <w:t xml:space="preserve"> record </w:t>
      </w:r>
      <w:r>
        <w:rPr>
          <w:rStyle w:val="OperatorTok"/>
        </w:rPr>
        <w:t xml:space="preserve">=</w:t>
      </w:r>
      <w:r>
        <w:rPr>
          <w:rStyle w:val="NormalTok"/>
        </w:rPr>
        <w:t xml:space="preserve"> TokenRecord </w:t>
      </w:r>
      <w:r>
        <w:rPr>
          <w:rStyle w:val="OperatorTok"/>
        </w:rPr>
        <w:t xml:space="preserve">{</w:t>
      </w:r>
      <w:r>
        <w:br/>
      </w:r>
      <w:r>
        <w:rPr>
          <w:rStyle w:val="NormalTok"/>
        </w:rPr>
        <w:t xml:space="preserve">    identifier</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weight</w:t>
      </w:r>
      <w:r>
        <w:rPr>
          <w:rStyle w:val="OperatorTok"/>
        </w:rPr>
        <w:t xml:space="preserve">:</w:t>
      </w:r>
      <w:r>
        <w:rPr>
          <w:rStyle w:val="NormalTok"/>
        </w:rPr>
        <w:t xml:space="preserve"> </w:t>
      </w:r>
      <w:r>
        <w:rPr>
          <w:rStyle w:val="DecValTok"/>
        </w:rPr>
        <w:t xml:space="preserve">0.5</w:t>
      </w:r>
      <w:r>
        <w:rPr>
          <w:rStyle w:val="OperatorTok"/>
        </w:rPr>
        <w:t xml:space="preserve">,</w:t>
      </w:r>
      <w:r>
        <w:br/>
      </w:r>
      <w:r>
        <w:rPr>
          <w:rStyle w:val="NormalTok"/>
        </w:rPr>
        <w:t xml:space="preserve">    active</w:t>
      </w:r>
      <w:r>
        <w:rPr>
          <w:rStyle w:val="OperatorTok"/>
        </w:rPr>
        <w:t xml:space="preserve">:</w:t>
      </w:r>
      <w:r>
        <w:rPr>
          <w:rStyle w:val="NormalTok"/>
        </w:rPr>
        <w:t xml:space="preserve"> </w:t>
      </w:r>
      <w:r>
        <w:rPr>
          <w:rStyle w:val="ConstantTok"/>
        </w:rPr>
        <w:t xml:space="preserve">true</w:t>
      </w:r>
      <w:r>
        <w:rPr>
          <w:rStyle w:val="OperatorTok"/>
        </w:rPr>
        <w:t xml:space="preserve">,</w:t>
      </w:r>
      <w:r>
        <w:br/>
      </w:r>
      <w:r>
        <w:rPr>
          <w:rStyle w:val="OperatorTok"/>
        </w:rPr>
        <w:t xml:space="preserve">};</w:t>
      </w:r>
    </w:p>
    <w:p>
      <w:pPr>
        <w:pStyle w:val="FirstParagraph"/>
      </w:pPr>
      <w:r>
        <w:t xml:space="preserve">These declarations do not tell us whether identifier 3 names the right token, whether weight 0.5 was learned correctly, or whether the record should be active. They establish a narrower source contract: each field must receive a value compatible with its declared type.</w:t>
      </w:r>
    </w:p>
    <w:p>
      <w:pPr>
        <w:pStyle w:val="BodyText"/>
      </w:pPr>
      <w:r>
        <w:t xml:space="preserve">The probe tests the boundary by creating a temporary source variant:</w:t>
      </w:r>
    </w:p>
    <w:p>
      <w:pPr>
        <w:pStyle w:val="SourceCode"/>
      </w:pPr>
      <w:r>
        <w:rPr>
          <w:rStyle w:val="NormalTok"/>
        </w:rPr>
        <w:t xml:space="preserve">active</w:t>
      </w:r>
      <w:r>
        <w:rPr>
          <w:rStyle w:val="OperatorTok"/>
        </w:rPr>
        <w:t xml:space="preserve">:</w:t>
      </w:r>
      <w:r>
        <w:rPr>
          <w:rStyle w:val="NormalTok"/>
        </w:rPr>
        <w:t xml:space="preserve"> </w:t>
      </w:r>
      <w:r>
        <w:rPr>
          <w:rStyle w:val="DecValTok"/>
        </w:rPr>
        <w:t xml:space="preserve">1</w:t>
      </w:r>
    </w:p>
    <w:p>
      <w:pPr>
        <w:pStyle w:val="FirstParagraph"/>
      </w:pPr>
      <w:r>
        <w:t xml:space="preserve">Rust does not treat integer 1 as Boolean</w:t>
      </w:r>
      <w:r>
        <w:t xml:space="preserve"> </w:t>
      </w:r>
      <w:r>
        <w:rPr>
          <w:rStyle w:val="VerbatimChar"/>
        </w:rPr>
        <w:t xml:space="preserve">true</w:t>
      </w:r>
      <w:r>
        <w:t xml:space="preserve">. The compiler exits unsuccessfully and reports mismatched types. No executable is produced from that invalid source.</w:t>
      </w:r>
    </w:p>
    <w:p>
      <w:pPr>
        <w:pStyle w:val="BodyText"/>
      </w:pPr>
      <w:r>
        <w:t xml:space="preserve">This rejection is useful precisely because it is bounded. The compiler has established that one expression does not have the expected type. It has not established what the program is for, whether its model corresponds to the world, or whether an accepted computation is adequate for a task.</w:t>
      </w:r>
    </w:p>
    <w:p>
      <w:pPr>
        <w:pStyle w:val="Heading2"/>
      </w:pPr>
      <w:bookmarkStart w:id="88" w:name="chapter-5-a-type-is-not-yet-a-layout"/>
      <w:r>
        <w:t xml:space="preserve">A Type Is Not Yet a Layout</w:t>
      </w:r>
      <w:bookmarkEnd w:id="88"/>
    </w:p>
    <w:p>
      <w:pPr>
        <w:pStyle w:val="FirstParagraph"/>
      </w:pPr>
      <w:r>
        <w:t xml:space="preserve">The types tell us which kinds of values the fields admit. Layout adds size, alignment, and relative field offsets.</w:t>
      </w:r>
    </w:p>
    <w:p>
      <w:pPr>
        <w:pStyle w:val="BodyText"/>
      </w:pPr>
      <w:r>
        <w:t xml:space="preserve">The attribute</w:t>
      </w:r>
      <w:r>
        <w:t xml:space="preserve"> </w:t>
      </w:r>
      <w:r>
        <w:rPr>
          <w:rStyle w:val="VerbatimChar"/>
        </w:rPr>
        <w:t xml:space="preserve">#[repr(C)]</w:t>
      </w:r>
      <w:r>
        <w:t xml:space="preserve"> </w:t>
      </w:r>
      <w:r>
        <w:t xml:space="preserve">selects declared layout rules for this record. For a struct with this representation, fields are considered in declaration order. Before placing each field, the layout algorithm adds any padding required to satisfy that field’s alignment. The complete struct size is then rounded up to a multiple of the struct alignment.</w:t>
      </w:r>
    </w:p>
    <w:p>
      <w:pPr>
        <w:pStyle w:val="BodyText"/>
      </w:pPr>
      <w:r>
        <w:t xml:space="preserve">In the recorded environment, the first field begins at offset 0:</w:t>
      </w:r>
    </w:p>
    <w:p>
      <w:pPr>
        <w:pStyle w:val="SourceCode"/>
      </w:pPr>
      <w:r>
        <w:rPr>
          <w:rStyle w:val="VerbatimChar"/>
        </w:rPr>
        <w:t xml:space="preserve">identifier: u32    offset 0    size 4</w:t>
      </w:r>
    </w:p>
    <w:p>
      <w:pPr>
        <w:pStyle w:val="FirstParagraph"/>
      </w:pPr>
      <w:r>
        <w:t xml:space="preserve">The next field also requires four bytes and begins at offset 4:</w:t>
      </w:r>
    </w:p>
    <w:p>
      <w:pPr>
        <w:pStyle w:val="SourceCode"/>
      </w:pPr>
      <w:r>
        <w:rPr>
          <w:rStyle w:val="VerbatimChar"/>
        </w:rPr>
        <w:t xml:space="preserve">weight: f32        offset 4    size 4</w:t>
      </w:r>
    </w:p>
    <w:p>
      <w:pPr>
        <w:pStyle w:val="FirstParagraph"/>
      </w:pPr>
      <w:r>
        <w:t xml:space="preserve">The Boolean occupies one byte beginning at offset 8:</w:t>
      </w:r>
    </w:p>
    <w:p>
      <w:pPr>
        <w:pStyle w:val="SourceCode"/>
      </w:pPr>
      <w:r>
        <w:rPr>
          <w:rStyle w:val="VerbatimChar"/>
        </w:rPr>
        <w:t xml:space="preserve">active: bool       offset 8    size 1</w:t>
      </w:r>
    </w:p>
    <w:p>
      <w:pPr>
        <w:pStyle w:val="FirstParagraph"/>
      </w:pPr>
      <w:r>
        <w:t xml:space="preserve">At this point, the fields account for nine bytes. The record alignment is four bytes, so its total size must be rounded to the next multiple of four. Three trailing padding bytes bring the size to 12:</w:t>
      </w:r>
    </w:p>
    <w:p>
      <w:pPr>
        <w:pStyle w:val="SourceCode"/>
      </w:pPr>
      <w:r>
        <w:rPr>
          <w:rStyle w:val="VerbatimChar"/>
        </w:rPr>
        <w:t xml:space="preserve">byte offset    0       4       8 9 10 11</w:t>
      </w:r>
      <w:r>
        <w:br/>
      </w:r>
      <w:r>
        <w:rPr>
          <w:rStyle w:val="VerbatimChar"/>
        </w:rPr>
        <w:t xml:space="preserve">content        u32     f32     bool | padding</w:t>
      </w:r>
    </w:p>
    <w:p>
      <w:pPr>
        <w:pStyle w:val="FirstParagraph"/>
      </w:pPr>
      <w:r>
        <w:t xml:space="preserve">The probe does not read the padding as data. Padding participates in layout and array stride, but it is not another source-level field.</w:t>
      </w:r>
    </w:p>
    <w:p>
      <w:pPr>
        <w:pStyle w:val="BodyText"/>
      </w:pPr>
      <w:r>
        <w:t xml:space="preserve">Compile-time assertions require the complete contract:</w:t>
      </w:r>
    </w:p>
    <w:p>
      <w:pPr>
        <w:pStyle w:val="SourceCode"/>
      </w:pPr>
      <w:r>
        <w:rPr>
          <w:rStyle w:val="PreprocessorTok"/>
        </w:rPr>
        <w:t xml:space="preserve">assert!</w:t>
      </w:r>
      <w:r>
        <w:rPr>
          <w:rStyle w:val="NormalTok"/>
        </w:rPr>
        <w:t xml:space="preserve">(</w:t>
      </w:r>
      <w:r>
        <w:rPr>
          <w:rStyle w:val="PreprocessorTok"/>
        </w:rPr>
        <w:t xml:space="preserve">size_of::</w:t>
      </w:r>
      <w:r>
        <w:rPr>
          <w:rStyle w:val="OperatorTok"/>
        </w:rPr>
        <w:t xml:space="preserve">&lt;</w:t>
      </w:r>
      <w:r>
        <w:rPr>
          <w:rStyle w:val="NormalTok"/>
        </w:rPr>
        <w:t xml:space="preserve">TokenRecord</w:t>
      </w:r>
      <w:r>
        <w:rPr>
          <w:rStyle w:val="OperatorTok"/>
        </w:rPr>
        <w:t xml:space="preserve">&gt;</w:t>
      </w:r>
      <w:r>
        <w:rPr>
          <w:rStyle w:val="NormalTok"/>
        </w:rPr>
        <w:t xml:space="preserve">() </w:t>
      </w:r>
      <w:r>
        <w:rPr>
          <w:rStyle w:val="OperatorTok"/>
        </w:rPr>
        <w:t xml:space="preserve">==</w:t>
      </w:r>
      <w:r>
        <w:rPr>
          <w:rStyle w:val="NormalTok"/>
        </w:rPr>
        <w:t xml:space="preserve"> </w:t>
      </w:r>
      <w:r>
        <w:rPr>
          <w:rStyle w:val="DecValTok"/>
        </w:rPr>
        <w:t xml:space="preserve">12</w:t>
      </w:r>
      <w:r>
        <w:rPr>
          <w:rStyle w:val="NormalTok"/>
        </w:rPr>
        <w:t xml:space="preserve">)</w:t>
      </w:r>
      <w:r>
        <w:rPr>
          <w:rStyle w:val="OperatorTok"/>
        </w:rPr>
        <w:t xml:space="preserve">;</w:t>
      </w:r>
      <w:r>
        <w:br/>
      </w:r>
      <w:r>
        <w:rPr>
          <w:rStyle w:val="PreprocessorTok"/>
        </w:rPr>
        <w:t xml:space="preserve">assert!</w:t>
      </w:r>
      <w:r>
        <w:rPr>
          <w:rStyle w:val="NormalTok"/>
        </w:rPr>
        <w:t xml:space="preserve">(</w:t>
      </w:r>
      <w:r>
        <w:rPr>
          <w:rStyle w:val="PreprocessorTok"/>
        </w:rPr>
        <w:t xml:space="preserve">align_of::</w:t>
      </w:r>
      <w:r>
        <w:rPr>
          <w:rStyle w:val="OperatorTok"/>
        </w:rPr>
        <w:t xml:space="preserve">&lt;</w:t>
      </w:r>
      <w:r>
        <w:rPr>
          <w:rStyle w:val="NormalTok"/>
        </w:rPr>
        <w:t xml:space="preserve">TokenRecord</w:t>
      </w:r>
      <w:r>
        <w:rPr>
          <w:rStyle w:val="OperatorTok"/>
        </w:rPr>
        <w:t xml:space="preserve">&gt;</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w:t>
      </w:r>
      <w:r>
        <w:rPr>
          <w:rStyle w:val="OperatorTok"/>
        </w:rPr>
        <w:t xml:space="preserve">;</w:t>
      </w:r>
      <w:r>
        <w:br/>
      </w:r>
      <w:r>
        <w:rPr>
          <w:rStyle w:val="PreprocessorTok"/>
        </w:rPr>
        <w:t xml:space="preserve">assert!</w:t>
      </w:r>
      <w:r>
        <w:rPr>
          <w:rStyle w:val="NormalTok"/>
        </w:rPr>
        <w:t xml:space="preserve">(</w:t>
      </w:r>
      <w:r>
        <w:rPr>
          <w:rStyle w:val="PreprocessorTok"/>
        </w:rPr>
        <w:t xml:space="preserve">offset_of!</w:t>
      </w:r>
      <w:r>
        <w:rPr>
          <w:rStyle w:val="NormalTok"/>
        </w:rPr>
        <w:t xml:space="preserve">(TokenRecord</w:t>
      </w:r>
      <w:r>
        <w:rPr>
          <w:rStyle w:val="OperatorTok"/>
        </w:rPr>
        <w:t xml:space="preserve">,</w:t>
      </w:r>
      <w:r>
        <w:rPr>
          <w:rStyle w:val="NormalTok"/>
        </w:rPr>
        <w:t xml:space="preserve"> identifier) </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rPr>
          <w:rStyle w:val="PreprocessorTok"/>
        </w:rPr>
        <w:t xml:space="preserve">assert!</w:t>
      </w:r>
      <w:r>
        <w:rPr>
          <w:rStyle w:val="NormalTok"/>
        </w:rPr>
        <w:t xml:space="preserve">(</w:t>
      </w:r>
      <w:r>
        <w:rPr>
          <w:rStyle w:val="PreprocessorTok"/>
        </w:rPr>
        <w:t xml:space="preserve">offset_of!</w:t>
      </w:r>
      <w:r>
        <w:rPr>
          <w:rStyle w:val="NormalTok"/>
        </w:rPr>
        <w:t xml:space="preserve">(TokenRecord</w:t>
      </w:r>
      <w:r>
        <w:rPr>
          <w:rStyle w:val="OperatorTok"/>
        </w:rPr>
        <w:t xml:space="preserve">,</w:t>
      </w:r>
      <w:r>
        <w:rPr>
          <w:rStyle w:val="NormalTok"/>
        </w:rPr>
        <w:t xml:space="preserve"> weight) </w:t>
      </w:r>
      <w:r>
        <w:rPr>
          <w:rStyle w:val="OperatorTok"/>
        </w:rPr>
        <w:t xml:space="preserve">==</w:t>
      </w:r>
      <w:r>
        <w:rPr>
          <w:rStyle w:val="NormalTok"/>
        </w:rPr>
        <w:t xml:space="preserve"> </w:t>
      </w:r>
      <w:r>
        <w:rPr>
          <w:rStyle w:val="DecValTok"/>
        </w:rPr>
        <w:t xml:space="preserve">4</w:t>
      </w:r>
      <w:r>
        <w:rPr>
          <w:rStyle w:val="NormalTok"/>
        </w:rPr>
        <w:t xml:space="preserve">)</w:t>
      </w:r>
      <w:r>
        <w:rPr>
          <w:rStyle w:val="OperatorTok"/>
        </w:rPr>
        <w:t xml:space="preserve">;</w:t>
      </w:r>
      <w:r>
        <w:br/>
      </w:r>
      <w:r>
        <w:rPr>
          <w:rStyle w:val="PreprocessorTok"/>
        </w:rPr>
        <w:t xml:space="preserve">assert!</w:t>
      </w:r>
      <w:r>
        <w:rPr>
          <w:rStyle w:val="NormalTok"/>
        </w:rPr>
        <w:t xml:space="preserve">(</w:t>
      </w:r>
      <w:r>
        <w:rPr>
          <w:rStyle w:val="PreprocessorTok"/>
        </w:rPr>
        <w:t xml:space="preserve">offset_of!</w:t>
      </w:r>
      <w:r>
        <w:rPr>
          <w:rStyle w:val="NormalTok"/>
        </w:rPr>
        <w:t xml:space="preserve">(TokenRecord</w:t>
      </w:r>
      <w:r>
        <w:rPr>
          <w:rStyle w:val="OperatorTok"/>
        </w:rPr>
        <w:t xml:space="preserve">,</w:t>
      </w:r>
      <w:r>
        <w:rPr>
          <w:rStyle w:val="NormalTok"/>
        </w:rPr>
        <w:t xml:space="preserve"> active) </w:t>
      </w:r>
      <w:r>
        <w:rPr>
          <w:rStyle w:val="OperatorTok"/>
        </w:rPr>
        <w:t xml:space="preserve">==</w:t>
      </w:r>
      <w:r>
        <w:rPr>
          <w:rStyle w:val="NormalTok"/>
        </w:rPr>
        <w:t xml:space="preserve"> </w:t>
      </w:r>
      <w:r>
        <w:rPr>
          <w:rStyle w:val="DecValTok"/>
        </w:rPr>
        <w:t xml:space="preserve">8</w:t>
      </w:r>
      <w:r>
        <w:rPr>
          <w:rStyle w:val="NormalTok"/>
        </w:rPr>
        <w:t xml:space="preserve">)</w:t>
      </w:r>
      <w:r>
        <w:rPr>
          <w:rStyle w:val="OperatorTok"/>
        </w:rPr>
        <w:t xml:space="preserve">;</w:t>
      </w:r>
    </w:p>
    <w:p>
      <w:pPr>
        <w:pStyle w:val="FirstParagraph"/>
      </w:pPr>
      <w:r>
        <w:t xml:space="preserve">If the recorded values fail, compilation stops. The same properties are checked again by a runtime test.</w:t>
      </w:r>
    </w:p>
    <w:p>
      <w:pPr>
        <w:pStyle w:val="Heading2"/>
      </w:pPr>
      <w:bookmarkStart w:id="89" w:name="chapter-5-representation-is-a-policy"/>
      <w:r>
        <w:t xml:space="preserve">Representation Is a Policy</w:t>
      </w:r>
      <w:bookmarkEnd w:id="89"/>
    </w:p>
    <w:p>
      <w:pPr>
        <w:pStyle w:val="FirstParagraph"/>
      </w:pPr>
      <w:r>
        <w:t xml:space="preserve">The layout result must retain its context. Rust’s default representation does not generally promise that struct fields retain declaration order. Its guarantees are those needed for soundness, including adequate alignment and non-overlapping fields. We therefore cannot remove</w:t>
      </w:r>
      <w:r>
        <w:t xml:space="preserve"> </w:t>
      </w:r>
      <w:r>
        <w:rPr>
          <w:rStyle w:val="VerbatimChar"/>
        </w:rPr>
        <w:t xml:space="preserve">repr(C)</w:t>
      </w:r>
      <w:r>
        <w:t xml:space="preserve"> </w:t>
      </w:r>
      <w:r>
        <w:t xml:space="preserve">and continue asserting the same offsets merely because one compilation happens to produce them.</w:t>
      </w:r>
    </w:p>
    <w:p>
      <w:pPr>
        <w:pStyle w:val="BodyText"/>
      </w:pPr>
      <w:r>
        <w:t xml:space="preserve">Nor does</w:t>
      </w:r>
      <w:r>
        <w:t xml:space="preserve"> </w:t>
      </w:r>
      <w:r>
        <w:rPr>
          <w:rStyle w:val="VerbatimChar"/>
        </w:rPr>
        <w:t xml:space="preserve">repr(C)</w:t>
      </w:r>
      <w:r>
        <w:t xml:space="preserve"> </w:t>
      </w:r>
      <w:r>
        <w:t xml:space="preserve">create one universal layout independent of field types and target. Primitive alignment can be platform-specific, and layout alone does not settle how every value is passed across function boundaries. The probe records one type, representation, toolchain, and environment.</w:t>
      </w:r>
    </w:p>
    <w:p>
      <w:pPr>
        <w:pStyle w:val="BodyText"/>
      </w:pPr>
      <w:r>
        <w:t xml:space="preserve">This is the same discipline applied to numerical representations in Chapter 2. A representation policy preserves selected structure for a purpose. Its resulting numbers become meaningful inside that declared system, not as intrinsic labels attached to the source object.</w:t>
      </w:r>
    </w:p>
    <w:p>
      <w:pPr>
        <w:pStyle w:val="Heading2"/>
      </w:pPr>
      <w:bookmarkStart w:id="90" w:name="chapter-5-a-typed-operation"/>
      <w:r>
        <w:t xml:space="preserve">A Typed Operation</w:t>
      </w:r>
      <w:bookmarkEnd w:id="90"/>
    </w:p>
    <w:p>
      <w:pPr>
        <w:pStyle w:val="FirstParagraph"/>
      </w:pPr>
      <w:r>
        <w:t xml:space="preserve">The program applies one function to the record:</w:t>
      </w:r>
    </w:p>
    <w:p>
      <w:pPr>
        <w:pStyle w:val="SourceCode"/>
      </w:pPr>
      <w:r>
        <w:rPr>
          <w:rStyle w:val="KeywordTok"/>
        </w:rPr>
        <w:t xml:space="preserve">fn</w:t>
      </w:r>
      <w:r>
        <w:rPr>
          <w:rStyle w:val="NormalTok"/>
        </w:rPr>
        <w:t xml:space="preserve"> weighted_identifier(record</w:t>
      </w:r>
      <w:r>
        <w:rPr>
          <w:rStyle w:val="OperatorTok"/>
        </w:rPr>
        <w:t xml:space="preserve">:</w:t>
      </w:r>
      <w:r>
        <w:rPr>
          <w:rStyle w:val="NormalTok"/>
        </w:rPr>
        <w:t xml:space="preserve"> TokenRecord) </w:t>
      </w:r>
      <w:r>
        <w:rPr>
          <w:rStyle w:val="OperatorTok"/>
        </w:rPr>
        <w:t xml:space="preserve">-&gt;</w:t>
      </w:r>
      <w:r>
        <w:rPr>
          <w:rStyle w:val="NormalTok"/>
        </w:rPr>
        <w:t xml:space="preserve"> </w:t>
      </w:r>
      <w:r>
        <w:rPr>
          <w:rStyle w:val="DataTypeTok"/>
        </w:rPr>
        <w:t xml:space="preserve">f32</w:t>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record</w:t>
      </w:r>
      <w:r>
        <w:rPr>
          <w:rStyle w:val="OperatorTok"/>
        </w:rPr>
        <w:t xml:space="preserve">.</w:t>
      </w:r>
      <w:r>
        <w:rPr>
          <w:rStyle w:val="NormalTok"/>
        </w:rPr>
        <w:t xml:space="preserve">active </w:t>
      </w:r>
      <w:r>
        <w:rPr>
          <w:rStyle w:val="OperatorTok"/>
        </w:rPr>
        <w:t xml:space="preserve">{</w:t>
      </w:r>
      <w:r>
        <w:br/>
      </w:r>
      <w:r>
        <w:rPr>
          <w:rStyle w:val="NormalTok"/>
        </w:rPr>
        <w:t xml:space="preserve">        record</w:t>
      </w:r>
      <w:r>
        <w:rPr>
          <w:rStyle w:val="OperatorTok"/>
        </w:rPr>
        <w:t xml:space="preserve">.</w:t>
      </w:r>
      <w:r>
        <w:rPr>
          <w:rStyle w:val="NormalTok"/>
        </w:rPr>
        <w:t xml:space="preserve">identifier </w:t>
      </w:r>
      <w:r>
        <w:rPr>
          <w:rStyle w:val="KeywordTok"/>
        </w:rPr>
        <w:t xml:space="preserve">as</w:t>
      </w:r>
      <w:r>
        <w:rPr>
          <w:rStyle w:val="NormalTok"/>
        </w:rPr>
        <w:t xml:space="preserve"> </w:t>
      </w:r>
      <w:r>
        <w:rPr>
          <w:rStyle w:val="DataTypeTok"/>
        </w:rPr>
        <w:t xml:space="preserve">f32</w:t>
      </w:r>
      <w:r>
        <w:rPr>
          <w:rStyle w:val="NormalTok"/>
        </w:rPr>
        <w:t xml:space="preserve"> </w:t>
      </w:r>
      <w:r>
        <w:rPr>
          <w:rStyle w:val="OperatorTok"/>
        </w:rPr>
        <w:t xml:space="preserve">*</w:t>
      </w:r>
      <w:r>
        <w:rPr>
          <w:rStyle w:val="NormalTok"/>
        </w:rPr>
        <w:t xml:space="preserve"> record</w:t>
      </w:r>
      <w:r>
        <w:rPr>
          <w:rStyle w:val="OperatorTok"/>
        </w:rPr>
        <w:t xml:space="preserve">.</w:t>
      </w:r>
      <w:r>
        <w:rPr>
          <w:rStyle w:val="NormalTok"/>
        </w:rPr>
        <w:t xml:space="preserve">weight</w:t>
      </w:r>
      <w:r>
        <w:br/>
      </w:r>
      <w:r>
        <w:rPr>
          <w:rStyle w:val="NormalTok"/>
        </w:rPr>
        <w:t xml:space="preserve">    </w:t>
      </w:r>
      <w:r>
        <w:rPr>
          <w:rStyle w:val="OperatorTok"/>
        </w:rPr>
        <w:t xml:space="preserve">}</w:t>
      </w:r>
      <w:r>
        <w:rPr>
          <w:rStyle w:val="NormalTok"/>
        </w:rPr>
        <w:t xml:space="preserve"> </w:t>
      </w:r>
      <w:r>
        <w:rPr>
          <w:rStyle w:val="KeywordTok"/>
        </w:rPr>
        <w:t xml:space="preserve">else</w:t>
      </w:r>
      <w:r>
        <w:rPr>
          <w:rStyle w:val="NormalTok"/>
        </w:rPr>
        <w:t xml:space="preserve"> </w:t>
      </w:r>
      <w:r>
        <w:rPr>
          <w:rStyle w:val="OperatorTok"/>
        </w:rPr>
        <w:t xml:space="preserve">{</w:t>
      </w:r>
      <w:r>
        <w:br/>
      </w:r>
      <w:r>
        <w:rPr>
          <w:rStyle w:val="NormalTok"/>
        </w:rPr>
        <w:t xml:space="preserve">        </w:t>
      </w:r>
      <w:r>
        <w:rPr>
          <w:rStyle w:val="DecValTok"/>
        </w:rPr>
        <w:t xml:space="preserve">0.0</w:t>
      </w:r>
      <w:r>
        <w:br/>
      </w:r>
      <w:r>
        <w:rPr>
          <w:rStyle w:val="NormalTok"/>
        </w:rPr>
        <w:t xml:space="preserve">    </w:t>
      </w:r>
      <w:r>
        <w:rPr>
          <w:rStyle w:val="OperatorTok"/>
        </w:rPr>
        <w:t xml:space="preserve">}</w:t>
      </w:r>
      <w:r>
        <w:br/>
      </w:r>
      <w:r>
        <w:rPr>
          <w:rStyle w:val="OperatorTok"/>
        </w:rPr>
        <w:t xml:space="preserve">}</w:t>
      </w:r>
    </w:p>
    <w:p>
      <w:pPr>
        <w:pStyle w:val="FirstParagraph"/>
      </w:pPr>
      <w:r>
        <w:t xml:space="preserve">The signature says that the function accepts a</w:t>
      </w:r>
      <w:r>
        <w:t xml:space="preserve"> </w:t>
      </w:r>
      <w:r>
        <w:rPr>
          <w:rStyle w:val="VerbatimChar"/>
        </w:rPr>
        <w:t xml:space="preserve">TokenRecord</w:t>
      </w:r>
      <w:r>
        <w:t xml:space="preserve"> </w:t>
      </w:r>
      <w:r>
        <w:t xml:space="preserve">and returns an</w:t>
      </w:r>
      <w:r>
        <w:t xml:space="preserve"> </w:t>
      </w:r>
      <w:r>
        <w:rPr>
          <w:rStyle w:val="VerbatimChar"/>
        </w:rPr>
        <w:t xml:space="preserve">f32</w:t>
      </w:r>
      <w:r>
        <w:t xml:space="preserve">. Inside the active branch, the unsigned identifier is explicitly converted to</w:t>
      </w:r>
      <w:r>
        <w:t xml:space="preserve"> </w:t>
      </w:r>
      <w:r>
        <w:rPr>
          <w:rStyle w:val="VerbatimChar"/>
        </w:rPr>
        <w:t xml:space="preserve">f32</w:t>
      </w:r>
      <w:r>
        <w:t xml:space="preserve"> </w:t>
      </w:r>
      <w:r>
        <w:t xml:space="preserve">before multiplication. For the accepted input,</w:t>
      </w:r>
    </w:p>
    <w:p>
      <w:pPr>
        <w:pStyle w:val="BodyText"/>
      </w:pPr>
      <m:oMathPara>
        <m:oMathParaPr>
          <m:jc m:val="center"/>
        </m:oMathParaPr>
        <m:oMath>
          <m:r>
            <m:t>3</m:t>
          </m:r>
          <m:r>
            <m:t>×</m:t>
          </m:r>
          <m:r>
            <m:t>0.5</m:t>
          </m:r>
          <m:r>
            <m:t>=</m:t>
          </m:r>
          <m:r>
            <m:t>1.5</m:t>
          </m:r>
          <m:r>
            <m:t>.</m:t>
          </m:r>
        </m:oMath>
      </m:oMathPara>
    </w:p>
    <w:p>
      <w:pPr>
        <w:pStyle w:val="FirstParagraph"/>
      </w:pPr>
      <w:r>
        <w:t xml:space="preserve">Three tests pass: the declared layout matches, the active record produces 1.5, and an otherwise identical inactive record produces zero.</w:t>
      </w:r>
    </w:p>
    <w:p>
      <w:pPr>
        <w:pStyle w:val="BodyText"/>
      </w:pPr>
      <w:r>
        <w:t xml:space="preserve">These tests inspect separate claims. The layout test does not verify the multiplication. The active test does not prove the field offsets. Keeping the assertions separate makes a failure easier to locate.</w:t>
      </w:r>
    </w:p>
    <w:p>
      <w:pPr>
        <w:pStyle w:val="Heading2"/>
      </w:pPr>
      <w:bookmarkStart w:id="91" w:name="X879b5975ce4f70824f8d130b6826cf2e3573176"/>
      <w:r>
        <w:t xml:space="preserve">Source Becomes an Intermediate Form</w:t>
      </w:r>
      <w:bookmarkEnd w:id="91"/>
    </w:p>
    <w:p>
      <w:pPr>
        <w:pStyle w:val="FirstParagraph"/>
      </w:pPr>
      <w:r>
        <w:t xml:space="preserve">Accepted source is not passed directly to a processor as Rust syntax. rustc translates it through internal representations. The probe asks stable rustc to emit its Mid-level Intermediate Representation, or MIR.</w:t>
      </w:r>
    </w:p>
    <w:p>
      <w:pPr>
        <w:pStyle w:val="BodyText"/>
      </w:pPr>
      <w:r>
        <w:t xml:space="preserve">MIR is organized as a control-flow graph. Nested source expressions are lowered into explicit operations, places, temporaries, basic blocks, and terminators. Types remain explicit. In the emitted artifact, the probe finds the typed function boundary</w:t>
      </w:r>
    </w:p>
    <w:p>
      <w:pPr>
        <w:pStyle w:val="SourceCode"/>
      </w:pPr>
      <w:r>
        <w:rPr>
          <w:rStyle w:val="VerbatimChar"/>
        </w:rPr>
        <w:t xml:space="preserve">fn weighted_identifier(_1: TokenRecord) -&gt; f32</w:t>
      </w:r>
    </w:p>
    <w:p>
      <w:pPr>
        <w:pStyle w:val="FirstParagraph"/>
      </w:pPr>
      <w:r>
        <w:t xml:space="preserve">and a typed</w:t>
      </w:r>
      <w:r>
        <w:t xml:space="preserve"> </w:t>
      </w:r>
      <w:r>
        <w:rPr>
          <w:rStyle w:val="VerbatimChar"/>
        </w:rPr>
        <w:t xml:space="preserve">TokenRecord</w:t>
      </w:r>
      <w:r>
        <w:t xml:space="preserve"> </w:t>
      </w:r>
      <w:r>
        <w:t xml:space="preserve">construction.</w:t>
      </w:r>
    </w:p>
    <w:p>
      <w:pPr>
        <w:pStyle w:val="BodyText"/>
      </w:pPr>
      <w:r>
        <w:t xml:space="preserve">This is evidence of translation, not one-to-one preservation. A source variable can become an indexed MIR local. One source expression can become several intermediate operations. Optimization can remove, combine, or rearrange work before code generation. The human-readable MIR format is itself subject to change and is not a stable interchange contract.</w:t>
      </w:r>
    </w:p>
    <w:p>
      <w:pPr>
        <w:pStyle w:val="BodyText"/>
      </w:pPr>
      <w:r>
        <w:t xml:space="preserve">The probe therefore checks two bounded markers rather than storing and comparing the complete MIR text. It verifies that the declared typed function and record construction remain inspectable in the recorded compiler output.</w:t>
      </w:r>
    </w:p>
    <w:p>
      <w:pPr>
        <w:pStyle w:val="CaptionedFigure"/>
      </w:pPr>
      <w:r>
        <w:drawing>
          <wp:inline>
            <wp:extent cx="5334000" cy="3378200"/>
            <wp:effectExtent b="0" l="0" r="0" t="0"/>
            <wp:docPr descr="Intent Through the Compiler" title="" id="1" name="Picture"/>
            <a:graphic>
              <a:graphicData uri="http://schemas.openxmlformats.org/drawingml/2006/picture">
                <pic:pic>
                  <pic:nvPicPr>
                    <pic:cNvPr descr="../visuals/chapter_05_intent_through_compiler.svg" id="0" name="Picture"/>
                    <pic:cNvPicPr>
                      <a:picLocks noChangeArrowheads="1" noChangeAspect="1"/>
                    </pic:cNvPicPr>
                  </pic:nvPicPr>
                  <pic:blipFill>
                    <a:blip r:embed="rId92"/>
                    <a:stretch>
                      <a:fillRect/>
                    </a:stretch>
                  </pic:blipFill>
                  <pic:spPr bwMode="auto">
                    <a:xfrm>
                      <a:off x="0" y="0"/>
                      <a:ext cx="5334000" cy="3378200"/>
                    </a:xfrm>
                    <a:prstGeom prst="rect">
                      <a:avLst/>
                    </a:prstGeom>
                    <a:noFill/>
                    <a:ln w="9525">
                      <a:noFill/>
                      <a:headEnd/>
                      <a:tailEnd/>
                    </a:ln>
                  </pic:spPr>
                </pic:pic>
              </a:graphicData>
            </a:graphic>
          </wp:inline>
        </w:drawing>
      </w:r>
    </w:p>
    <w:p>
      <w:pPr>
        <w:pStyle w:val="ImageCaption"/>
      </w:pPr>
      <w:r>
        <w:t xml:space="preserve">Intent Through the Compiler</w:t>
      </w:r>
    </w:p>
    <w:p>
      <w:pPr>
        <w:pStyle w:val="BodyText"/>
      </w:pPr>
      <w:r>
        <w:rPr>
          <w:i/>
        </w:rPr>
        <w:t xml:space="preserve">The accepted</w:t>
      </w:r>
      <w:r>
        <w:rPr>
          <w:i/>
        </w:rPr>
        <w:t xml:space="preserve"> </w:t>
      </w:r>
      <w:r>
        <w:rPr>
          <w:rStyle w:val="VerbatimChar"/>
          <w:i/>
        </w:rPr>
        <w:t xml:space="preserve">TokenRecord</w:t>
      </w:r>
      <w:r>
        <w:rPr>
          <w:i/>
        </w:rPr>
        <w:t xml:space="preserve"> </w:t>
      </w:r>
      <w:r>
        <w:rPr>
          <w:i/>
        </w:rPr>
        <w:t xml:space="preserve">crosses source declaration, type checking, declared layout, typed MIR, and observable output. A temporary integer supplied to the Boolean field is rejected at type checking and produces no downstream artifact. Acceptance establishes conformity to these interfaces, not proof of program purpose or task correctness.</w:t>
      </w:r>
    </w:p>
    <w:p>
      <w:pPr>
        <w:pStyle w:val="BodyText"/>
      </w:pPr>
      <w:r>
        <w:t xml:space="preserve">The downward branch in the visual is as important as the accepted path.</w:t>
      </w:r>
      <w:r>
        <w:t xml:space="preserve"> </w:t>
      </w:r>
      <w:r>
        <w:rPr>
          <w:rStyle w:val="VerbatimChar"/>
        </w:rPr>
        <w:t xml:space="preserve">active: 1</w:t>
      </w:r>
      <w:r>
        <w:t xml:space="preserve"> </w:t>
      </w:r>
      <w:r>
        <w:t xml:space="preserve">does not acquire a layout as a</w:t>
      </w:r>
      <w:r>
        <w:t xml:space="preserve"> </w:t>
      </w:r>
      <w:r>
        <w:rPr>
          <w:rStyle w:val="VerbatimChar"/>
        </w:rPr>
        <w:t xml:space="preserve">TokenRecord</w:t>
      </w:r>
      <w:r>
        <w:t xml:space="preserve">, appear in accepted MIR, or produce an executable. The type boundary prevents those downstream artifacts from existing for that source.</w:t>
      </w:r>
    </w:p>
    <w:p>
      <w:pPr>
        <w:pStyle w:val="Heading2"/>
      </w:pPr>
      <w:bookmarkStart w:id="93" w:name="chapter-5-observable-output"/>
      <w:r>
        <w:t xml:space="preserve">Observable Output</w:t>
      </w:r>
      <w:bookmarkEnd w:id="93"/>
    </w:p>
    <w:p>
      <w:pPr>
        <w:pStyle w:val="FirstParagraph"/>
      </w:pPr>
      <w:r>
        <w:t xml:space="preserve">The accepted program prints:</w:t>
      </w:r>
    </w:p>
    <w:p>
      <w:pPr>
        <w:pStyle w:val="SourceCode"/>
      </w:pPr>
      <w:r>
        <w:rPr>
          <w:rStyle w:val="VerbatimChar"/>
        </w:rPr>
        <w:t xml:space="preserve">size=12</w:t>
      </w:r>
      <w:r>
        <w:br/>
      </w:r>
      <w:r>
        <w:rPr>
          <w:rStyle w:val="VerbatimChar"/>
        </w:rPr>
        <w:t xml:space="preserve">alignment=4</w:t>
      </w:r>
      <w:r>
        <w:br/>
      </w:r>
      <w:r>
        <w:rPr>
          <w:rStyle w:val="VerbatimChar"/>
        </w:rPr>
        <w:t xml:space="preserve">offsets=identifier:0,weight:4,active:8</w:t>
      </w:r>
      <w:r>
        <w:br/>
      </w:r>
      <w:r>
        <w:rPr>
          <w:rStyle w:val="VerbatimChar"/>
        </w:rPr>
        <w:t xml:space="preserve">weighted_identifier=1.5</w:t>
      </w:r>
    </w:p>
    <w:p>
      <w:pPr>
        <w:pStyle w:val="FirstParagraph"/>
      </w:pPr>
      <w:r>
        <w:t xml:space="preserve">The wrapper probe reproduces this output exactly. It also verifies three passing Rust tests, the two MIR markers, unsuccessful compilation of the invalid field value, and the expected type-mismatch diagnostic. All six wrapper assertions pass under rustc 1.97.1 using the Rust 2024 edition with warnings denied.</w:t>
      </w:r>
    </w:p>
    <w:p>
      <w:pPr>
        <w:pStyle w:val="BodyText"/>
      </w:pPr>
      <w:r>
        <w:t xml:space="preserve">This output closes the chapter’s concrete path. A source declaration has crossed type checking, a layout contract, compiler translation, and executable behavior. The output does not reveal every compiler stage or final instruction, and it does not demonstrate performance.</w:t>
      </w:r>
    </w:p>
    <w:p>
      <w:pPr>
        <w:pStyle w:val="Heading2"/>
      </w:pPr>
      <w:bookmarkStart w:id="94" w:name="Xbac0ed21fe2971f3fa97646098fea525555c5c3"/>
      <w:r>
        <w:t xml:space="preserve">Compilation Stops Before Runtime Analysis</w:t>
      </w:r>
      <w:bookmarkEnd w:id="94"/>
    </w:p>
    <w:p>
      <w:pPr>
        <w:pStyle w:val="FirstParagraph"/>
      </w:pPr>
      <w:r>
        <w:t xml:space="preserve">Producing and launching the small executable is enough to reproduce its reported result. It is not enough to explain a runtime system.</w:t>
      </w:r>
    </w:p>
    <w:p>
      <w:pPr>
        <w:pStyle w:val="BodyText"/>
      </w:pPr>
      <w:r>
        <w:t xml:space="preserve">This chapter does not measure allocation, cache behavior, scheduling, kernel dispatch, memory transfer, or hardware cost. It does not inspect LLVM internals, linker behavior, or a particular assembly sequence. Those mechanisms require different artifacts and, where appropriate, target-specific tools.</w:t>
      </w:r>
    </w:p>
    <w:p>
      <w:pPr>
        <w:pStyle w:val="BodyText"/>
      </w:pPr>
      <w:r>
        <w:t xml:space="preserve">Chapter 9 resumes this programming path. It will combine translated artifacts with ordered computation, runtime work, and memory movement. The current chapter hands forward two bounded objects: values with an inspectable layout and source operations that have passed compiler translation.</w:t>
      </w:r>
    </w:p>
    <w:p>
      <w:pPr>
        <w:pStyle w:val="BodyText"/>
      </w:pPr>
      <w:r>
        <w:t xml:space="preserve">The layout contract demonstrated here — declared size, alignment, and field offset — is the same kind of contract a tensor library enforces for every weight matrix and activation buffer inside a running Transformer, across memory hierarchies this chapter does not model. A multi-gigabyte tensor does not escape type checking or layout discipline; it is this same contract applied at far greater scale.</w:t>
      </w:r>
    </w:p>
    <w:p>
      <w:pPr>
        <w:pStyle w:val="Heading2"/>
      </w:pPr>
      <w:bookmarkStart w:id="95" w:name="chapter-5-what-the-probe-establishes"/>
      <w:r>
        <w:t xml:space="preserve">What the Probe Establishes</w:t>
      </w:r>
      <w:bookmarkEnd w:id="95"/>
    </w:p>
    <w:p>
      <w:pPr>
        <w:pStyle w:val="FirstParagraph"/>
      </w:pPr>
      <w:r>
        <w:t xml:space="preserve">The Rust artifact and Python wrapper jointly verify four claims in the declared environment. Field types reject the tested inadmissible value. The</w:t>
      </w:r>
      <w:r>
        <w:t xml:space="preserve"> </w:t>
      </w:r>
      <w:r>
        <w:rPr>
          <w:rStyle w:val="VerbatimChar"/>
        </w:rPr>
        <w:t xml:space="preserve">repr(C)</w:t>
      </w:r>
      <w:r>
        <w:t xml:space="preserve"> </w:t>
      </w:r>
      <w:r>
        <w:t xml:space="preserve">record has size 12, alignment 4, and offsets 0, 4, and 8. Emitted MIR contains the typed function and record construction. The accepted executable produces the recorded output.</w:t>
      </w:r>
    </w:p>
    <w:p>
      <w:pPr>
        <w:pStyle w:val="BodyText"/>
      </w:pPr>
      <w:r>
        <w:t xml:space="preserve">The probe does not establish that type checking proves correctness, that source intent survives unchanged, that MIR is stable, or that one source construct maps to one instruction. It does not generalize the layout to default Rust representation or every target ABI.</w:t>
      </w:r>
    </w:p>
    <w:p>
      <w:pPr>
        <w:pStyle w:val="Heading2"/>
      </w:pPr>
      <w:bookmarkStart w:id="96" w:name="X29e6ca295a9db37ce9df3799e8ce3c1b793e49e"/>
      <w:r>
        <w:t xml:space="preserve">Part I: Structures Ready to Work</w:t>
      </w:r>
      <w:bookmarkEnd w:id="96"/>
    </w:p>
    <w:p>
      <w:pPr>
        <w:pStyle w:val="FirstParagraph"/>
      </w:pPr>
      <w:r>
        <w:t xml:space="preserve">Part I began with operations and rules, then constructed numerical representations, distributions, transformations, and local change. This chapter has followed a represented value into a typed and laid-out program artifact.</w:t>
      </w:r>
    </w:p>
    <w:p>
      <w:pPr>
        <w:pStyle w:val="BodyText"/>
      </w:pPr>
      <w:r>
        <w:t xml:space="preserve">The result is not one unified structure. It is an interface chain. Mathematics specifies operations over declared objects. Representation makes objects numerically available. Probability expresses uncertainty. Matrices and derivatives describe transformation and change. Languages and compilers constrain how selected operations become executable artifacts.</w:t>
      </w:r>
    </w:p>
    <w:p>
      <w:pPr>
        <w:pStyle w:val="BodyText"/>
      </w:pPr>
      <w:r>
        <w:t xml:space="preserve">Part II now asks how such machinery can adjust parameters. Chapter 6 combines probability and calculus with an objective, gradients, neural computation, and repeated updates. The compiler has not learned anything here. It has enforced and translated a declared program. Learning begins only when the next chapter adds the missing loop.</w:t>
      </w:r>
    </w:p>
    <w:p>
      <w:pPr>
        <w:pStyle w:val="Heading2"/>
      </w:pPr>
      <w:bookmarkStart w:id="97" w:name="chapter-5-sources-and-evidence"/>
      <w:r>
        <w:t xml:space="preserve">Sources and Evidence</w:t>
      </w:r>
      <w:bookmarkEnd w:id="97"/>
    </w:p>
    <w:p>
      <w:pPr>
        <w:pStyle w:val="FirstParagraph"/>
      </w:pPr>
      <w:r>
        <w:t xml:space="preserve">The chapter’s bounded claims about Rust types,</w:t>
      </w:r>
      <w:r>
        <w:t xml:space="preserve"> </w:t>
      </w:r>
      <w:r>
        <w:rPr>
          <w:rStyle w:val="VerbatimChar"/>
        </w:rPr>
        <w:t xml:space="preserve">repr(C)</w:t>
      </w:r>
      <w:r>
        <w:t xml:space="preserve"> </w:t>
      </w:r>
      <w:r>
        <w:t xml:space="preserve">layout, and MIR are documented in the</w:t>
      </w:r>
      <w:r>
        <w:t xml:space="preserve"> </w:t>
      </w:r>
      <w:hyperlink r:id="rId98">
        <w:r>
          <w:rPr>
            <w:rStyle w:val="Hyperlink"/>
          </w:rPr>
          <w:t xml:space="preserve">Chapter 5 source ledger</w:t>
        </w:r>
      </w:hyperlink>
      <w:r>
        <w:t xml:space="preserve">. Exact source, commands, assertions, rejection behavior, and output are recorded in the</w:t>
      </w:r>
      <w:r>
        <w:t xml:space="preserve"> </w:t>
      </w:r>
      <w:hyperlink r:id="rId99">
        <w:r>
          <w:rPr>
            <w:rStyle w:val="Hyperlink"/>
          </w:rPr>
          <w:t xml:space="preserve">compiler probe</w:t>
        </w:r>
      </w:hyperlink>
      <w:r>
        <w:t xml:space="preserve">, with its</w:t>
      </w:r>
      <w:r>
        <w:t xml:space="preserve"> </w:t>
      </w:r>
      <w:hyperlink r:id="rId100">
        <w:r>
          <w:rPr>
            <w:rStyle w:val="Hyperlink"/>
          </w:rPr>
          <w:t xml:space="preserve">Rust artifact</w:t>
        </w:r>
      </w:hyperlink>
      <w:r>
        <w:t xml:space="preserve"> </w:t>
      </w:r>
      <w:r>
        <w:t xml:space="preserve">and</w:t>
      </w:r>
      <w:r>
        <w:t xml:space="preserve"> </w:t>
      </w:r>
      <w:hyperlink r:id="rId101">
        <w:r>
          <w:rPr>
            <w:rStyle w:val="Hyperlink"/>
          </w:rPr>
          <w:t xml:space="preserve">Python wrapper</w:t>
        </w:r>
      </w:hyperlink>
      <w:r>
        <w:t xml:space="preserve">. Visual provenance and accessibility details are recorded with</w:t>
      </w:r>
      <w:r>
        <w:t xml:space="preserve"> </w:t>
      </w:r>
      <w:hyperlink r:id="rId102">
        <w:r>
          <w:rPr>
            <w:rStyle w:val="Hyperlink"/>
          </w:rPr>
          <w:t xml:space="preserve">Intent Through the Compiler</w:t>
        </w:r>
      </w:hyperlink>
      <w:r>
        <w:t xml:space="preserve">.</w:t>
      </w:r>
    </w:p>
    <w:p>
      <w:pPr>
        <w:pStyle w:val="Heading1"/>
      </w:pPr>
      <w:bookmarkStart w:id="103" w:name="chapter-6"/>
      <w:r>
        <w:t xml:space="preserve">Chapter 6 — Learning by Adjustment</w:t>
      </w:r>
      <w:bookmarkEnd w:id="103"/>
    </w:p>
    <w:p>
      <w:pPr>
        <w:pStyle w:val="FirstParagraph"/>
      </w:pPr>
      <w:r>
        <w:t xml:space="preserve">Chapter 5 followed a typed program from source declaration to observable output. The compiler rejected an invalid field, preserved a declared layout, translated accepted source, and produced an executable. None of those operations changed the program’s parameters in response to examples. The compiler enforced and translated instructions; it did not learn.</w:t>
      </w:r>
    </w:p>
    <w:p>
      <w:pPr>
        <w:pStyle w:val="BodyText"/>
      </w:pPr>
      <w:r>
        <w:t xml:space="preserve">Chapter 4 stopped at a related boundary. A derivative described how a function changed near one point, but no objective selected a preferred direction and no update changed a parameter. A gradient alone is information about local change. Turning that information into training requires additional machinery.</w:t>
      </w:r>
    </w:p>
    <w:p>
      <w:pPr>
        <w:pStyle w:val="BodyText"/>
      </w:pPr>
      <w:r>
        <w:t xml:space="preserve">This chapter adds the smallest complete loop. We will declare a parameterized model, a finite distribution of examples, a scalar loss, a gradient, an update rule, a learning rate, and repeated evaluation. One learning rate will lower the selected objective. A second, larger rate will fail while every other declared component remains fixed.</w:t>
      </w:r>
    </w:p>
    <w:p>
      <w:pPr>
        <w:pStyle w:val="Heading2"/>
      </w:pPr>
      <w:bookmarkStart w:id="104" w:name="X3265169ebfd4c4f3681059cdf04affc716d181e"/>
      <w:r>
        <w:t xml:space="preserve">A Model with Adjustable Parameters</w:t>
      </w:r>
      <w:bookmarkEnd w:id="104"/>
    </w:p>
    <w:p>
      <w:pPr>
        <w:pStyle w:val="FirstParagraph"/>
      </w:pPr>
      <w:r>
        <w:t xml:space="preserve">Consider the affine unit</w:t>
      </w:r>
    </w:p>
    <w:p>
      <w:pPr>
        <w:pStyle w:val="BodyText"/>
      </w:pPr>
      <m:oMathPara>
        <m:oMathParaPr>
          <m:jc m:val="center"/>
        </m:oMathParaPr>
        <m:oMath>
          <m:acc>
            <m:accPr>
              <m:chr m:val="̂"/>
            </m:accPr>
            <m:e>
              <m:r>
                <m:t>y</m:t>
              </m:r>
            </m:e>
          </m:acc>
          <m:r>
            <m:t>=</m:t>
          </m:r>
          <m:r>
            <m:t>w</m:t>
          </m:r>
          <m:r>
            <m:t>x</m:t>
          </m:r>
          <m:r>
            <m:t>+</m:t>
          </m:r>
          <m:r>
            <m:t>b</m:t>
          </m:r>
          <m:r>
            <m:t>.</m:t>
          </m:r>
        </m:oMath>
      </m:oMathPara>
    </w:p>
    <w:p>
      <w:pPr>
        <w:pStyle w:val="FirstParagraph"/>
      </w:pPr>
      <w:r>
        <w:t xml:space="preserve">The input</w:t>
      </w:r>
      <w:r>
        <w:t xml:space="preserve"> </w:t>
      </w:r>
      <m:oMath>
        <m:r>
          <m:t>x</m:t>
        </m:r>
      </m:oMath>
      <w:r>
        <w:t xml:space="preserve"> </w:t>
      </w:r>
      <w:r>
        <w:t xml:space="preserve">is multiplied by a weight</w:t>
      </w:r>
      <w:r>
        <w:t xml:space="preserve"> </w:t>
      </w:r>
      <m:oMath>
        <m:r>
          <m:t>w</m:t>
        </m:r>
      </m:oMath>
      <w:r>
        <w:t xml:space="preserve">, then shifted by a bias</w:t>
      </w:r>
      <w:r>
        <w:t xml:space="preserve"> </w:t>
      </w:r>
      <m:oMath>
        <m:r>
          <m:t>b</m:t>
        </m:r>
      </m:oMath>
      <w:r>
        <w:t xml:space="preserve">. The output</w:t>
      </w:r>
      <w:r>
        <w:t xml:space="preserve"> </w:t>
      </w:r>
      <m:oMath>
        <m:acc>
          <m:accPr>
            <m:chr m:val="̂"/>
          </m:accPr>
          <m:e>
            <m:r>
              <m:t>y</m:t>
            </m:r>
          </m:e>
        </m:acc>
      </m:oMath>
      <w:r>
        <w:t xml:space="preserve"> </w:t>
      </w:r>
      <w:r>
        <w:t xml:space="preserve">is a prediction. At any moment, the ordered pair</w:t>
      </w:r>
      <w:r>
        <w:t xml:space="preserve"> </w:t>
      </w:r>
      <m:oMath>
        <m:r>
          <m:t>(</m:t>
        </m:r>
        <m:r>
          <m:t>w</m:t>
        </m:r>
        <m:r>
          <m:t>,</m:t>
        </m:r>
        <m:r>
          <m:t>b</m:t>
        </m:r>
        <m:r>
          <m:t>)</m:t>
        </m:r>
      </m:oMath>
      <w:r>
        <w:t xml:space="preserve"> </w:t>
      </w:r>
      <w:r>
        <w:t xml:space="preserve">determines the function the unit computes.</w:t>
      </w:r>
    </w:p>
    <w:p>
      <w:pPr>
        <w:pStyle w:val="BodyText"/>
      </w:pPr>
      <w:r>
        <w:t xml:space="preserve">We begin with</w:t>
      </w:r>
    </w:p>
    <w:p>
      <w:pPr>
        <w:pStyle w:val="BodyText"/>
      </w:pPr>
      <m:oMathPara>
        <m:oMathParaPr>
          <m:jc m:val="center"/>
        </m:oMathParaPr>
        <m:oMath>
          <m:r>
            <m:t>w</m:t>
          </m:r>
          <m:r>
            <m:t>=</m:t>
          </m:r>
          <m:r>
            <m:t>0</m:t>
          </m:r>
          <m:r>
            <m:t>,</m:t>
          </m:r>
          <m:r>
            <m:t>  </m:t>
          </m:r>
          <m:r>
            <m:t>b</m:t>
          </m:r>
          <m:r>
            <m:t>=</m:t>
          </m:r>
          <m:r>
            <m:t>0</m:t>
          </m:r>
          <m:r>
            <m:t>.</m:t>
          </m:r>
        </m:oMath>
      </m:oMathPara>
    </w:p>
    <w:p>
      <w:pPr>
        <w:pStyle w:val="FirstParagraph"/>
      </w:pPr>
      <w:r>
        <w:t xml:space="preserve">At this initialization, every input produces the prediction zero. The model has parameters, but nothing has yet selected better values for them.</w:t>
      </w:r>
    </w:p>
    <w:p>
      <w:pPr>
        <w:pStyle w:val="BodyText"/>
      </w:pPr>
      <w:r>
        <w:t xml:space="preserve">The term</w:t>
      </w:r>
      <w:r>
        <w:t xml:space="preserve"> </w:t>
      </w:r>
      <w:r>
        <w:rPr>
          <w:i/>
        </w:rPr>
        <w:t xml:space="preserve">unit</w:t>
      </w:r>
      <w:r>
        <w:t xml:space="preserve"> </w:t>
      </w:r>
      <w:r>
        <w:t xml:space="preserve">is deliberate. This affine computation is one component used in neural systems, but it is not a biological neuron. It has no membrane, metabolism, synapses, or cellular dynamics. Calling it artificial does not erase the distinction.</w:t>
      </w:r>
    </w:p>
    <w:p>
      <w:pPr>
        <w:pStyle w:val="Heading2"/>
      </w:pPr>
      <w:bookmarkStart w:id="105" w:name="chapter-6-examples-and-their-weights"/>
      <w:r>
        <w:t xml:space="preserve">Examples and Their Weights</w:t>
      </w:r>
      <w:bookmarkEnd w:id="105"/>
    </w:p>
    <w:p>
      <w:pPr>
        <w:pStyle w:val="FirstParagraph"/>
      </w:pPr>
      <w:r>
        <w:t xml:space="preserve">The training data contain four examples:</w:t>
      </w:r>
    </w:p>
    <w:tbl>
      <w:tblPr>
        <w:tblStyle w:val="Table"/>
        <w:tblW w:type="pct" w:w="0.0"/>
        <w:tblLook w:firstRow="1"/>
      </w:tblPr>
      <w:tblGrid/>
      <w:tr>
        <w:trPr>
          <w:cnfStyle w:firstRow="1"/>
        </w:trPr>
        <w:tc>
          <w:tcPr>
            <w:tcBorders>
              <w:bottom w:val="single"/>
            </w:tcBorders>
            <w:vAlign w:val="bottom"/>
          </w:tcPr>
          <w:p>
            <w:pPr>
              <w:pStyle w:val="Compact"/>
              <w:jc w:val="right"/>
            </w:pPr>
            <m:oMath>
              <m:r>
                <m:t>x</m:t>
              </m:r>
            </m:oMath>
          </w:p>
        </w:tc>
        <w:tc>
          <w:tcPr>
            <w:tcBorders>
              <w:bottom w:val="single"/>
            </w:tcBorders>
            <w:vAlign w:val="bottom"/>
          </w:tcPr>
          <w:p>
            <w:pPr>
              <w:pStyle w:val="Compact"/>
              <w:jc w:val="right"/>
            </w:pPr>
            <w:r>
              <w:t xml:space="preserve">target</w:t>
            </w:r>
            <w:r>
              <w:t xml:space="preserve"> </w:t>
            </w:r>
            <m:oMath>
              <m:r>
                <m:t>y</m:t>
              </m:r>
            </m:oMath>
          </w:p>
        </w:tc>
        <w:tc>
          <w:tcPr>
            <w:tcBorders>
              <w:bottom w:val="single"/>
            </w:tcBorders>
            <w:vAlign w:val="bottom"/>
          </w:tcPr>
          <w:p>
            <w:pPr>
              <w:pStyle w:val="Compact"/>
              <w:jc w:val="right"/>
            </w:pPr>
            <w:r>
              <w:t xml:space="preserve">probability</w:t>
            </w:r>
          </w:p>
        </w:tc>
      </w:tr>
      <w:tr>
        <w:tc>
          <w:p>
            <w:pPr>
              <w:pStyle w:val="Compact"/>
              <w:jc w:val="right"/>
            </w:pPr>
            <m:oMath>
              <m:r>
                <m:t>−</m:t>
              </m:r>
              <m:r>
                <m:t>1</m:t>
              </m:r>
            </m:oMath>
          </w:p>
        </w:tc>
        <w:tc>
          <w:p>
            <w:pPr>
              <w:pStyle w:val="Compact"/>
              <w:jc w:val="right"/>
            </w:pPr>
            <m:oMath>
              <m:r>
                <m:t>−</m:t>
              </m:r>
              <m:r>
                <m:t>1</m:t>
              </m:r>
            </m:oMath>
          </w:p>
        </w:tc>
        <w:tc>
          <w:p>
            <w:pPr>
              <w:pStyle w:val="Compact"/>
              <w:jc w:val="right"/>
            </w:pPr>
            <m:oMath>
              <m:r>
                <m:t>0.25</m:t>
              </m:r>
            </m:oMath>
          </w:p>
        </w:tc>
      </w:tr>
      <w:tr>
        <w:tc>
          <w:p>
            <w:pPr>
              <w:pStyle w:val="Compact"/>
              <w:jc w:val="right"/>
            </w:pPr>
            <m:oMath>
              <m:r>
                <m:t>0</m:t>
              </m:r>
            </m:oMath>
          </w:p>
        </w:tc>
        <w:tc>
          <w:p>
            <w:pPr>
              <w:pStyle w:val="Compact"/>
              <w:jc w:val="right"/>
            </w:pPr>
            <m:oMath>
              <m:r>
                <m:t>1</m:t>
              </m:r>
            </m:oMath>
          </w:p>
        </w:tc>
        <w:tc>
          <w:p>
            <w:pPr>
              <w:pStyle w:val="Compact"/>
              <w:jc w:val="right"/>
            </w:pPr>
            <m:oMath>
              <m:r>
                <m:t>0.25</m:t>
              </m:r>
            </m:oMath>
          </w:p>
        </w:tc>
      </w:tr>
      <w:tr>
        <w:tc>
          <w:p>
            <w:pPr>
              <w:pStyle w:val="Compact"/>
              <w:jc w:val="right"/>
            </w:pPr>
            <m:oMath>
              <m:r>
                <m:t>1</m:t>
              </m:r>
            </m:oMath>
          </w:p>
        </w:tc>
        <w:tc>
          <w:p>
            <w:pPr>
              <w:pStyle w:val="Compact"/>
              <w:jc w:val="right"/>
            </w:pPr>
            <m:oMath>
              <m:r>
                <m:t>3</m:t>
              </m:r>
            </m:oMath>
          </w:p>
        </w:tc>
        <w:tc>
          <w:p>
            <w:pPr>
              <w:pStyle w:val="Compact"/>
              <w:jc w:val="right"/>
            </w:pPr>
            <m:oMath>
              <m:r>
                <m:t>0.25</m:t>
              </m:r>
            </m:oMath>
          </w:p>
        </w:tc>
      </w:tr>
      <w:tr>
        <w:tc>
          <w:p>
            <w:pPr>
              <w:pStyle w:val="Compact"/>
              <w:jc w:val="right"/>
            </w:pPr>
            <m:oMath>
              <m:r>
                <m:t>2</m:t>
              </m:r>
            </m:oMath>
          </w:p>
        </w:tc>
        <w:tc>
          <w:p>
            <w:pPr>
              <w:pStyle w:val="Compact"/>
              <w:jc w:val="right"/>
            </w:pPr>
            <m:oMath>
              <m:r>
                <m:t>5</m:t>
              </m:r>
            </m:oMath>
          </w:p>
        </w:tc>
        <w:tc>
          <w:p>
            <w:pPr>
              <w:pStyle w:val="Compact"/>
              <w:jc w:val="right"/>
            </w:pPr>
            <m:oMath>
              <m:r>
                <m:t>0.25</m:t>
              </m:r>
            </m:oMath>
          </w:p>
        </w:tc>
      </w:tr>
    </w:tbl>
    <w:p>
      <w:pPr>
        <w:pStyle w:val="BodyText"/>
      </w:pPr>
      <w:r>
        <w:t xml:space="preserve">The targets follow the declared relation</w:t>
      </w:r>
    </w:p>
    <w:p>
      <w:pPr>
        <w:pStyle w:val="BodyText"/>
      </w:pPr>
      <m:oMathPara>
        <m:oMathParaPr>
          <m:jc m:val="center"/>
        </m:oMathParaPr>
        <m:oMath>
          <m:r>
            <m:t>y</m:t>
          </m:r>
          <m:r>
            <m:t>=</m:t>
          </m:r>
          <m:r>
            <m:t>2</m:t>
          </m:r>
          <m:r>
            <m:t>x</m:t>
          </m:r>
          <m:r>
            <m:t>+</m:t>
          </m:r>
          <m:r>
            <m:t>1</m:t>
          </m:r>
          <m:r>
            <m:t>.</m:t>
          </m:r>
        </m:oMath>
      </m:oMathPara>
    </w:p>
    <w:p>
      <w:pPr>
        <w:pStyle w:val="FirstParagraph"/>
      </w:pPr>
      <w:r>
        <w:t xml:space="preserve">The four probabilities sum to one. They make the training objective an expected quantity over this finite distribution, carrying forward Chapter 3’s distinction between admitted alternatives and the weights assigned to them. Equal weighting is a choice in the worked problem, not a property of training data in general.</w:t>
      </w:r>
    </w:p>
    <w:p>
      <w:pPr>
        <w:pStyle w:val="BodyText"/>
      </w:pPr>
      <w:r>
        <w:t xml:space="preserve">Each example produces an error</w:t>
      </w:r>
    </w:p>
    <w:p>
      <w:pPr>
        <w:pStyle w:val="BodyText"/>
      </w:pPr>
      <m:oMathPara>
        <m:oMathParaPr>
          <m:jc m:val="center"/>
        </m:oMathParaPr>
        <m:oMath>
          <m:sSub>
            <m:e>
              <m:r>
                <m:t>e</m:t>
              </m:r>
            </m:e>
            <m:sub>
              <m:r>
                <m:t>i</m:t>
              </m:r>
            </m:sub>
          </m:sSub>
          <m:r>
            <m:t>=</m:t>
          </m:r>
          <m:r>
            <m:t>w</m:t>
          </m:r>
          <m:sSub>
            <m:e>
              <m:r>
                <m:t>x</m:t>
              </m:r>
            </m:e>
            <m:sub>
              <m:r>
                <m:t>i</m:t>
              </m:r>
            </m:sub>
          </m:sSub>
          <m:r>
            <m:t>+</m:t>
          </m:r>
          <m:r>
            <m:t>b</m:t>
          </m:r>
          <m:r>
            <m:t>−</m:t>
          </m:r>
          <m:sSub>
            <m:e>
              <m:r>
                <m:t>y</m:t>
              </m:r>
            </m:e>
            <m:sub>
              <m:r>
                <m:t>i</m:t>
              </m:r>
            </m:sub>
          </m:sSub>
          <m:r>
            <m:t>.</m:t>
          </m:r>
        </m:oMath>
      </m:oMathPara>
    </w:p>
    <w:p>
      <w:pPr>
        <w:pStyle w:val="FirstParagraph"/>
      </w:pPr>
      <w:r>
        <w:t xml:space="preserve">An error belongs to one prediction-target comparison. Training requires a scalar objective that combines the errors across the declared distribution. Here that objective is half the expected squared error:</w:t>
      </w:r>
    </w:p>
    <w:p>
      <w:pPr>
        <w:pStyle w:val="BodyText"/>
      </w:pPr>
      <m:oMathPara>
        <m:oMathParaPr>
          <m:jc m:val="center"/>
        </m:oMathParaPr>
        <m:oMath>
          <m:r>
            <m:t>L</m:t>
          </m:r>
          <m:r>
            <m:t>(</m:t>
          </m:r>
          <m:r>
            <m:t>w</m:t>
          </m:r>
          <m:r>
            <m:t>,</m:t>
          </m:r>
          <m:r>
            <m:t>b</m:t>
          </m:r>
          <m:r>
            <m:t>)</m:t>
          </m:r>
          <m:r>
            <m:t>=</m:t>
          </m:r>
          <m:f>
            <m:fPr>
              <m:type m:val="bar"/>
            </m:fPr>
            <m:num>
              <m:r>
                <m:t>1</m:t>
              </m:r>
            </m:num>
            <m:den>
              <m:r>
                <m:t>2</m:t>
              </m:r>
            </m:den>
          </m:f>
          <m:nary>
            <m:naryPr>
              <m:chr m:val="∑"/>
              <m:limLoc m:val="undOvr"/>
              <m:subHide m:val="0"/>
              <m:supHide m:val="1"/>
            </m:naryPr>
            <m:sub>
              <m:r>
                <m:t>i</m:t>
              </m:r>
            </m:sub>
            <m:sup>
              <m:r>
                <m:t>​</m:t>
              </m:r>
            </m:sup>
            <m:e>
              <m:sSub>
                <m:e>
                  <m:r>
                    <m:t>P</m:t>
                  </m:r>
                </m:e>
                <m:sub>
                  <m:r>
                    <m:t>i</m:t>
                  </m:r>
                </m:sub>
              </m:sSub>
            </m:e>
          </m:nary>
          <m:r>
            <m:t>(</m:t>
          </m:r>
          <m:r>
            <m:t>w</m:t>
          </m:r>
          <m:sSub>
            <m:e>
              <m:r>
                <m:t>x</m:t>
              </m:r>
            </m:e>
            <m:sub>
              <m:r>
                <m:t>i</m:t>
              </m:r>
            </m:sub>
          </m:sSub>
          <m:r>
            <m:t>+</m:t>
          </m:r>
          <m:r>
            <m:t>b</m:t>
          </m:r>
          <m:r>
            <m:t>−</m:t>
          </m:r>
          <m:sSub>
            <m:e>
              <m:r>
                <m:t>y</m:t>
              </m:r>
            </m:e>
            <m:sub>
              <m:r>
                <m:t>i</m:t>
              </m:r>
            </m:sub>
          </m:sSub>
          <m:sSup>
            <m:e>
              <m:r>
                <m:t>)</m:t>
              </m:r>
            </m:e>
            <m:sup>
              <m:r>
                <m:t>2</m:t>
              </m:r>
            </m:sup>
          </m:sSup>
          <m:r>
            <m:t>.</m:t>
          </m:r>
        </m:oMath>
      </m:oMathPara>
    </w:p>
    <w:p>
      <w:pPr>
        <w:pStyle w:val="FirstParagraph"/>
      </w:pPr>
      <w:r>
        <w:t xml:space="preserve">Squaring prevents positive and negative errors from canceling. The factor of one half simplifies the derivative. Neither choice makes this loss universal. It is the objective selected for this model and these examples.</w:t>
      </w:r>
    </w:p>
    <w:p>
      <w:pPr>
        <w:pStyle w:val="BodyText"/>
      </w:pPr>
      <w:r>
        <w:t xml:space="preserve">At</w:t>
      </w:r>
      <w:r>
        <w:t xml:space="preserve"> </w:t>
      </w:r>
      <m:oMath>
        <m:r>
          <m:t>(</m:t>
        </m:r>
        <m:r>
          <m:t>w</m:t>
        </m:r>
        <m:r>
          <m:t>,</m:t>
        </m:r>
        <m:r>
          <m:t>b</m:t>
        </m:r>
        <m:r>
          <m:t>)</m:t>
        </m:r>
        <m:r>
          <m:t>=</m:t>
        </m:r>
        <m:r>
          <m:t>(</m:t>
        </m:r>
        <m:r>
          <m:t>0</m:t>
        </m:r>
        <m:r>
          <m:t>,</m:t>
        </m:r>
        <m:r>
          <m:t>0</m:t>
        </m:r>
        <m:r>
          <m:t>)</m:t>
        </m:r>
      </m:oMath>
      <w:r>
        <w:t xml:space="preserve">, the four errors are</w:t>
      </w:r>
      <w:r>
        <w:t xml:space="preserve"> </w:t>
      </w:r>
      <m:oMath>
        <m:r>
          <m:t>1</m:t>
        </m:r>
      </m:oMath>
      <w:r>
        <w:t xml:space="preserve">,</w:t>
      </w:r>
      <w:r>
        <w:t xml:space="preserve"> </w:t>
      </w:r>
      <m:oMath>
        <m:r>
          <m:t>−</m:t>
        </m:r>
        <m:r>
          <m:t>1</m:t>
        </m:r>
      </m:oMath>
      <w:r>
        <w:t xml:space="preserve">,</w:t>
      </w:r>
      <w:r>
        <w:t xml:space="preserve"> </w:t>
      </w:r>
      <m:oMath>
        <m:r>
          <m:t>−</m:t>
        </m:r>
        <m:r>
          <m:t>3</m:t>
        </m:r>
      </m:oMath>
      <w:r>
        <w:t xml:space="preserve">, and</w:t>
      </w:r>
      <w:r>
        <w:t xml:space="preserve"> </w:t>
      </w:r>
      <m:oMath>
        <m:r>
          <m:t>−</m:t>
        </m:r>
        <m:r>
          <m:t>5</m:t>
        </m:r>
      </m:oMath>
      <w:r>
        <w:t xml:space="preserve">. Substitution gives</w:t>
      </w:r>
    </w:p>
    <w:p>
      <w:pPr>
        <w:pStyle w:val="BodyText"/>
      </w:pPr>
      <m:oMathPara>
        <m:oMathParaPr>
          <m:jc m:val="center"/>
        </m:oMathParaPr>
        <m:oMath>
          <m:r>
            <m:t>L</m:t>
          </m:r>
          <m:r>
            <m:t>(</m:t>
          </m:r>
          <m:r>
            <m:t>0</m:t>
          </m:r>
          <m:r>
            <m:t>,</m:t>
          </m:r>
          <m:r>
            <m:t>0</m:t>
          </m:r>
          <m:r>
            <m:t>)</m:t>
          </m:r>
          <m:r>
            <m:t>=</m:t>
          </m:r>
          <m:r>
            <m:t>4.5</m:t>
          </m:r>
          <m:r>
            <m:t>.</m:t>
          </m:r>
        </m:oMath>
      </m:oMathPara>
    </w:p>
    <w:p>
      <w:pPr>
        <w:pStyle w:val="FirstParagraph"/>
      </w:pPr>
      <w:r>
        <w:t xml:space="preserve">This number evaluates the current parameters against the declared training objective. It does not measure intelligence, understanding, or performance on examples that are not present.</w:t>
      </w:r>
    </w:p>
    <w:p>
      <w:pPr>
        <w:pStyle w:val="Heading2"/>
      </w:pPr>
      <w:bookmarkStart w:id="106" w:name="chapter-6-from-loss-to-gradient"/>
      <w:r>
        <w:t xml:space="preserve">From Loss to Gradient</w:t>
      </w:r>
      <w:bookmarkEnd w:id="106"/>
    </w:p>
    <w:p>
      <w:pPr>
        <w:pStyle w:val="FirstParagraph"/>
      </w:pPr>
      <w:r>
        <w:t xml:space="preserve">The loss is a scalar-valued function of two parameters. Its gradient collects the two partial derivatives:</w:t>
      </w:r>
    </w:p>
    <w:p>
      <w:pPr>
        <w:pStyle w:val="BodyText"/>
      </w:pPr>
      <m:oMathPara>
        <m:oMathParaPr>
          <m:jc m:val="center"/>
        </m:oMathParaPr>
        <m:oMath>
          <m:r>
            <m:t>∇</m:t>
          </m:r>
          <m:r>
            <m:t>L</m:t>
          </m:r>
          <m:r>
            <m:t>(</m:t>
          </m:r>
          <m:r>
            <m:t>w</m:t>
          </m:r>
          <m:r>
            <m:t>,</m:t>
          </m:r>
          <m:r>
            <m:t>b</m:t>
          </m:r>
          <m:r>
            <m:t>)</m:t>
          </m:r>
          <m:r>
            <m:t>=</m:t>
          </m:r>
          <m:d>
            <m:dPr>
              <m:begChr m:val="["/>
              <m:endChr m:val="]"/>
              <m:grow/>
            </m:dPr>
            <m:e>
              <m:m>
                <m:mPr>
                  <m:baseJc m:val="center"/>
                  <m:plcHide m:val="1"/>
                  <m:mcs>
                    <m:mc>
                      <m:mcPr>
                        <m:mcJc m:val="center"/>
                        <m:count m:val="1"/>
                      </m:mcPr>
                    </m:mc>
                  </m:mcs>
                </m:mPr>
                <m:mr>
                  <m:e>
                    <m:f>
                      <m:fPr>
                        <m:type m:val="bar"/>
                      </m:fPr>
                      <m:num>
                        <m:r>
                          <m:t>∂</m:t>
                        </m:r>
                        <m:r>
                          <m:t>L</m:t>
                        </m:r>
                      </m:num>
                      <m:den>
                        <m:r>
                          <m:t>∂</m:t>
                        </m:r>
                        <m:r>
                          <m:t>w</m:t>
                        </m:r>
                      </m:den>
                    </m:f>
                  </m:e>
                </m:mr>
                <m:mr>
                  <m:e>
                    <m:f>
                      <m:fPr>
                        <m:type m:val="bar"/>
                      </m:fPr>
                      <m:num>
                        <m:r>
                          <m:t>∂</m:t>
                        </m:r>
                        <m:r>
                          <m:t>L</m:t>
                        </m:r>
                      </m:num>
                      <m:den>
                        <m:r>
                          <m:t>∂</m:t>
                        </m:r>
                        <m:r>
                          <m:t>b</m:t>
                        </m:r>
                      </m:den>
                    </m:f>
                  </m:e>
                </m:mr>
              </m:m>
            </m:e>
          </m:d>
          <m:r>
            <m:t>.</m:t>
          </m:r>
        </m:oMath>
      </m:oMathPara>
    </w:p>
    <w:p>
      <w:pPr>
        <w:pStyle w:val="FirstParagraph"/>
      </w:pPr>
      <w:r>
        <w:t xml:space="preserve">Differentiating the declared loss gives</w:t>
      </w:r>
    </w:p>
    <w:p>
      <w:pPr>
        <w:pStyle w:val="BodyText"/>
      </w:pPr>
      <m:oMathPara>
        <m:oMathParaPr>
          <m:jc m:val="center"/>
        </m:oMathParaPr>
        <m:oMath>
          <m:f>
            <m:fPr>
              <m:type m:val="bar"/>
            </m:fPr>
            <m:num>
              <m:r>
                <m:t>∂</m:t>
              </m:r>
              <m:r>
                <m:t>L</m:t>
              </m:r>
            </m:num>
            <m:den>
              <m:r>
                <m:t>∂</m:t>
              </m:r>
              <m:r>
                <m:t>w</m:t>
              </m:r>
            </m:den>
          </m:f>
          <m:r>
            <m:t>=</m:t>
          </m:r>
          <m:nary>
            <m:naryPr>
              <m:chr m:val="∑"/>
              <m:limLoc m:val="undOvr"/>
              <m:subHide m:val="0"/>
              <m:supHide m:val="1"/>
            </m:naryPr>
            <m:sub>
              <m:r>
                <m:t>i</m:t>
              </m:r>
            </m:sub>
            <m:sup>
              <m:r>
                <m:t>​</m:t>
              </m:r>
            </m:sup>
            <m:e>
              <m:sSub>
                <m:e>
                  <m:r>
                    <m:t>P</m:t>
                  </m:r>
                </m:e>
                <m:sub>
                  <m:r>
                    <m:t>i</m:t>
                  </m:r>
                </m:sub>
              </m:sSub>
            </m:e>
          </m:nary>
          <m:r>
            <m:t>(</m:t>
          </m:r>
          <m:r>
            <m:t>w</m:t>
          </m:r>
          <m:sSub>
            <m:e>
              <m:r>
                <m:t>x</m:t>
              </m:r>
            </m:e>
            <m:sub>
              <m:r>
                <m:t>i</m:t>
              </m:r>
            </m:sub>
          </m:sSub>
          <m:r>
            <m:t>+</m:t>
          </m:r>
          <m:r>
            <m:t>b</m:t>
          </m:r>
          <m:r>
            <m:t>−</m:t>
          </m:r>
          <m:sSub>
            <m:e>
              <m:r>
                <m:t>y</m:t>
              </m:r>
            </m:e>
            <m:sub>
              <m:r>
                <m:t>i</m:t>
              </m:r>
            </m:sub>
          </m:sSub>
          <m:r>
            <m:t>)</m:t>
          </m:r>
          <m:sSub>
            <m:e>
              <m:r>
                <m:t>x</m:t>
              </m:r>
            </m:e>
            <m:sub>
              <m:r>
                <m:t>i</m:t>
              </m:r>
            </m:sub>
          </m:sSub>
        </m:oMath>
      </m:oMathPara>
    </w:p>
    <w:p>
      <w:pPr>
        <w:pStyle w:val="FirstParagraph"/>
      </w:pPr>
      <w:r>
        <w:t xml:space="preserve">and</w:t>
      </w:r>
    </w:p>
    <w:p>
      <w:pPr>
        <w:pStyle w:val="BodyText"/>
      </w:pPr>
      <m:oMathPara>
        <m:oMathParaPr>
          <m:jc m:val="center"/>
        </m:oMathParaPr>
        <m:oMath>
          <m:f>
            <m:fPr>
              <m:type m:val="bar"/>
            </m:fPr>
            <m:num>
              <m:r>
                <m:t>∂</m:t>
              </m:r>
              <m:r>
                <m:t>L</m:t>
              </m:r>
            </m:num>
            <m:den>
              <m:r>
                <m:t>∂</m:t>
              </m:r>
              <m:r>
                <m:t>b</m:t>
              </m:r>
            </m:den>
          </m:f>
          <m:r>
            <m:t>=</m:t>
          </m:r>
          <m:nary>
            <m:naryPr>
              <m:chr m:val="∑"/>
              <m:limLoc m:val="undOvr"/>
              <m:subHide m:val="0"/>
              <m:supHide m:val="1"/>
            </m:naryPr>
            <m:sub>
              <m:r>
                <m:t>i</m:t>
              </m:r>
            </m:sub>
            <m:sup>
              <m:r>
                <m:t>​</m:t>
              </m:r>
            </m:sup>
            <m:e>
              <m:sSub>
                <m:e>
                  <m:r>
                    <m:t>P</m:t>
                  </m:r>
                </m:e>
                <m:sub>
                  <m:r>
                    <m:t>i</m:t>
                  </m:r>
                </m:sub>
              </m:sSub>
            </m:e>
          </m:nary>
          <m:r>
            <m:t>(</m:t>
          </m:r>
          <m:r>
            <m:t>w</m:t>
          </m:r>
          <m:sSub>
            <m:e>
              <m:r>
                <m:t>x</m:t>
              </m:r>
            </m:e>
            <m:sub>
              <m:r>
                <m:t>i</m:t>
              </m:r>
            </m:sub>
          </m:sSub>
          <m:r>
            <m:t>+</m:t>
          </m:r>
          <m:r>
            <m:t>b</m:t>
          </m:r>
          <m:r>
            <m:t>−</m:t>
          </m:r>
          <m:sSub>
            <m:e>
              <m:r>
                <m:t>y</m:t>
              </m:r>
            </m:e>
            <m:sub>
              <m:r>
                <m:t>i</m:t>
              </m:r>
            </m:sub>
          </m:sSub>
          <m:r>
            <m:t>)</m:t>
          </m:r>
          <m:r>
            <m:t>.</m:t>
          </m:r>
        </m:oMath>
      </m:oMathPara>
    </w:p>
    <w:p>
      <w:pPr>
        <w:pStyle w:val="FirstParagraph"/>
      </w:pPr>
      <w:r>
        <w:t xml:space="preserve">At the initial parameters, these expressions produce</w:t>
      </w:r>
    </w:p>
    <w:p>
      <w:pPr>
        <w:pStyle w:val="BodyText"/>
      </w:pPr>
      <m:oMathPara>
        <m:oMathParaPr>
          <m:jc m:val="center"/>
        </m:oMathParaPr>
        <m:oMath>
          <m:r>
            <m:t>∇</m:t>
          </m:r>
          <m:r>
            <m:t>L</m:t>
          </m:r>
          <m:r>
            <m:t>(</m:t>
          </m:r>
          <m:r>
            <m:t>0</m:t>
          </m:r>
          <m:r>
            <m:t>,</m:t>
          </m:r>
          <m:r>
            <m:t>0</m:t>
          </m:r>
          <m:r>
            <m:t>)</m:t>
          </m:r>
          <m:r>
            <m:t>=</m:t>
          </m:r>
          <m:r>
            <m:t>(</m:t>
          </m:r>
          <m:r>
            <m:t>−</m:t>
          </m:r>
          <m:r>
            <m:t>3.5</m:t>
          </m:r>
          <m:r>
            <m:t>,</m:t>
          </m:r>
          <m:r>
            <m:t>−</m:t>
          </m:r>
          <m:r>
            <m:t>2.0</m:t>
          </m:r>
          <m:r>
            <m:t>)</m:t>
          </m:r>
          <m:r>
            <m:t>.</m:t>
          </m:r>
        </m:oMath>
      </m:oMathPara>
    </w:p>
    <w:p>
      <w:pPr>
        <w:pStyle w:val="FirstParagraph"/>
      </w:pPr>
      <w:r>
        <w:t xml:space="preserve">Under the usual Euclidean geometry, the gradient points in the direction of steepest local increase. Its negative points toward local decrease. The word</w:t>
      </w:r>
      <w:r>
        <w:t xml:space="preserve"> </w:t>
      </w:r>
      <w:r>
        <w:rPr>
          <w:i/>
        </w:rPr>
        <w:t xml:space="preserve">local</w:t>
      </w:r>
      <w:r>
        <w:t xml:space="preserve"> </w:t>
      </w:r>
      <w:r>
        <w:t xml:space="preserve">remains essential: the derivative describes change near the current parameters, not the behavior of every possible finite step.</w:t>
      </w:r>
    </w:p>
    <w:p>
      <w:pPr>
        <w:pStyle w:val="BodyText"/>
      </w:pPr>
      <w:r>
        <w:t xml:space="preserve">The probe checks the analytic gradient with central finite differences. For the weight component, it evaluates</w:t>
      </w:r>
    </w:p>
    <w:p>
      <w:pPr>
        <w:pStyle w:val="BodyText"/>
      </w:pPr>
      <m:oMathPara>
        <m:oMathParaPr>
          <m:jc m:val="center"/>
        </m:oMathParaPr>
        <m:oMath>
          <m:f>
            <m:fPr>
              <m:type m:val="bar"/>
            </m:fPr>
            <m:num>
              <m:r>
                <m:t>L</m:t>
              </m:r>
              <m:r>
                <m:t>(</m:t>
              </m:r>
              <m:r>
                <m:t>w</m:t>
              </m:r>
              <m:r>
                <m:t>+</m:t>
              </m:r>
              <m:r>
                <m:t>h</m:t>
              </m:r>
              <m:r>
                <m:t>,</m:t>
              </m:r>
              <m:r>
                <m:t>b</m:t>
              </m:r>
              <m:r>
                <m:t>)</m:t>
              </m:r>
              <m:r>
                <m:t>−</m:t>
              </m:r>
              <m:r>
                <m:t>L</m:t>
              </m:r>
              <m:r>
                <m:t>(</m:t>
              </m:r>
              <m:r>
                <m:t>w</m:t>
              </m:r>
              <m:r>
                <m:t>−</m:t>
              </m:r>
              <m:r>
                <m:t>h</m:t>
              </m:r>
              <m:r>
                <m:t>,</m:t>
              </m:r>
              <m:r>
                <m:t>b</m:t>
              </m:r>
              <m:r>
                <m:t>)</m:t>
              </m:r>
            </m:num>
            <m:den>
              <m:r>
                <m:t>2</m:t>
              </m:r>
              <m:r>
                <m:t>h</m:t>
              </m:r>
            </m:den>
          </m:f>
          <m:r>
            <m:t>,</m:t>
          </m:r>
        </m:oMath>
      </m:oMathPara>
    </w:p>
    <w:p>
      <w:pPr>
        <w:pStyle w:val="FirstParagraph"/>
      </w:pPr>
      <w:r>
        <w:t xml:space="preserve">with a corresponding expression for the bias and</w:t>
      </w:r>
      <w:r>
        <w:t xml:space="preserve"> </w:t>
      </w:r>
      <m:oMath>
        <m:r>
          <m:t>h</m:t>
        </m:r>
        <m:r>
          <m:t>=</m:t>
        </m:r>
        <m:sSup>
          <m:e>
            <m:r>
              <m:t>10</m:t>
            </m:r>
          </m:e>
          <m:sup>
            <m:r>
              <m:t>−</m:t>
            </m:r>
            <m:r>
              <m:t>6</m:t>
            </m:r>
          </m:sup>
        </m:sSup>
      </m:oMath>
      <w:r>
        <w:t xml:space="preserve">. The numerical result is approximately</w:t>
      </w:r>
    </w:p>
    <w:p>
      <w:pPr>
        <w:pStyle w:val="BodyText"/>
      </w:pPr>
      <m:oMathPara>
        <m:oMathParaPr>
          <m:jc m:val="center"/>
        </m:oMathParaPr>
        <m:oMath>
          <m:r>
            <m:t>(</m:t>
          </m:r>
          <m:r>
            <m:t>−</m:t>
          </m:r>
          <m:r>
            <m:t>3.50000000049</m:t>
          </m:r>
          <m:r>
            <m:t>,</m:t>
          </m:r>
          <m:r>
            <m:t>−</m:t>
          </m:r>
          <m:r>
            <m:t>2.00000000028</m:t>
          </m:r>
          <m:r>
            <m:t>)</m:t>
          </m:r>
          <m:r>
            <m:t>.</m:t>
          </m:r>
        </m:oMath>
      </m:oMathPara>
    </w:p>
    <w:p>
      <w:pPr>
        <w:pStyle w:val="FirstParagraph"/>
      </w:pPr>
      <w:r>
        <w:t xml:space="preserve">Both absolute differences from the analytic components are below</w:t>
      </w:r>
      <w:r>
        <w:t xml:space="preserve"> </w:t>
      </w:r>
      <m:oMath>
        <m:r>
          <m:t>5</m:t>
        </m:r>
        <m:r>
          <m:t>×</m:t>
        </m:r>
        <m:sSup>
          <m:e>
            <m:r>
              <m:t>10</m:t>
            </m:r>
          </m:e>
          <m:sup>
            <m:r>
              <m:t>−</m:t>
            </m:r>
            <m:r>
              <m:t>10</m:t>
            </m:r>
          </m:sup>
        </m:sSup>
      </m:oMath>
      <w:r>
        <w:t xml:space="preserve">. This agreement checks the implemented formulas at the initial point. It does not prove that every derivative implementation is correct.</w:t>
      </w:r>
    </w:p>
    <w:p>
      <w:pPr>
        <w:pStyle w:val="Heading2"/>
      </w:pPr>
      <w:bookmarkStart w:id="107" w:name="chapter-6-an-update-is-a-decision"/>
      <w:r>
        <w:t xml:space="preserve">An Update Is a Decision</w:t>
      </w:r>
      <w:bookmarkEnd w:id="107"/>
    </w:p>
    <w:p>
      <w:pPr>
        <w:pStyle w:val="FirstParagraph"/>
      </w:pPr>
      <w:r>
        <w:t xml:space="preserve">The gradient does not alter the parameters. An update rule must use it. Gradient descent applies</w:t>
      </w:r>
    </w:p>
    <w:p>
      <w:pPr>
        <w:pStyle w:val="BodyText"/>
      </w:pPr>
      <m:oMathPara>
        <m:oMathParaPr>
          <m:jc m:val="center"/>
        </m:oMathParaPr>
        <m:oMath>
          <m:r>
            <m:t>(</m:t>
          </m:r>
          <m:r>
            <m:t>w</m:t>
          </m:r>
          <m:r>
            <m:t>,</m:t>
          </m:r>
          <m:r>
            <m:t>b</m:t>
          </m:r>
          <m:r>
            <m:t>)</m:t>
          </m:r>
          <m:r>
            <m:t>←</m:t>
          </m:r>
          <m:r>
            <m:t>(</m:t>
          </m:r>
          <m:r>
            <m:t>w</m:t>
          </m:r>
          <m:r>
            <m:t>,</m:t>
          </m:r>
          <m:r>
            <m:t>b</m:t>
          </m:r>
          <m:r>
            <m:t>)</m:t>
          </m:r>
          <m:r>
            <m:t>−</m:t>
          </m:r>
          <m:r>
            <m:t>η</m:t>
          </m:r>
          <m:r>
            <m:t>∇</m:t>
          </m:r>
          <m:r>
            <m:t>L</m:t>
          </m:r>
          <m:r>
            <m:t>(</m:t>
          </m:r>
          <m:r>
            <m:t>w</m:t>
          </m:r>
          <m:r>
            <m:t>,</m:t>
          </m:r>
          <m:r>
            <m:t>b</m:t>
          </m:r>
          <m:r>
            <m:t>)</m:t>
          </m:r>
          <m:r>
            <m:t>,</m:t>
          </m:r>
        </m:oMath>
      </m:oMathPara>
    </w:p>
    <w:p>
      <w:pPr>
        <w:pStyle w:val="FirstParagraph"/>
      </w:pPr>
      <w:r>
        <w:t xml:space="preserve">where</w:t>
      </w:r>
      <w:r>
        <w:t xml:space="preserve"> </w:t>
      </w:r>
      <m:oMath>
        <m:r>
          <m:t>η</m:t>
        </m:r>
      </m:oMath>
      <w:r>
        <w:t xml:space="preserve"> </w:t>
      </w:r>
      <w:r>
        <w:t xml:space="preserve">is the learning rate.</w:t>
      </w:r>
    </w:p>
    <w:p>
      <w:pPr>
        <w:pStyle w:val="BodyText"/>
      </w:pPr>
      <w:r>
        <w:t xml:space="preserve">The learning rate scales the update. It is not part of the gradient and does not change the direction reported by the derivative. With</w:t>
      </w:r>
      <w:r>
        <w:t xml:space="preserve"> </w:t>
      </w:r>
      <m:oMath>
        <m:r>
          <m:t>η</m:t>
        </m:r>
        <m:r>
          <m:t>=</m:t>
        </m:r>
        <m:r>
          <m:t>0.2</m:t>
        </m:r>
      </m:oMath>
      <w:r>
        <w:t xml:space="preserve">, the first step is</w:t>
      </w:r>
    </w:p>
    <w:p>
      <w:pPr>
        <w:pStyle w:val="BodyText"/>
      </w:pPr>
      <m:oMathPara>
        <m:oMathParaPr>
          <m:jc m:val="center"/>
        </m:oMathParaPr>
        <m:oMath>
          <m:r>
            <m:t>(</m:t>
          </m:r>
          <m:r>
            <m:t>0</m:t>
          </m:r>
          <m:r>
            <m:t>,</m:t>
          </m:r>
          <m:r>
            <m:t>0</m:t>
          </m:r>
          <m:r>
            <m:t>)</m:t>
          </m:r>
          <m:r>
            <m:t>−</m:t>
          </m:r>
          <m:r>
            <m:t>0.2</m:t>
          </m:r>
          <m:r>
            <m:t>(</m:t>
          </m:r>
          <m:r>
            <m:t>−</m:t>
          </m:r>
          <m:r>
            <m:t>3.5</m:t>
          </m:r>
          <m:r>
            <m:t>,</m:t>
          </m:r>
          <m:r>
            <m:t>−</m:t>
          </m:r>
          <m:r>
            <m:t>2.0</m:t>
          </m:r>
          <m:r>
            <m:t>)</m:t>
          </m:r>
          <m:r>
            <m:t>=</m:t>
          </m:r>
          <m:r>
            <m:t>(</m:t>
          </m:r>
          <m:r>
            <m:t>0.7</m:t>
          </m:r>
          <m:r>
            <m:t>,</m:t>
          </m:r>
          <m:r>
            <m:t>0.4</m:t>
          </m:r>
          <m:r>
            <m:t>)</m:t>
          </m:r>
          <m:r>
            <m:t>.</m:t>
          </m:r>
        </m:oMath>
      </m:oMathPara>
    </w:p>
    <w:p>
      <w:pPr>
        <w:pStyle w:val="FirstParagraph"/>
      </w:pPr>
      <w:r>
        <w:t xml:space="preserve">Evaluating the loss again gives</w:t>
      </w:r>
    </w:p>
    <w:p>
      <w:pPr>
        <w:pStyle w:val="BodyText"/>
      </w:pPr>
      <m:oMathPara>
        <m:oMathParaPr>
          <m:jc m:val="center"/>
        </m:oMathParaPr>
        <m:oMath>
          <m:r>
            <m:t>L</m:t>
          </m:r>
          <m:r>
            <m:t>(</m:t>
          </m:r>
          <m:r>
            <m:t>0.7</m:t>
          </m:r>
          <m:r>
            <m:t>,</m:t>
          </m:r>
          <m:r>
            <m:t>0.4</m:t>
          </m:r>
          <m:r>
            <m:t>)</m:t>
          </m:r>
          <m:r>
            <m:t>=</m:t>
          </m:r>
          <m:r>
            <m:t>1.8375</m:t>
          </m:r>
          <m:r>
            <m:t>.</m:t>
          </m:r>
        </m:oMath>
      </m:oMathPara>
    </w:p>
    <w:p>
      <w:pPr>
        <w:pStyle w:val="FirstParagraph"/>
      </w:pPr>
      <w:r>
        <w:t xml:space="preserve">For this step, the chosen update lowers the loss from</w:t>
      </w:r>
      <w:r>
        <w:t xml:space="preserve"> </w:t>
      </w:r>
      <m:oMath>
        <m:r>
          <m:t>4.5</m:t>
        </m:r>
      </m:oMath>
      <w:r>
        <w:t xml:space="preserve"> </w:t>
      </w:r>
      <w:r>
        <w:t xml:space="preserve">to</w:t>
      </w:r>
      <w:r>
        <w:t xml:space="preserve"> </w:t>
      </w:r>
      <m:oMath>
        <m:r>
          <m:t>1.8375</m:t>
        </m:r>
      </m:oMath>
      <w:r>
        <w:t xml:space="preserve">. That observation supports a claim about one update under one declared rate. Training becomes a loop only when the system evaluates the updated parameters and repeats the process.</w:t>
      </w:r>
    </w:p>
    <w:p>
      <w:pPr>
        <w:pStyle w:val="Heading2"/>
      </w:pPr>
      <w:bookmarkStart w:id="108" w:name="chapter-6-the-repeated-loop"/>
      <w:r>
        <w:t xml:space="preserve">The Repeated Loop</w:t>
      </w:r>
      <w:bookmarkEnd w:id="108"/>
    </w:p>
    <w:p>
      <w:pPr>
        <w:pStyle w:val="FirstParagraph"/>
      </w:pPr>
      <w:r>
        <w:t xml:space="preserve">The probe performs 12 updates. At each recorded position it predicts, measures loss, computes the gradient, and updates the parameters. Selected points from the trace are:</w:t>
      </w:r>
    </w:p>
    <w:tbl>
      <w:tblPr>
        <w:tblStyle w:val="Table"/>
        <w:tblW w:type="pct" w:w="0.0"/>
        <w:tblLook w:firstRow="1"/>
      </w:tblPr>
      <w:tblGrid/>
      <w:tr>
        <w:trPr>
          <w:cnfStyle w:firstRow="1"/>
        </w:trPr>
        <w:tc>
          <w:tcPr>
            <w:tcBorders>
              <w:bottom w:val="single"/>
            </w:tcBorders>
            <w:vAlign w:val="bottom"/>
          </w:tcPr>
          <w:p>
            <w:pPr>
              <w:pStyle w:val="Compact"/>
              <w:jc w:val="right"/>
            </w:pPr>
            <w:r>
              <w:t xml:space="preserve">step</w:t>
            </w:r>
          </w:p>
        </w:tc>
        <w:tc>
          <w:tcPr>
            <w:tcBorders>
              <w:bottom w:val="single"/>
            </w:tcBorders>
            <w:vAlign w:val="bottom"/>
          </w:tcPr>
          <w:p>
            <w:pPr>
              <w:pStyle w:val="Compact"/>
              <w:jc w:val="right"/>
            </w:pPr>
            <w:r>
              <w:t xml:space="preserve">weight</w:t>
            </w:r>
          </w:p>
        </w:tc>
        <w:tc>
          <w:tcPr>
            <w:tcBorders>
              <w:bottom w:val="single"/>
            </w:tcBorders>
            <w:vAlign w:val="bottom"/>
          </w:tcPr>
          <w:p>
            <w:pPr>
              <w:pStyle w:val="Compact"/>
              <w:jc w:val="right"/>
            </w:pPr>
            <w:r>
              <w:t xml:space="preserve">bias</w:t>
            </w:r>
          </w:p>
        </w:tc>
        <w:tc>
          <w:tcPr>
            <w:tcBorders>
              <w:bottom w:val="single"/>
            </w:tcBorders>
            <w:vAlign w:val="bottom"/>
          </w:tcPr>
          <w:p>
            <w:pPr>
              <w:pStyle w:val="Compact"/>
              <w:jc w:val="right"/>
            </w:pPr>
            <w:r>
              <w:t xml:space="preserve">loss</w:t>
            </w:r>
          </w:p>
        </w:tc>
      </w:tr>
      <w:tr>
        <w:tc>
          <w:p>
            <w:pPr>
              <w:pStyle w:val="Compact"/>
              <w:jc w:val="right"/>
            </w:pPr>
            <w:r>
              <w:t xml:space="preserve">0</w:t>
            </w:r>
          </w:p>
        </w:tc>
        <w:tc>
          <w:p>
            <w:pPr>
              <w:pStyle w:val="Compact"/>
              <w:jc w:val="right"/>
            </w:pPr>
            <w:r>
              <w:t xml:space="preserve">0.000000</w:t>
            </w:r>
          </w:p>
        </w:tc>
        <w:tc>
          <w:p>
            <w:pPr>
              <w:pStyle w:val="Compact"/>
              <w:jc w:val="right"/>
            </w:pPr>
            <w:r>
              <w:t xml:space="preserve">0.000000</w:t>
            </w:r>
          </w:p>
        </w:tc>
        <w:tc>
          <w:p>
            <w:pPr>
              <w:pStyle w:val="Compact"/>
              <w:jc w:val="right"/>
            </w:pPr>
            <w:r>
              <w:t xml:space="preserve">4.500000</w:t>
            </w:r>
          </w:p>
        </w:tc>
      </w:tr>
      <w:tr>
        <w:tc>
          <w:p>
            <w:pPr>
              <w:pStyle w:val="Compact"/>
              <w:jc w:val="right"/>
            </w:pPr>
            <w:r>
              <w:t xml:space="preserve">1</w:t>
            </w:r>
          </w:p>
        </w:tc>
        <w:tc>
          <w:p>
            <w:pPr>
              <w:pStyle w:val="Compact"/>
              <w:jc w:val="right"/>
            </w:pPr>
            <w:r>
              <w:t xml:space="preserve">0.700000</w:t>
            </w:r>
          </w:p>
        </w:tc>
        <w:tc>
          <w:p>
            <w:pPr>
              <w:pStyle w:val="Compact"/>
              <w:jc w:val="right"/>
            </w:pPr>
            <w:r>
              <w:t xml:space="preserve">0.400000</w:t>
            </w:r>
          </w:p>
        </w:tc>
        <w:tc>
          <w:p>
            <w:pPr>
              <w:pStyle w:val="Compact"/>
              <w:jc w:val="right"/>
            </w:pPr>
            <w:r>
              <w:t xml:space="preserve">1.837500</w:t>
            </w:r>
          </w:p>
        </w:tc>
      </w:tr>
      <w:tr>
        <w:tc>
          <w:p>
            <w:pPr>
              <w:pStyle w:val="Compact"/>
              <w:jc w:val="right"/>
            </w:pPr>
            <w:r>
              <w:t xml:space="preserve">3</w:t>
            </w:r>
          </w:p>
        </w:tc>
        <w:tc>
          <w:p>
            <w:pPr>
              <w:pStyle w:val="Compact"/>
              <w:jc w:val="right"/>
            </w:pPr>
            <w:r>
              <w:t xml:space="preserve">1.440000</w:t>
            </w:r>
          </w:p>
        </w:tc>
        <w:tc>
          <w:p>
            <w:pPr>
              <w:pStyle w:val="Compact"/>
              <w:jc w:val="right"/>
            </w:pPr>
            <w:r>
              <w:t xml:space="preserve">0.805000</w:t>
            </w:r>
          </w:p>
        </w:tc>
        <w:tc>
          <w:p>
            <w:pPr>
              <w:pStyle w:val="Compact"/>
              <w:jc w:val="right"/>
            </w:pPr>
            <w:r>
              <w:t xml:space="preserve">0.308812</w:t>
            </w:r>
          </w:p>
        </w:tc>
      </w:tr>
      <w:tr>
        <w:tc>
          <w:p>
            <w:pPr>
              <w:pStyle w:val="Compact"/>
              <w:jc w:val="right"/>
            </w:pPr>
            <w:r>
              <w:t xml:space="preserve">6</w:t>
            </w:r>
          </w:p>
        </w:tc>
        <w:tc>
          <w:p>
            <w:pPr>
              <w:pStyle w:val="Compact"/>
              <w:jc w:val="right"/>
            </w:pPr>
            <w:r>
              <w:t xml:space="preserve">1.828750</w:t>
            </w:r>
          </w:p>
        </w:tc>
        <w:tc>
          <w:p>
            <w:pPr>
              <w:pStyle w:val="Compact"/>
              <w:jc w:val="right"/>
            </w:pPr>
            <w:r>
              <w:t xml:space="preserve">0.990875</w:t>
            </w:r>
          </w:p>
        </w:tc>
        <w:tc>
          <w:p>
            <w:pPr>
              <w:pStyle w:val="Compact"/>
              <w:jc w:val="right"/>
            </w:pPr>
            <w:r>
              <w:t xml:space="preserve">0.022818</w:t>
            </w:r>
          </w:p>
        </w:tc>
      </w:tr>
      <w:tr>
        <w:tc>
          <w:p>
            <w:pPr>
              <w:pStyle w:val="Compact"/>
              <w:jc w:val="right"/>
            </w:pPr>
            <w:r>
              <w:t xml:space="preserve">9</w:t>
            </w:r>
          </w:p>
        </w:tc>
        <w:tc>
          <w:p>
            <w:pPr>
              <w:pStyle w:val="Compact"/>
              <w:jc w:val="right"/>
            </w:pPr>
            <w:r>
              <w:t xml:space="preserve">1.939045</w:t>
            </w:r>
          </w:p>
        </w:tc>
        <w:tc>
          <w:p>
            <w:pPr>
              <w:pStyle w:val="Compact"/>
              <w:jc w:val="right"/>
            </w:pPr>
            <w:r>
              <w:t xml:space="preserve">1.024231</w:t>
            </w:r>
          </w:p>
        </w:tc>
        <w:tc>
          <w:p>
            <w:pPr>
              <w:pStyle w:val="Compact"/>
              <w:jc w:val="right"/>
            </w:pPr>
            <w:r>
              <w:t xml:space="preserve">0.002342</w:t>
            </w:r>
          </w:p>
        </w:tc>
      </w:tr>
      <w:tr>
        <w:tc>
          <w:p>
            <w:pPr>
              <w:pStyle w:val="Compact"/>
              <w:jc w:val="right"/>
            </w:pPr>
            <w:r>
              <w:t xml:space="preserve">12</w:t>
            </w:r>
          </w:p>
        </w:tc>
        <w:tc>
          <w:p>
            <w:pPr>
              <w:pStyle w:val="Compact"/>
              <w:jc w:val="right"/>
            </w:pPr>
            <w:r>
              <w:t xml:space="preserve">1.973632</w:t>
            </w:r>
          </w:p>
        </w:tc>
        <w:tc>
          <w:p>
            <w:pPr>
              <w:pStyle w:val="Compact"/>
              <w:jc w:val="right"/>
            </w:pPr>
            <w:r>
              <w:t xml:space="preserve">1.023326</w:t>
            </w:r>
          </w:p>
        </w:tc>
        <w:tc>
          <w:p>
            <w:pPr>
              <w:pStyle w:val="Compact"/>
              <w:jc w:val="right"/>
            </w:pPr>
            <w:r>
              <w:t xml:space="preserve">0.000486</w:t>
            </w:r>
          </w:p>
        </w:tc>
      </w:tr>
    </w:tbl>
    <w:p>
      <w:pPr>
        <w:pStyle w:val="BodyText"/>
      </w:pPr>
      <w:r>
        <w:t xml:space="preserve">Loss decreases at every recorded update in this trace. The parameters move from</w:t>
      </w:r>
      <w:r>
        <w:t xml:space="preserve"> </w:t>
      </w:r>
      <m:oMath>
        <m:r>
          <m:t>(</m:t>
        </m:r>
        <m:r>
          <m:t>0</m:t>
        </m:r>
        <m:r>
          <m:t>,</m:t>
        </m:r>
        <m:r>
          <m:t>0</m:t>
        </m:r>
        <m:r>
          <m:t>)</m:t>
        </m:r>
      </m:oMath>
      <w:r>
        <w:t xml:space="preserve"> </w:t>
      </w:r>
      <w:r>
        <w:t xml:space="preserve">toward the declared relation</w:t>
      </w:r>
      <w:r>
        <w:t xml:space="preserve"> </w:t>
      </w:r>
      <m:oMath>
        <m:r>
          <m:t>(</m:t>
        </m:r>
        <m:r>
          <m:t>2</m:t>
        </m:r>
        <m:r>
          <m:t>,</m:t>
        </m:r>
        <m:r>
          <m:t>1</m:t>
        </m:r>
        <m:r>
          <m:t>)</m:t>
        </m:r>
      </m:oMath>
      <w:r>
        <w:t xml:space="preserve">, though after 12 steps they have not arrived exactly there.</w:t>
      </w:r>
    </w:p>
    <w:p>
      <w:pPr>
        <w:pStyle w:val="CaptionedFigure"/>
      </w:pPr>
      <w:r>
        <w:drawing>
          <wp:inline>
            <wp:extent cx="5334000" cy="3378200"/>
            <wp:effectExtent b="0" l="0" r="0" t="0"/>
            <wp:docPr descr="The Learning Loop" title="" id="1" name="Picture"/>
            <a:graphic>
              <a:graphicData uri="http://schemas.openxmlformats.org/drawingml/2006/picture">
                <pic:pic>
                  <pic:nvPicPr>
                    <pic:cNvPr descr="../visuals/chapter_06_learning_loop.svg" id="0" name="Picture"/>
                    <pic:cNvPicPr>
                      <a:picLocks noChangeArrowheads="1" noChangeAspect="1"/>
                    </pic:cNvPicPr>
                  </pic:nvPicPr>
                  <pic:blipFill>
                    <a:blip r:embed="rId109"/>
                    <a:stretch>
                      <a:fillRect/>
                    </a:stretch>
                  </pic:blipFill>
                  <pic:spPr bwMode="auto">
                    <a:xfrm>
                      <a:off x="0" y="0"/>
                      <a:ext cx="5334000" cy="3378200"/>
                    </a:xfrm>
                    <a:prstGeom prst="rect">
                      <a:avLst/>
                    </a:prstGeom>
                    <a:noFill/>
                    <a:ln w="9525">
                      <a:noFill/>
                      <a:headEnd/>
                      <a:tailEnd/>
                    </a:ln>
                  </pic:spPr>
                </pic:pic>
              </a:graphicData>
            </a:graphic>
          </wp:inline>
        </w:drawing>
      </w:r>
    </w:p>
    <w:p>
      <w:pPr>
        <w:pStyle w:val="ImageCaption"/>
      </w:pPr>
      <w:r>
        <w:t xml:space="preserve">The Learning Loop</w:t>
      </w:r>
    </w:p>
    <w:p>
      <w:pPr>
        <w:pStyle w:val="BodyText"/>
      </w:pPr>
      <w:r>
        <w:rPr>
          <w:i/>
        </w:rPr>
        <w:t xml:space="preserve">With learning rate</w:t>
      </w:r>
      <w:r>
        <w:rPr>
          <w:i/>
        </w:rPr>
        <w:t xml:space="preserve"> </w:t>
      </w:r>
      <m:oMath>
        <m:r>
          <m:t>0.2</m:t>
        </m:r>
      </m:oMath>
      <w:r>
        <w:rPr>
          <w:i/>
        </w:rPr>
        <w:t xml:space="preserve">, the declared training loss falls across 12 updates and the parameters move toward</w:t>
      </w:r>
      <w:r>
        <w:rPr>
          <w:i/>
        </w:rPr>
        <w:t xml:space="preserve"> </w:t>
      </w:r>
      <m:oMath>
        <m:r>
          <m:t>(</m:t>
        </m:r>
        <m:r>
          <m:t>2</m:t>
        </m:r>
        <m:r>
          <m:t>,</m:t>
        </m:r>
        <m:r>
          <m:t>1</m:t>
        </m:r>
        <m:r>
          <m:t>)</m:t>
        </m:r>
      </m:oMath>
      <w:r>
        <w:rPr>
          <w:i/>
        </w:rPr>
        <w:t xml:space="preserve">. Holding the model, data, objective, initialization, and step count fixed but increasing the rate to</w:t>
      </w:r>
      <w:r>
        <w:rPr>
          <w:i/>
        </w:rPr>
        <w:t xml:space="preserve"> </w:t>
      </w:r>
      <m:oMath>
        <m:r>
          <m:t>1.2</m:t>
        </m:r>
      </m:oMath>
      <w:r>
        <w:rPr>
          <w:i/>
        </w:rPr>
        <w:t xml:space="preserve"> </w:t>
      </w:r>
      <w:r>
        <w:rPr>
          <w:i/>
        </w:rPr>
        <w:t xml:space="preserve">sends the control trajectory outside the plotted loss region and ends near</w:t>
      </w:r>
      <w:r>
        <w:rPr>
          <w:i/>
        </w:rPr>
        <w:t xml:space="preserve"> </w:t>
      </w:r>
      <m:oMath>
        <m:r>
          <m:t>197.53</m:t>
        </m:r>
      </m:oMath>
      <w:r>
        <w:rPr>
          <w:i/>
        </w:rPr>
        <w:t xml:space="preserve">.</w:t>
      </w:r>
    </w:p>
    <w:p>
      <w:pPr>
        <w:pStyle w:val="BodyText"/>
      </w:pPr>
      <w:r>
        <w:t xml:space="preserve">The lower band of the visual exposes the repeated mechanism: predict, compute loss, compute gradient, update, then return with changed parameters. No individual box is learning by itself. The observed adjustment belongs to their ordered repetition within the declared training problem.</w:t>
      </w:r>
    </w:p>
    <w:p>
      <w:pPr>
        <w:pStyle w:val="Heading2"/>
      </w:pPr>
      <w:bookmarkStart w:id="110" w:name="Xf0066358c1c75d0a6dbe6fef4aae98466b0e8f1"/>
      <w:r>
        <w:t xml:space="preserve">Direction Does Not Guarantee a Good Step</w:t>
      </w:r>
      <w:bookmarkEnd w:id="110"/>
    </w:p>
    <w:p>
      <w:pPr>
        <w:pStyle w:val="FirstParagraph"/>
      </w:pPr>
      <w:r>
        <w:t xml:space="preserve">The base trace might tempt us to say that following a negative gradient always improves the objective. The control case prevents that inference.</w:t>
      </w:r>
    </w:p>
    <w:p>
      <w:pPr>
        <w:pStyle w:val="BodyText"/>
      </w:pPr>
      <w:r>
        <w:t xml:space="preserve">The probe holds the model, examples, probabilities, loss, analytic gradient, initialization, and 12-step duration fixed. It changes only the learning rate from</w:t>
      </w:r>
      <w:r>
        <w:t xml:space="preserve"> </w:t>
      </w:r>
      <m:oMath>
        <m:r>
          <m:t>0.2</m:t>
        </m:r>
      </m:oMath>
      <w:r>
        <w:t xml:space="preserve"> </w:t>
      </w:r>
      <w:r>
        <w:t xml:space="preserve">to</w:t>
      </w:r>
      <w:r>
        <w:t xml:space="preserve"> </w:t>
      </w:r>
      <m:oMath>
        <m:r>
          <m:t>1.2</m:t>
        </m:r>
      </m:oMath>
      <w:r>
        <w:t xml:space="preserve">. The control begins at the same loss</w:t>
      </w:r>
      <w:r>
        <w:t xml:space="preserve"> </w:t>
      </w:r>
      <m:oMath>
        <m:r>
          <m:t>4.5</m:t>
        </m:r>
      </m:oMath>
      <w:r>
        <w:t xml:space="preserve"> </w:t>
      </w:r>
      <w:r>
        <w:t xml:space="preserve">but ends at approximately</w:t>
      </w:r>
    </w:p>
    <w:p>
      <w:pPr>
        <w:pStyle w:val="BodyText"/>
      </w:pPr>
      <m:oMathPara>
        <m:oMathParaPr>
          <m:jc m:val="center"/>
        </m:oMathParaPr>
        <m:oMath>
          <m:r>
            <m:t>197.5298</m:t>
          </m:r>
          <m:r>
            <m:t>.</m:t>
          </m:r>
        </m:oMath>
      </m:oMathPara>
    </w:p>
    <w:p>
      <w:pPr>
        <w:pStyle w:val="FirstParagraph"/>
      </w:pPr>
      <w:r>
        <w:t xml:space="preserve">The local descent direction has been multiplied into steps large enough to overshoot the useful region in this case. Repeated updates amplify the failure instead of correcting it.</w:t>
      </w:r>
    </w:p>
    <w:p>
      <w:pPr>
        <w:pStyle w:val="BodyText"/>
      </w:pPr>
      <w:r>
        <w:t xml:space="preserve">This result does not establish a universal threshold between good and bad rates. It establishes something narrower and more important: derivative information and update size play distinct roles, and the presence of a gradient does not guarantee improvement for every finite step.</w:t>
      </w:r>
    </w:p>
    <w:p>
      <w:pPr>
        <w:pStyle w:val="Heading2"/>
      </w:pPr>
      <w:bookmarkStart w:id="111" w:name="X990cc1089927d18cca87a08ec92dc6dc41ba72b"/>
      <w:r>
        <w:t xml:space="preserve">Training Loss Is Not Generalization</w:t>
      </w:r>
      <w:bookmarkEnd w:id="111"/>
    </w:p>
    <w:p>
      <w:pPr>
        <w:pStyle w:val="FirstParagraph"/>
      </w:pPr>
      <w:r>
        <w:t xml:space="preserve">Every quantity measured here belongs to the same four training examples used to construct the objective. The falling curve therefore reports reduced training loss. No examples were held out, and no unseen-data performance was measured.</w:t>
      </w:r>
    </w:p>
    <w:p>
      <w:pPr>
        <w:pStyle w:val="BodyText"/>
      </w:pPr>
      <w:r>
        <w:t xml:space="preserve">Generalization asks how a trained model behaves beyond the observations used to adjust it. Answering that question requires another evaluation design. Train/test separation, regularization, early stopping, and deployment conditions are outside this probe. A low training loss can be useful evidence without being sufficient evidence for a useful deployed model.</w:t>
      </w:r>
    </w:p>
    <w:p>
      <w:pPr>
        <w:pStyle w:val="BodyText"/>
      </w:pPr>
      <w:r>
        <w:t xml:space="preserve">The same boundary applies to stronger language. Parameter adjustment does not establish understanding or intention. The word</w:t>
      </w:r>
      <w:r>
        <w:t xml:space="preserve"> </w:t>
      </w:r>
      <w:r>
        <w:rPr>
          <w:i/>
        </w:rPr>
        <w:t xml:space="preserve">learning</w:t>
      </w:r>
      <w:r>
        <w:t xml:space="preserve"> </w:t>
      </w:r>
      <w:r>
        <w:t xml:space="preserve">names the declared machine-learning procedure here: parameters change in response to an objective computed from data. It should not silently import every meaning the word carries in biology, psychology, or ordinary life.</w:t>
      </w:r>
    </w:p>
    <w:p>
      <w:pPr>
        <w:pStyle w:val="Heading2"/>
      </w:pPr>
      <w:bookmarkStart w:id="112" w:name="Xacc1778ad5b885dfe27311be5ac902dfb7fd486"/>
      <w:r>
        <w:t xml:space="preserve">From One Unit to Layered Systems</w:t>
      </w:r>
      <w:bookmarkEnd w:id="112"/>
    </w:p>
    <w:p>
      <w:pPr>
        <w:pStyle w:val="FirstParagraph"/>
      </w:pPr>
      <w:r>
        <w:t xml:space="preserve">This affine unit uses a derivative of one scalar objective with respect to two parameters. Layered neural networks contain many parameters connected through composed operations. Training them requires assigning how changes in the final objective depend on intermediate computations and parameters.</w:t>
      </w:r>
    </w:p>
    <w:p>
      <w:pPr>
        <w:pStyle w:val="BodyText"/>
      </w:pPr>
      <w:r>
        <w:t xml:space="preserve">Backpropagation is historically important machinery for computing those derivatives through layered networks using the chain rule. The 1986 work of Rumelhart, Hinton, and Williams helped establish error backpropagation as a practical method for adjusting weights in such systems. This chapter does not implement that machinery. There is no hidden layer, activation function, automatic differentiation system, or backward traversal of a computational graph in the probe.</w:t>
      </w:r>
    </w:p>
    <w:p>
      <w:pPr>
        <w:pStyle w:val="BodyText"/>
      </w:pPr>
      <w:r>
        <w:t xml:space="preserve">The single-unit case supplies the prerequisite distinction. A model produces predictions. A loss evaluates them. Derivatives describe local sensitivity. An update rule changes parameters. Repetition creates a training trajectory. Later systems can scale and compose these roles without making them identical.</w:t>
      </w:r>
    </w:p>
    <w:p>
      <w:pPr>
        <w:pStyle w:val="Heading2"/>
      </w:pPr>
      <w:bookmarkStart w:id="113" w:name="chapter-6-what-the-probe-establishes"/>
      <w:r>
        <w:t xml:space="preserve">What the Probe Establishes</w:t>
      </w:r>
      <w:bookmarkEnd w:id="113"/>
    </w:p>
    <w:p>
      <w:pPr>
        <w:pStyle w:val="FirstParagraph"/>
      </w:pPr>
      <w:r>
        <w:t xml:space="preserve">The dependency-free Python probe verifies five claims for the declared case. The example probabilities sum to one. The analytic initial gradient matches finite differences. With learning rate</w:t>
      </w:r>
      <w:r>
        <w:t xml:space="preserve"> </w:t>
      </w:r>
      <m:oMath>
        <m:r>
          <m:t>0.2</m:t>
        </m:r>
      </m:oMath>
      <w:r>
        <w:t xml:space="preserve">, loss decreases at every recorded update and the parameters move closer to</w:t>
      </w:r>
      <w:r>
        <w:t xml:space="preserve"> </w:t>
      </w:r>
      <m:oMath>
        <m:r>
          <m:t>(</m:t>
        </m:r>
        <m:r>
          <m:t>2</m:t>
        </m:r>
        <m:r>
          <m:t>,</m:t>
        </m:r>
        <m:r>
          <m:t>1</m:t>
        </m:r>
        <m:r>
          <m:t>)</m:t>
        </m:r>
      </m:oMath>
      <w:r>
        <w:t xml:space="preserve">. With learning rate</w:t>
      </w:r>
      <w:r>
        <w:t xml:space="preserve"> </w:t>
      </w:r>
      <m:oMath>
        <m:r>
          <m:t>1.2</m:t>
        </m:r>
      </m:oMath>
      <w:r>
        <w:t xml:space="preserve">, final loss exceeds initial loss.</w:t>
      </w:r>
    </w:p>
    <w:p>
      <w:pPr>
        <w:pStyle w:val="BodyText"/>
      </w:pPr>
      <w:r>
        <w:t xml:space="preserve">The probe does not establish convergence for arbitrary objectives, models, initializations, or learning rates. It does not test stochastic gradients, minibatches, hidden layers, biological learning, unseen-data performance, or intelligence. Its strength comes from the visible boundary around what was changed and what was measured.</w:t>
      </w:r>
    </w:p>
    <w:p>
      <w:pPr>
        <w:pStyle w:val="Heading2"/>
      </w:pPr>
      <w:bookmarkStart w:id="114" w:name="chapter-6-adjustment-ready-to-scale"/>
      <w:r>
        <w:t xml:space="preserve">Adjustment Ready to Scale</w:t>
      </w:r>
      <w:bookmarkEnd w:id="114"/>
    </w:p>
    <w:p>
      <w:pPr>
        <w:pStyle w:val="FirstParagraph"/>
      </w:pPr>
      <w:r>
        <w:t xml:space="preserve">Part II begins with a loop rather than a larger model. Probability supplies weights over examples. Calculus supplies local change information. Numerical representations carry inputs and parameters. Executable code repeats the selected operations. The result is a bounded mechanism for objective-directed adjustment.</w:t>
      </w:r>
    </w:p>
    <w:p>
      <w:pPr>
        <w:pStyle w:val="BodyText"/>
      </w:pPr>
      <w:r>
        <w:t xml:space="preserve">Chapter 7 will widen the computational substrate. Matrix operations will become higher-dimensional tensor operations, and parallel hardware will make larger workloads practical. Chapter 9 will later add ordered state and recurrence. Those systems depend on parameterized neural computation, but scale does not remove the distinctions established here: prediction is not loss, gradient is not update, and reduced training loss is not a guarantee of generalization.</w:t>
      </w:r>
    </w:p>
    <w:p>
      <w:pPr>
        <w:pStyle w:val="BodyText"/>
      </w:pPr>
      <w:r>
        <w:t xml:space="preserve">The four-step loop demonstrated here — predict, compute loss, compute gradient, update — does not change shape when the parameters are a transformer’s attention projections, feed-forward weights, and embeddings instead of one weight and one bias. What changes is size and hardware cost: batched matrix multiplications, tensor contractions, and gradient-accumulation buffers replace two scalar partial derivatives. A larger model trained this way is not thereby a model that understands; it is the same bounded update rule executed at greater width and depth.</w:t>
      </w:r>
    </w:p>
    <w:p>
      <w:pPr>
        <w:pStyle w:val="Heading2"/>
      </w:pPr>
      <w:bookmarkStart w:id="115" w:name="chapter-6-sources-and-evidence"/>
      <w:r>
        <w:t xml:space="preserve">Sources and Evidence</w:t>
      </w:r>
      <w:bookmarkEnd w:id="115"/>
    </w:p>
    <w:p>
      <w:pPr>
        <w:pStyle w:val="FirstParagraph"/>
      </w:pPr>
      <w:r>
        <w:t xml:space="preserve">The chapter’s bounded claims about training objectives, gradient descent, learning rate, and backpropagation lineage are documented in the</w:t>
      </w:r>
      <w:r>
        <w:t xml:space="preserve"> </w:t>
      </w:r>
      <w:hyperlink r:id="rId116">
        <w:r>
          <w:rPr>
            <w:rStyle w:val="Hyperlink"/>
          </w:rPr>
          <w:t xml:space="preserve">Chapter 6 source ledger</w:t>
        </w:r>
      </w:hyperlink>
      <w:r>
        <w:t xml:space="preserve">. Exact data, formulas, assertions, and outputs are recorded in the</w:t>
      </w:r>
      <w:r>
        <w:t xml:space="preserve"> </w:t>
      </w:r>
      <w:hyperlink r:id="rId117">
        <w:r>
          <w:rPr>
            <w:rStyle w:val="Hyperlink"/>
          </w:rPr>
          <w:t xml:space="preserve">learning-loop probe</w:t>
        </w:r>
      </w:hyperlink>
      <w:r>
        <w:t xml:space="preserve">, with its</w:t>
      </w:r>
      <w:r>
        <w:t xml:space="preserve"> </w:t>
      </w:r>
      <w:hyperlink r:id="rId118">
        <w:r>
          <w:rPr>
            <w:rStyle w:val="Hyperlink"/>
          </w:rPr>
          <w:t xml:space="preserve">Python implementation</w:t>
        </w:r>
      </w:hyperlink>
      <w:r>
        <w:t xml:space="preserve">. Visual provenance and accessibility details are recorded with</w:t>
      </w:r>
      <w:r>
        <w:t xml:space="preserve"> </w:t>
      </w:r>
      <w:hyperlink r:id="rId119">
        <w:r>
          <w:rPr>
            <w:rStyle w:val="Hyperlink"/>
          </w:rPr>
          <w:t xml:space="preserve">The Learning Loop</w:t>
        </w:r>
      </w:hyperlink>
      <w:r>
        <w:t xml:space="preserve">.</w:t>
      </w:r>
    </w:p>
    <w:p>
      <w:pPr>
        <w:pStyle w:val="Heading1"/>
      </w:pPr>
      <w:bookmarkStart w:id="120" w:name="chapter-7"/>
      <w:r>
        <w:t xml:space="preserve">Chapter 7 — Tensors and Parallel Machines</w:t>
      </w:r>
      <w:bookmarkEnd w:id="120"/>
    </w:p>
    <w:p>
      <w:pPr>
        <w:pStyle w:val="FirstParagraph"/>
      </w:pPr>
      <w:r>
        <w:t xml:space="preserve">Chapter 6 trained one affine unit by repeating prediction, loss, gradient, and update operations. Its probe used four examples and two parameters. Larger neural systems repeat related numerical operations across many examples, positions, features, and parameters. Writing each value as a separately named scalar would conceal the structure that makes this work manageable.</w:t>
      </w:r>
    </w:p>
    <w:p>
      <w:pPr>
        <w:pStyle w:val="BodyText"/>
      </w:pPr>
      <w:r>
        <w:t xml:space="preserve">Tensors provide a computational organization for those values. Their shapes expose which axes belong to examples, rows, columns, positions, or features. Some tensor operations also expose many output tasks that can be assigned across parallel execution machinery.</w:t>
      </w:r>
    </w:p>
    <w:p>
      <w:pPr>
        <w:pStyle w:val="BodyText"/>
      </w:pPr>
      <w:r>
        <w:t xml:space="preserve">That second statement needs care. A calculation that can be partitioned is not thereby running concurrently. A GPU is not guaranteed to improve every workload, and an operation count is not an elapsed time. This chapter will first inspect one exact work decomposition, then place it beside the hardware structures designed to execute abundant numerical work.</w:t>
      </w:r>
    </w:p>
    <w:p>
      <w:pPr>
        <w:pStyle w:val="Heading2"/>
      </w:pPr>
      <w:bookmarkStart w:id="121" w:name="chapter-7-shape-before-arithmetic"/>
      <w:r>
        <w:t xml:space="preserve">Shape Before Arithmetic</w:t>
      </w:r>
      <w:bookmarkEnd w:id="121"/>
    </w:p>
    <w:p>
      <w:pPr>
        <w:pStyle w:val="FirstParagraph"/>
      </w:pPr>
      <w:r>
        <w:t xml:space="preserve">In this chapter, a tensor is a shaped multidimensional array of numerical values. This is the computational usage common in machine-learning systems. It does not exhaust the mathematical meaning of tensors in multilinear algebra or differential geometry.</w:t>
      </w:r>
    </w:p>
    <w:p>
      <w:pPr>
        <w:pStyle w:val="BodyText"/>
      </w:pPr>
      <w:r>
        <w:t xml:space="preserve">A vector can be stored as a one-axis array. A matrix adds a second axis. Additional axes can identify a batch of matrices, a sequence of vectors, or another declared grouping. The number of axes is often called the array’s rank, while its</w:t>
      </w:r>
      <w:r>
        <w:t xml:space="preserve"> </w:t>
      </w:r>
      <w:r>
        <w:rPr>
          <w:i/>
        </w:rPr>
        <w:t xml:space="preserve">shape</w:t>
      </w:r>
      <w:r>
        <w:t xml:space="preserve"> </w:t>
      </w:r>
      <w:r>
        <w:t xml:space="preserve">records the size along each axis.</w:t>
      </w:r>
    </w:p>
    <w:p>
      <w:pPr>
        <w:pStyle w:val="BodyText"/>
      </w:pPr>
      <w:r>
        <w:t xml:space="preserve">The probe begins with a left tensor</w:t>
      </w:r>
      <w:r>
        <w:t xml:space="preserve"> </w:t>
      </w:r>
      <m:oMath>
        <m:r>
          <m:t>A</m:t>
        </m:r>
      </m:oMath>
      <w:r>
        <w:t xml:space="preserve"> </w:t>
      </w:r>
      <w:r>
        <w:t xml:space="preserve">of shape</w:t>
      </w:r>
    </w:p>
    <w:p>
      <w:pPr>
        <w:pStyle w:val="BodyText"/>
      </w:pPr>
      <m:oMathPara>
        <m:oMathParaPr>
          <m:jc m:val="center"/>
        </m:oMathParaPr>
        <m:oMath>
          <m:r>
            <m:t>(</m:t>
          </m:r>
          <m:r>
            <m:t>2</m:t>
          </m:r>
          <m:r>
            <m:t>,</m:t>
          </m:r>
          <m:r>
            <m:t>2</m:t>
          </m:r>
          <m:r>
            <m:t>,</m:t>
          </m:r>
          <m:r>
            <m:t>3</m:t>
          </m:r>
          <m:r>
            <m:t>)</m:t>
          </m:r>
          <m:r>
            <m:t>.</m:t>
          </m:r>
        </m:oMath>
      </m:oMathPara>
    </w:p>
    <w:p>
      <w:pPr>
        <w:pStyle w:val="FirstParagraph"/>
      </w:pPr>
      <w:r>
        <w:t xml:space="preserve">Read from left to right, it contains two batches, two rows per batch, and three values per row. The right tensor</w:t>
      </w:r>
      <w:r>
        <w:t xml:space="preserve"> </w:t>
      </w:r>
      <m:oMath>
        <m:r>
          <m:t>B</m:t>
        </m:r>
      </m:oMath>
      <w:r>
        <w:t xml:space="preserve"> </w:t>
      </w:r>
      <w:r>
        <w:t xml:space="preserve">has shape</w:t>
      </w:r>
    </w:p>
    <w:p>
      <w:pPr>
        <w:pStyle w:val="BodyText"/>
      </w:pPr>
      <m:oMathPara>
        <m:oMathParaPr>
          <m:jc m:val="center"/>
        </m:oMathParaPr>
        <m:oMath>
          <m:r>
            <m:t>(</m:t>
          </m:r>
          <m:r>
            <m:t>2</m:t>
          </m:r>
          <m:r>
            <m:t>,</m:t>
          </m:r>
          <m:r>
            <m:t>3</m:t>
          </m:r>
          <m:r>
            <m:t>,</m:t>
          </m:r>
          <m:r>
            <m:t>2</m:t>
          </m:r>
          <m:r>
            <m:t>)</m:t>
          </m:r>
          <m:r>
            <m:t>,</m:t>
          </m:r>
        </m:oMath>
      </m:oMathPara>
    </w:p>
    <w:p>
      <w:pPr>
        <w:pStyle w:val="FirstParagraph"/>
      </w:pPr>
      <w:r>
        <w:t xml:space="preserve">meaning two batches, three rows per batch, and two columns per row.</w:t>
      </w:r>
    </w:p>
    <w:p>
      <w:pPr>
        <w:pStyle w:val="BodyText"/>
      </w:pPr>
      <w:r>
        <w:t xml:space="preserve">The axis names are not intrinsic to the stored numbers. They come from the declared operation. Here the first axis selects a batch, the second and third axes form one matrix, and equally indexed batches are multiplied together.</w:t>
      </w:r>
    </w:p>
    <w:p>
      <w:pPr>
        <w:pStyle w:val="Heading2"/>
      </w:pPr>
      <w:bookmarkStart w:id="122" w:name="X440585e5228cb621a9719a90729bdd489b6efa5"/>
      <w:r>
        <w:t xml:space="preserve">Matrix Multiplication Across a Batch</w:t>
      </w:r>
      <w:bookmarkEnd w:id="122"/>
    </w:p>
    <w:p>
      <w:pPr>
        <w:pStyle w:val="FirstParagraph"/>
      </w:pPr>
      <w:r>
        <w:t xml:space="preserve">Ordinary matrix multiplication combines one row of a left matrix with one column of a right matrix. The inner dimensions must agree. For shapes</w:t>
      </w:r>
      <w:r>
        <w:t xml:space="preserve"> </w:t>
      </w:r>
      <m:oMath>
        <m:r>
          <m:t>(</m:t>
        </m:r>
        <m:r>
          <m:t>n</m:t>
        </m:r>
        <m:r>
          <m:t>,</m:t>
        </m:r>
        <m:r>
          <m:t>k</m:t>
        </m:r>
        <m:r>
          <m:t>)</m:t>
        </m:r>
      </m:oMath>
      <w:r>
        <w:t xml:space="preserve"> </w:t>
      </w:r>
      <w:r>
        <w:t xml:space="preserve">and</w:t>
      </w:r>
      <w:r>
        <w:t xml:space="preserve"> </w:t>
      </w:r>
      <m:oMath>
        <m:r>
          <m:t>(</m:t>
        </m:r>
        <m:r>
          <m:t>k</m:t>
        </m:r>
        <m:r>
          <m:t>,</m:t>
        </m:r>
        <m:r>
          <m:t>m</m:t>
        </m:r>
        <m:r>
          <m:t>)</m:t>
        </m:r>
      </m:oMath>
      <w:r>
        <w:t xml:space="preserve">, the result has shape</w:t>
      </w:r>
      <w:r>
        <w:t xml:space="preserve"> </w:t>
      </w:r>
      <m:oMath>
        <m:r>
          <m:t>(</m:t>
        </m:r>
        <m:r>
          <m:t>n</m:t>
        </m:r>
        <m:r>
          <m:t>,</m:t>
        </m:r>
        <m:r>
          <m:t>m</m:t>
        </m:r>
        <m:r>
          <m:t>)</m:t>
        </m:r>
      </m:oMath>
      <w:r>
        <w:t xml:space="preserve">.</w:t>
      </w:r>
    </w:p>
    <w:p>
      <w:pPr>
        <w:pStyle w:val="BodyText"/>
      </w:pPr>
      <w:r>
        <w:t xml:space="preserve">The same operation can be applied across a stack of matrices. For batch</w:t>
      </w:r>
      <w:r>
        <w:t xml:space="preserve"> </w:t>
      </w:r>
      <m:oMath>
        <m:r>
          <m:t>b</m:t>
        </m:r>
      </m:oMath>
      <w:r>
        <w:t xml:space="preserve">, output row</w:t>
      </w:r>
      <w:r>
        <w:t xml:space="preserve"> </w:t>
      </w:r>
      <m:oMath>
        <m:r>
          <m:t>i</m:t>
        </m:r>
      </m:oMath>
      <w:r>
        <w:t xml:space="preserve">, and output column</w:t>
      </w:r>
      <w:r>
        <w:t xml:space="preserve"> </w:t>
      </w:r>
      <m:oMath>
        <m:r>
          <m:t>j</m:t>
        </m:r>
      </m:oMath>
      <w:r>
        <w:t xml:space="preserve">, the probe computes</w:t>
      </w:r>
    </w:p>
    <w:p>
      <w:pPr>
        <w:pStyle w:val="BodyText"/>
      </w:pPr>
      <m:oMathPara>
        <m:oMathParaPr>
          <m:jc m:val="center"/>
        </m:oMathParaPr>
        <m:oMath>
          <m:sSub>
            <m:e>
              <m:r>
                <m:t>C</m:t>
              </m:r>
            </m:e>
            <m:sub>
              <m:r>
                <m:t>b</m:t>
              </m:r>
              <m:r>
                <m:t>,</m:t>
              </m:r>
              <m:r>
                <m:t>i</m:t>
              </m:r>
              <m:r>
                <m:t>,</m:t>
              </m:r>
              <m:r>
                <m:t>j</m:t>
              </m:r>
            </m:sub>
          </m:sSub>
          <m:r>
            <m:t>=</m:t>
          </m:r>
          <m:nary>
            <m:naryPr>
              <m:chr m:val="∑"/>
              <m:limLoc m:val="undOvr"/>
              <m:subHide m:val="0"/>
              <m:supHide m:val="0"/>
            </m:naryPr>
            <m:sub>
              <m:r>
                <m:t>k</m:t>
              </m:r>
              <m:r>
                <m:t>=</m:t>
              </m:r>
              <m:r>
                <m:t>0</m:t>
              </m:r>
            </m:sub>
            <m:sup>
              <m:r>
                <m:t>2</m:t>
              </m:r>
            </m:sup>
            <m:e>
              <m:sSub>
                <m:e>
                  <m:r>
                    <m:t>A</m:t>
                  </m:r>
                </m:e>
                <m:sub>
                  <m:r>
                    <m:t>b</m:t>
                  </m:r>
                  <m:r>
                    <m:t>,</m:t>
                  </m:r>
                  <m:r>
                    <m:t>i</m:t>
                  </m:r>
                  <m:r>
                    <m:t>,</m:t>
                  </m:r>
                  <m:r>
                    <m:t>k</m:t>
                  </m:r>
                </m:sub>
              </m:sSub>
            </m:e>
          </m:nary>
          <m:sSub>
            <m:e>
              <m:r>
                <m:t>B</m:t>
              </m:r>
            </m:e>
            <m:sub>
              <m:r>
                <m:t>b</m:t>
              </m:r>
              <m:r>
                <m:t>,</m:t>
              </m:r>
              <m:r>
                <m:t>k</m:t>
              </m:r>
              <m:r>
                <m:t>,</m:t>
              </m:r>
              <m:r>
                <m:t>j</m:t>
              </m:r>
            </m:sub>
          </m:sSub>
          <m:r>
            <m:t>.</m:t>
          </m:r>
        </m:oMath>
      </m:oMathPara>
    </w:p>
    <w:p>
      <w:pPr>
        <w:pStyle w:val="FirstParagraph"/>
      </w:pPr>
      <w:r>
        <w:t xml:space="preserve">The first dimensions of</w:t>
      </w:r>
      <w:r>
        <w:t xml:space="preserve"> </w:t>
      </w:r>
      <m:oMath>
        <m:r>
          <m:t>A</m:t>
        </m:r>
      </m:oMath>
      <w:r>
        <w:t xml:space="preserve"> </w:t>
      </w:r>
      <w:r>
        <w:t xml:space="preserve">and</w:t>
      </w:r>
      <w:r>
        <w:t xml:space="preserve"> </w:t>
      </w:r>
      <m:oMath>
        <m:r>
          <m:t>B</m:t>
        </m:r>
      </m:oMath>
      <w:r>
        <w:t xml:space="preserve"> </w:t>
      </w:r>
      <w:r>
        <w:t xml:space="preserve">both contain two batches. Their matrix dimensions are</w:t>
      </w:r>
      <w:r>
        <w:t xml:space="preserve"> </w:t>
      </w:r>
      <m:oMath>
        <m:r>
          <m:t>(</m:t>
        </m:r>
        <m:r>
          <m:t>2</m:t>
        </m:r>
        <m:r>
          <m:t>,</m:t>
        </m:r>
        <m:r>
          <m:t>3</m:t>
        </m:r>
        <m:r>
          <m:t>)</m:t>
        </m:r>
      </m:oMath>
      <w:r>
        <w:t xml:space="preserve"> </w:t>
      </w:r>
      <w:r>
        <w:t xml:space="preserve">and</w:t>
      </w:r>
      <w:r>
        <w:t xml:space="preserve"> </w:t>
      </w:r>
      <m:oMath>
        <m:r>
          <m:t>(</m:t>
        </m:r>
        <m:r>
          <m:t>3</m:t>
        </m:r>
        <m:r>
          <m:t>,</m:t>
        </m:r>
        <m:r>
          <m:t>2</m:t>
        </m:r>
        <m:r>
          <m:t>)</m:t>
        </m:r>
      </m:oMath>
      <w:r>
        <w:t xml:space="preserve">. The contracted inner dimension is three, so each batch produces a</w:t>
      </w:r>
      <w:r>
        <w:t xml:space="preserve"> </w:t>
      </w:r>
      <m:oMath>
        <m:r>
          <m:t>(</m:t>
        </m:r>
        <m:r>
          <m:t>2</m:t>
        </m:r>
        <m:r>
          <m:t>,</m:t>
        </m:r>
        <m:r>
          <m:t>2</m:t>
        </m:r>
        <m:r>
          <m:t>)</m:t>
        </m:r>
      </m:oMath>
      <w:r>
        <w:t xml:space="preserve"> </w:t>
      </w:r>
      <w:r>
        <w:t xml:space="preserve">matrix. The complete output shape is therefore</w:t>
      </w:r>
    </w:p>
    <w:p>
      <w:pPr>
        <w:pStyle w:val="BodyText"/>
      </w:pPr>
      <m:oMathPara>
        <m:oMathParaPr>
          <m:jc m:val="center"/>
        </m:oMathParaPr>
        <m:oMath>
          <m:r>
            <m:t>(</m:t>
          </m:r>
          <m:r>
            <m:t>2</m:t>
          </m:r>
          <m:r>
            <m:t>,</m:t>
          </m:r>
          <m:r>
            <m:t>2</m:t>
          </m:r>
          <m:r>
            <m:t>,</m:t>
          </m:r>
          <m:r>
            <m:t>2</m:t>
          </m:r>
          <m:r>
            <m:t>)</m:t>
          </m:r>
          <m:r>
            <m:t>.</m:t>
          </m:r>
        </m:oMath>
      </m:oMathPara>
    </w:p>
    <w:p>
      <w:pPr>
        <w:pStyle w:val="FirstParagraph"/>
      </w:pPr>
      <w:r>
        <w:t xml:space="preserve">Shape compatibility is a constraint on the operation, not a claim that every pair of multidimensional arrays can be multiplied this way. Libraries can add broadcasting and other conventions. The standard-library probe deliberately uses equal batch dimensions and no broadcasting so every index remains visible.</w:t>
      </w:r>
    </w:p>
    <w:p>
      <w:pPr>
        <w:pStyle w:val="Heading2"/>
      </w:pPr>
      <w:bookmarkStart w:id="123" w:name="chapter-7-one-output-cell"/>
      <w:r>
        <w:t xml:space="preserve">One Output Cell</w:t>
      </w:r>
      <w:bookmarkEnd w:id="123"/>
    </w:p>
    <w:p>
      <w:pPr>
        <w:pStyle w:val="FirstParagraph"/>
      </w:pPr>
      <w:r>
        <w:t xml:space="preserve">Consider the first output coordinate,</w:t>
      </w:r>
      <w:r>
        <w:t xml:space="preserve"> </w:t>
      </w:r>
      <m:oMath>
        <m:r>
          <m:t>(</m:t>
        </m:r>
        <m:r>
          <m:t>0</m:t>
        </m:r>
        <m:r>
          <m:t>,</m:t>
        </m:r>
        <m:r>
          <m:t>0</m:t>
        </m:r>
        <m:r>
          <m:t>,</m:t>
        </m:r>
        <m:r>
          <m:t>0</m:t>
        </m:r>
        <m:r>
          <m:t>)</m:t>
        </m:r>
      </m:oMath>
      <w:r>
        <w:t xml:space="preserve">. It selects batch zero, row zero, and column zero. Its three product terms are</w:t>
      </w:r>
    </w:p>
    <w:p>
      <w:pPr>
        <w:pStyle w:val="BodyText"/>
      </w:pPr>
      <m:oMathPara>
        <m:oMathParaPr>
          <m:jc m:val="center"/>
        </m:oMathParaPr>
        <m:oMath>
          <m:r>
            <m:t>(</m:t>
          </m:r>
          <m:r>
            <m:t>1</m:t>
          </m:r>
          <m:r>
            <m:t>)</m:t>
          </m:r>
          <m:r>
            <m:t>(</m:t>
          </m:r>
          <m:r>
            <m:t>1</m:t>
          </m:r>
          <m:r>
            <m:t>)</m:t>
          </m:r>
          <m:r>
            <m:t>+</m:t>
          </m:r>
          <m:r>
            <m:t>(</m:t>
          </m:r>
          <m:r>
            <m:t>2</m:t>
          </m:r>
          <m:r>
            <m:t>)</m:t>
          </m:r>
          <m:r>
            <m:t>(</m:t>
          </m:r>
          <m:r>
            <m:t>0</m:t>
          </m:r>
          <m:r>
            <m:t>)</m:t>
          </m:r>
          <m:r>
            <m:t>+</m:t>
          </m:r>
          <m:r>
            <m:t>(</m:t>
          </m:r>
          <m:r>
            <m:t>0</m:t>
          </m:r>
          <m:r>
            <m:t>)</m:t>
          </m:r>
          <m:r>
            <m:t>(</m:t>
          </m:r>
          <m:r>
            <m:t>3</m:t>
          </m:r>
          <m:r>
            <m:t>)</m:t>
          </m:r>
          <m:r>
            <m:t>=</m:t>
          </m:r>
          <m:r>
            <m:t>1</m:t>
          </m:r>
          <m:r>
            <m:t>.</m:t>
          </m:r>
        </m:oMath>
      </m:oMathPara>
    </w:p>
    <w:p>
      <w:pPr>
        <w:pStyle w:val="FirstParagraph"/>
      </w:pPr>
      <w:r>
        <w:t xml:space="preserve">Coordinate</w:t>
      </w:r>
      <w:r>
        <w:t xml:space="preserve"> </w:t>
      </w:r>
      <m:oMath>
        <m:r>
          <m:t>(</m:t>
        </m:r>
        <m:r>
          <m:t>1</m:t>
        </m:r>
        <m:r>
          <m:t>,</m:t>
        </m:r>
        <m:r>
          <m:t>1</m:t>
        </m:r>
        <m:r>
          <m:t>,</m:t>
        </m:r>
        <m:r>
          <m:t>1</m:t>
        </m:r>
        <m:r>
          <m:t>)</m:t>
        </m:r>
      </m:oMath>
      <w:r>
        <w:t xml:space="preserve"> </w:t>
      </w:r>
      <w:r>
        <w:t xml:space="preserve">belongs to the other batch and the lower-right output position:</w:t>
      </w:r>
    </w:p>
    <w:p>
      <w:pPr>
        <w:pStyle w:val="BodyText"/>
      </w:pPr>
      <m:oMathPara>
        <m:oMathParaPr>
          <m:jc m:val="center"/>
        </m:oMathParaPr>
        <m:oMath>
          <m:r>
            <m:t>(</m:t>
          </m:r>
          <m:r>
            <m:t>1</m:t>
          </m:r>
          <m:r>
            <m:t>)</m:t>
          </m:r>
          <m:r>
            <m:t>(</m:t>
          </m:r>
          <m:r>
            <m:t>1</m:t>
          </m:r>
          <m:r>
            <m:t>)</m:t>
          </m:r>
          <m:r>
            <m:t>+</m:t>
          </m:r>
          <m:r>
            <m:t>(</m:t>
          </m:r>
          <m:r>
            <m:t>−</m:t>
          </m:r>
          <m:r>
            <m:t>2</m:t>
          </m:r>
          <m:r>
            <m:t>)</m:t>
          </m:r>
          <m:r>
            <m:t>(</m:t>
          </m:r>
          <m:r>
            <m:t>0</m:t>
          </m:r>
          <m:r>
            <m:t>)</m:t>
          </m:r>
          <m:r>
            <m:t>+</m:t>
          </m:r>
          <m:r>
            <m:t>(</m:t>
          </m:r>
          <m:r>
            <m:t>2</m:t>
          </m:r>
          <m:r>
            <m:t>)</m:t>
          </m:r>
          <m:r>
            <m:t>(</m:t>
          </m:r>
          <m:r>
            <m:t>2</m:t>
          </m:r>
          <m:r>
            <m:t>)</m:t>
          </m:r>
          <m:r>
            <m:t>=</m:t>
          </m:r>
          <m:r>
            <m:t>5</m:t>
          </m:r>
          <m:r>
            <m:t>.</m:t>
          </m:r>
        </m:oMath>
      </m:oMathPara>
    </w:p>
    <w:p>
      <w:pPr>
        <w:pStyle w:val="FirstParagraph"/>
      </w:pPr>
      <w:r>
        <w:t xml:space="preserve">Each output cell performs the same structural operation over different coordinates. In this probe there are</w:t>
      </w:r>
    </w:p>
    <w:p>
      <w:pPr>
        <w:pStyle w:val="BodyText"/>
      </w:pPr>
      <m:oMathPara>
        <m:oMathParaPr>
          <m:jc m:val="center"/>
        </m:oMathParaPr>
        <m:oMath>
          <m:r>
            <m:t>2</m:t>
          </m:r>
          <m:r>
            <m:t>×</m:t>
          </m:r>
          <m:r>
            <m:t>2</m:t>
          </m:r>
          <m:r>
            <m:t>×</m:t>
          </m:r>
          <m:r>
            <m:t>2</m:t>
          </m:r>
          <m:r>
            <m:t>=</m:t>
          </m:r>
          <m:r>
            <m:t>8</m:t>
          </m:r>
        </m:oMath>
      </m:oMathPara>
    </w:p>
    <w:p>
      <w:pPr>
        <w:pStyle w:val="FirstParagraph"/>
      </w:pPr>
      <w:r>
        <w:t xml:space="preserve">output cells. Each contains three scalar product terms, yielding 24 terms in the declared batched multiplication.</w:t>
      </w:r>
    </w:p>
    <w:p>
      <w:pPr>
        <w:pStyle w:val="BodyText"/>
      </w:pPr>
      <w:r>
        <w:t xml:space="preserve">These counts describe arithmetic structure. They do not include address calculation, data movement, synchronization, instruction overhead, or device launch cost. They are not a timing model.</w:t>
      </w:r>
    </w:p>
    <w:p>
      <w:pPr>
        <w:pStyle w:val="Heading2"/>
      </w:pPr>
      <w:bookmarkStart w:id="124" w:name="X2f41cde74f278dd6d5e9105d37b285930f03898"/>
      <w:r>
        <w:t xml:space="preserve">From Coordinates to Work Assignments</w:t>
      </w:r>
      <w:bookmarkEnd w:id="124"/>
    </w:p>
    <w:p>
      <w:pPr>
        <w:pStyle w:val="FirstParagraph"/>
      </w:pPr>
      <w:r>
        <w:t xml:space="preserve">The serial reference visits all eight output coordinates in a fixed nested-loop order and produces</w:t>
      </w:r>
    </w:p>
    <w:p>
      <w:pPr>
        <w:pStyle w:val="SourceCode"/>
      </w:pPr>
      <w:r>
        <w:rPr>
          <w:rStyle w:val="VerbatimChar"/>
        </w:rPr>
        <w:t xml:space="preserve">[</w:t>
      </w:r>
      <w:r>
        <w:br/>
      </w:r>
      <w:r>
        <w:rPr>
          <w:rStyle w:val="VerbatimChar"/>
        </w:rPr>
        <w:t xml:space="preserve">  [[ 1, 4], [ 2, 0]],</w:t>
      </w:r>
      <w:r>
        <w:br/>
      </w:r>
      <w:r>
        <w:rPr>
          <w:rStyle w:val="VerbatimChar"/>
        </w:rPr>
        <w:t xml:space="preserve">  [[ 3, 4], [-2, 5]]</w:t>
      </w:r>
      <w:r>
        <w:br/>
      </w:r>
      <w:r>
        <w:rPr>
          <w:rStyle w:val="VerbatimChar"/>
        </w:rPr>
        <w:t xml:space="preserve">]</w:t>
      </w:r>
    </w:p>
    <w:p>
      <w:pPr>
        <w:pStyle w:val="FirstParagraph"/>
      </w:pPr>
      <w:r>
        <w:t xml:space="preserve">The partitioned version assigns coordinates round-robin across four abstract lanes:</w:t>
      </w:r>
    </w:p>
    <w:tbl>
      <w:tblPr>
        <w:tblStyle w:val="Table"/>
        <w:tblW w:type="pct" w:w="0.0"/>
        <w:tblLook w:firstRow="1"/>
      </w:tblPr>
      <w:tblGrid/>
      <w:tr>
        <w:trPr>
          <w:cnfStyle w:firstRow="1"/>
        </w:trPr>
        <w:tc>
          <w:tcPr>
            <w:tcBorders>
              <w:bottom w:val="single"/>
            </w:tcBorders>
            <w:vAlign w:val="bottom"/>
          </w:tcPr>
          <w:p>
            <w:pPr>
              <w:pStyle w:val="Compact"/>
              <w:jc w:val="right"/>
            </w:pPr>
            <w:r>
              <w:t xml:space="preserve">lane</w:t>
            </w:r>
          </w:p>
        </w:tc>
        <w:tc>
          <w:tcPr>
            <w:tcBorders>
              <w:bottom w:val="single"/>
            </w:tcBorders>
            <w:vAlign w:val="bottom"/>
          </w:tcPr>
          <w:p>
            <w:pPr>
              <w:pStyle w:val="Compact"/>
              <w:jc w:val="left"/>
            </w:pPr>
            <w:r>
              <w:t xml:space="preserve">assignments</w:t>
            </w:r>
          </w:p>
        </w:tc>
      </w:tr>
      <w:tr>
        <w:tc>
          <w:p>
            <w:pPr>
              <w:pStyle w:val="Compact"/>
              <w:jc w:val="right"/>
            </w:pPr>
            <w:r>
              <w:t xml:space="preserve">0</w:t>
            </w:r>
          </w:p>
        </w:tc>
        <w:tc>
          <w:p>
            <w:pPr>
              <w:pStyle w:val="Compact"/>
              <w:jc w:val="left"/>
            </w:pPr>
            <m:oMath>
              <m:r>
                <m:t>(</m:t>
              </m:r>
              <m:r>
                <m:t>0</m:t>
              </m:r>
              <m:r>
                <m:t>,</m:t>
              </m:r>
              <m:r>
                <m:t>0</m:t>
              </m:r>
              <m:r>
                <m:t>,</m:t>
              </m:r>
              <m:r>
                <m:t>0</m:t>
              </m:r>
              <m:r>
                <m:t>)</m:t>
              </m:r>
            </m:oMath>
            <w:r>
              <w:t xml:space="preserve"> </w:t>
            </w:r>
            <w:r>
              <w:t xml:space="preserve">and</w:t>
            </w:r>
            <w:r>
              <w:t xml:space="preserve"> </w:t>
            </w:r>
            <m:oMath>
              <m:r>
                <m:t>(</m:t>
              </m:r>
              <m:r>
                <m:t>1</m:t>
              </m:r>
              <m:r>
                <m:t>,</m:t>
              </m:r>
              <m:r>
                <m:t>0</m:t>
              </m:r>
              <m:r>
                <m:t>,</m:t>
              </m:r>
              <m:r>
                <m:t>0</m:t>
              </m:r>
              <m:r>
                <m:t>)</m:t>
              </m:r>
            </m:oMath>
          </w:p>
        </w:tc>
      </w:tr>
      <w:tr>
        <w:tc>
          <w:p>
            <w:pPr>
              <w:pStyle w:val="Compact"/>
              <w:jc w:val="right"/>
            </w:pPr>
            <w:r>
              <w:t xml:space="preserve">1</w:t>
            </w:r>
          </w:p>
        </w:tc>
        <w:tc>
          <w:p>
            <w:pPr>
              <w:pStyle w:val="Compact"/>
              <w:jc w:val="left"/>
            </w:pPr>
            <m:oMath>
              <m:r>
                <m:t>(</m:t>
              </m:r>
              <m:r>
                <m:t>0</m:t>
              </m:r>
              <m:r>
                <m:t>,</m:t>
              </m:r>
              <m:r>
                <m:t>0</m:t>
              </m:r>
              <m:r>
                <m:t>,</m:t>
              </m:r>
              <m:r>
                <m:t>1</m:t>
              </m:r>
              <m:r>
                <m:t>)</m:t>
              </m:r>
            </m:oMath>
            <w:r>
              <w:t xml:space="preserve"> </w:t>
            </w:r>
            <w:r>
              <w:t xml:space="preserve">and</w:t>
            </w:r>
            <w:r>
              <w:t xml:space="preserve"> </w:t>
            </w:r>
            <m:oMath>
              <m:r>
                <m:t>(</m:t>
              </m:r>
              <m:r>
                <m:t>1</m:t>
              </m:r>
              <m:r>
                <m:t>,</m:t>
              </m:r>
              <m:r>
                <m:t>0</m:t>
              </m:r>
              <m:r>
                <m:t>,</m:t>
              </m:r>
              <m:r>
                <m:t>1</m:t>
              </m:r>
              <m:r>
                <m:t>)</m:t>
              </m:r>
            </m:oMath>
          </w:p>
        </w:tc>
      </w:tr>
      <w:tr>
        <w:tc>
          <w:p>
            <w:pPr>
              <w:pStyle w:val="Compact"/>
              <w:jc w:val="right"/>
            </w:pPr>
            <w:r>
              <w:t xml:space="preserve">2</w:t>
            </w:r>
          </w:p>
        </w:tc>
        <w:tc>
          <w:p>
            <w:pPr>
              <w:pStyle w:val="Compact"/>
              <w:jc w:val="left"/>
            </w:pPr>
            <m:oMath>
              <m:r>
                <m:t>(</m:t>
              </m:r>
              <m:r>
                <m:t>0</m:t>
              </m:r>
              <m:r>
                <m:t>,</m:t>
              </m:r>
              <m:r>
                <m:t>1</m:t>
              </m:r>
              <m:r>
                <m:t>,</m:t>
              </m:r>
              <m:r>
                <m:t>0</m:t>
              </m:r>
              <m:r>
                <m:t>)</m:t>
              </m:r>
            </m:oMath>
            <w:r>
              <w:t xml:space="preserve"> </w:t>
            </w:r>
            <w:r>
              <w:t xml:space="preserve">and</w:t>
            </w:r>
            <w:r>
              <w:t xml:space="preserve"> </w:t>
            </w:r>
            <m:oMath>
              <m:r>
                <m:t>(</m:t>
              </m:r>
              <m:r>
                <m:t>1</m:t>
              </m:r>
              <m:r>
                <m:t>,</m:t>
              </m:r>
              <m:r>
                <m:t>1</m:t>
              </m:r>
              <m:r>
                <m:t>,</m:t>
              </m:r>
              <m:r>
                <m:t>0</m:t>
              </m:r>
              <m:r>
                <m:t>)</m:t>
              </m:r>
            </m:oMath>
          </w:p>
        </w:tc>
      </w:tr>
      <w:tr>
        <w:tc>
          <w:p>
            <w:pPr>
              <w:pStyle w:val="Compact"/>
              <w:jc w:val="right"/>
            </w:pPr>
            <w:r>
              <w:t xml:space="preserve">3</w:t>
            </w:r>
          </w:p>
        </w:tc>
        <w:tc>
          <w:p>
            <w:pPr>
              <w:pStyle w:val="Compact"/>
              <w:jc w:val="left"/>
            </w:pPr>
            <m:oMath>
              <m:r>
                <m:t>(</m:t>
              </m:r>
              <m:r>
                <m:t>0</m:t>
              </m:r>
              <m:r>
                <m:t>,</m:t>
              </m:r>
              <m:r>
                <m:t>1</m:t>
              </m:r>
              <m:r>
                <m:t>,</m:t>
              </m:r>
              <m:r>
                <m:t>1</m:t>
              </m:r>
              <m:r>
                <m:t>)</m:t>
              </m:r>
            </m:oMath>
            <w:r>
              <w:t xml:space="preserve"> </w:t>
            </w:r>
            <w:r>
              <w:t xml:space="preserve">and</w:t>
            </w:r>
            <w:r>
              <w:t xml:space="preserve"> </w:t>
            </w:r>
            <m:oMath>
              <m:r>
                <m:t>(</m:t>
              </m:r>
              <m:r>
                <m:t>1</m:t>
              </m:r>
              <m:r>
                <m:t>,</m:t>
              </m:r>
              <m:r>
                <m:t>1</m:t>
              </m:r>
              <m:r>
                <m:t>,</m:t>
              </m:r>
              <m:r>
                <m:t>1</m:t>
              </m:r>
              <m:r>
                <m:t>)</m:t>
              </m:r>
            </m:oMath>
          </w:p>
        </w:tc>
      </w:tr>
    </w:tbl>
    <w:p>
      <w:pPr>
        <w:pStyle w:val="BodyText"/>
      </w:pPr>
      <w:r>
        <w:t xml:space="preserve">The assignments are disjoint: no output coordinate appears in two lanes. They are also complete: together they cover all eight coordinates. Each lane computes its assigned cells, and the results are written into their declared positions. The assembled tensor exactly equals the serial reference.</w:t>
      </w:r>
    </w:p>
    <w:p>
      <w:pPr>
        <w:pStyle w:val="BodyText"/>
      </w:pPr>
      <w:r>
        <w:t xml:space="preserve">This equality does not depend on the order in which distinct output cells are visited. Each cell reads input values and writes to a separate output coordinate. The reduction inside one cell still has an order, and different numerical formats or reduction strategies can affect rounding in larger implementations. The probe uses fixed Python floating-point operations and fixed traversal.</w:t>
      </w:r>
    </w:p>
    <w:p>
      <w:pPr>
        <w:pStyle w:val="CaptionedFigure"/>
      </w:pPr>
      <w:r>
        <w:drawing>
          <wp:inline>
            <wp:extent cx="5334000" cy="3378200"/>
            <wp:effectExtent b="0" l="0" r="0" t="0"/>
            <wp:docPr descr="Tensor Work on Parallel Lanes" title="" id="1" name="Picture"/>
            <a:graphic>
              <a:graphicData uri="http://schemas.openxmlformats.org/drawingml/2006/picture">
                <pic:pic>
                  <pic:nvPicPr>
                    <pic:cNvPr descr="../visuals/chapter_07_tensor_parallel.svg" id="0" name="Picture"/>
                    <pic:cNvPicPr>
                      <a:picLocks noChangeArrowheads="1" noChangeAspect="1"/>
                    </pic:cNvPicPr>
                  </pic:nvPicPr>
                  <pic:blipFill>
                    <a:blip r:embed="rId125"/>
                    <a:stretch>
                      <a:fillRect/>
                    </a:stretch>
                  </pic:blipFill>
                  <pic:spPr bwMode="auto">
                    <a:xfrm>
                      <a:off x="0" y="0"/>
                      <a:ext cx="5334000" cy="3378200"/>
                    </a:xfrm>
                    <a:prstGeom prst="rect">
                      <a:avLst/>
                    </a:prstGeom>
                    <a:noFill/>
                    <a:ln w="9525">
                      <a:noFill/>
                      <a:headEnd/>
                      <a:tailEnd/>
                    </a:ln>
                  </pic:spPr>
                </pic:pic>
              </a:graphicData>
            </a:graphic>
          </wp:inline>
        </w:drawing>
      </w:r>
    </w:p>
    <w:p>
      <w:pPr>
        <w:pStyle w:val="ImageCaption"/>
      </w:pPr>
      <w:r>
        <w:t xml:space="preserve">Tensor Work on Parallel Lanes</w:t>
      </w:r>
    </w:p>
    <w:p>
      <w:pPr>
        <w:pStyle w:val="BodyText"/>
      </w:pPr>
      <w:r>
        <w:rPr>
          <w:i/>
        </w:rPr>
        <w:t xml:space="preserve">Two batched tensors expose eight output coordinates containing three product terms each. Four abstract lanes assign every coordinate once and reproduce the serial reference. The lanes show partitionable work; they do not report GPU execution or speedup.</w:t>
      </w:r>
    </w:p>
    <w:p>
      <w:pPr>
        <w:pStyle w:val="BodyText"/>
      </w:pPr>
      <w:r>
        <w:t xml:space="preserve">The figure makes the invisible interface visible. Shapes define the valid operation. Coordinates identify output tasks. Lanes provide one possible assignment. Recombination places each result into the tensor specified before the work began.</w:t>
      </w:r>
    </w:p>
    <w:p>
      <w:pPr>
        <w:pStyle w:val="Heading2"/>
      </w:pPr>
      <w:bookmarkStart w:id="126" w:name="chapter-7-the-missing-cell"/>
      <w:r>
        <w:t xml:space="preserve">The Missing Cell</w:t>
      </w:r>
      <w:bookmarkEnd w:id="126"/>
    </w:p>
    <w:p>
      <w:pPr>
        <w:pStyle w:val="FirstParagraph"/>
      </w:pPr>
      <w:r>
        <w:t xml:space="preserve">Exact agreement could be uninformative if the comparison failed to detect incomplete work. The control removes coordinate</w:t>
      </w:r>
      <w:r>
        <w:t xml:space="preserve"> </w:t>
      </w:r>
      <m:oMath>
        <m:r>
          <m:t>(</m:t>
        </m:r>
        <m:r>
          <m:t>1</m:t>
        </m:r>
        <m:r>
          <m:t>,</m:t>
        </m:r>
        <m:r>
          <m:t>1</m:t>
        </m:r>
        <m:r>
          <m:t>,</m:t>
        </m:r>
        <m:r>
          <m:t>1</m:t>
        </m:r>
        <m:r>
          <m:t>)</m:t>
        </m:r>
      </m:oMath>
      <w:r>
        <w:t xml:space="preserve"> </w:t>
      </w:r>
      <w:r>
        <w:t xml:space="preserve">from lane 3 while leaving the other assignments unchanged.</w:t>
      </w:r>
    </w:p>
    <w:p>
      <w:pPr>
        <w:pStyle w:val="BodyText"/>
      </w:pPr>
      <w:r>
        <w:t xml:space="preserve">The final batch then contains</w:t>
      </w:r>
    </w:p>
    <w:p>
      <w:pPr>
        <w:pStyle w:val="SourceCode"/>
      </w:pPr>
      <w:r>
        <w:rPr>
          <w:rStyle w:val="VerbatimChar"/>
        </w:rPr>
        <w:t xml:space="preserve">[[3, 4], [-2, null]]</w:t>
      </w:r>
    </w:p>
    <w:p>
      <w:pPr>
        <w:pStyle w:val="FirstParagraph"/>
      </w:pPr>
      <w:r>
        <w:t xml:space="preserve">Seven writes cannot produce the declared eight-cell output. The incomplete tensor differs from the serial reference, and the missing coordinate remains visible rather than being replaced with a plausible number.</w:t>
      </w:r>
    </w:p>
    <w:p>
      <w:pPr>
        <w:pStyle w:val="BodyText"/>
      </w:pPr>
      <w:r>
        <w:t xml:space="preserve">This control does not prove that every parallel implementation is correct when all coordinates appear in a plan. Duplicate writes, incorrect arithmetic, synchronization errors, and memory faults require other tests. It establishes a narrower point: completeness is necessary for this partition, and the probe’s equality gate detects the declared omission.</w:t>
      </w:r>
    </w:p>
    <w:p>
      <w:pPr>
        <w:pStyle w:val="Heading2"/>
      </w:pPr>
      <w:bookmarkStart w:id="127" w:name="X55bd3d360b00e57518e4b56c8e0fa845df8ffbf"/>
      <w:r>
        <w:t xml:space="preserve">Parallel Structure Is Not Parallel Execution</w:t>
      </w:r>
      <w:bookmarkEnd w:id="127"/>
    </w:p>
    <w:p>
      <w:pPr>
        <w:pStyle w:val="FirstParagraph"/>
      </w:pPr>
      <w:r>
        <w:t xml:space="preserve">The Python probe executes its lane lists sequentially. The lanes are labels in a work plan, not threads observed on hardware. Actual concurrency requires a programming model, runtime, executable kernel, device, and schedule.</w:t>
      </w:r>
    </w:p>
    <w:p>
      <w:pPr>
        <w:pStyle w:val="BodyText"/>
      </w:pPr>
      <w:r>
        <w:t xml:space="preserve">CUDA, for example, organizes GPU kernel work through threads, thread blocks, and grids. A program maps problem coordinates into that hierarchy. Hardware and runtime then determine how scheduled work occupies available resources. The mathematical decomposition supplies candidate tasks; it does not specify every scheduling, synchronization, or memory decision.</w:t>
      </w:r>
    </w:p>
    <w:p>
      <w:pPr>
        <w:pStyle w:val="BodyText"/>
      </w:pPr>
      <w:r>
        <w:t xml:space="preserve">GPUs are not the only relevant machines. Domain-specific accelerators can dedicate substantial hardware to matrix operations. The first-generation Tensor Processing Unit evaluated by Jouppi and colleagues contained a 65,536-element 8-bit multiply-accumulate matrix unit for documented neural-network inference workloads. That architecture differs from CUDA’s general thread hierarchy. Grouping both under the word</w:t>
      </w:r>
      <w:r>
        <w:t xml:space="preserve"> </w:t>
      </w:r>
      <w:r>
        <w:rPr>
          <w:i/>
        </w:rPr>
        <w:t xml:space="preserve">accelerator</w:t>
      </w:r>
      <w:r>
        <w:t xml:space="preserve"> </w:t>
      </w:r>
      <w:r>
        <w:t xml:space="preserve">should not erase their mechanisms.</w:t>
      </w:r>
    </w:p>
    <w:p>
      <w:pPr>
        <w:pStyle w:val="BodyText"/>
      </w:pPr>
      <w:r>
        <w:t xml:space="preserve">The historical TPU measurements also remain attached to their context: a specified device, contemporaneous CPU and GPU systems, production inference workloads, precision, memory organization, and datacenter requirements. They are not a standing benchmark for current hardware or arbitrary tensor programs.</w:t>
      </w:r>
    </w:p>
    <w:p>
      <w:pPr>
        <w:pStyle w:val="Heading2"/>
      </w:pPr>
      <w:bookmarkStart w:id="128" w:name="X3412c87be45baf85bf87e13ce997dc5e56939db"/>
      <w:r>
        <w:t xml:space="preserve">Where Performance Actually Enters</w:t>
      </w:r>
      <w:bookmarkEnd w:id="128"/>
    </w:p>
    <w:p>
      <w:pPr>
        <w:pStyle w:val="FirstParagraph"/>
      </w:pPr>
      <w:r>
        <w:t xml:space="preserve">Abundant independent arithmetic can suit parallel hardware, but suitability is only the beginning of a performance argument. Inputs must reach the device. Work must be launched and scheduled. Intermediate values must occupy a memory hierarchy. Threads or specialized units must receive enough useful work to offset overhead. Precision choices can change both arithmetic and data volume.</w:t>
      </w:r>
    </w:p>
    <w:p>
      <w:pPr>
        <w:pStyle w:val="BodyText"/>
      </w:pPr>
      <w:r>
        <w:t xml:space="preserve">A small tensor may complete before accelerator setup pays for itself. An operation with poor data reuse may wait on memory rather than arithmetic. A theoretically high peak throughput can remain underused. Conversely, a well-implemented operation over suitable shapes can exploit hardware resources effectively.</w:t>
      </w:r>
    </w:p>
    <w:p>
      <w:pPr>
        <w:pStyle w:val="BodyText"/>
      </w:pPr>
      <w:r>
        <w:t xml:space="preserve">None of those cases is measured here. The chapter therefore does not say that the four abstract lanes are four GPU threads, that four lanes create a fourfold speedup, or that the 24 product terms predict runtime. Performance requires a benchmark whose workload, implementation, environment, comparison, and measurement method are declared.</w:t>
      </w:r>
    </w:p>
    <w:p>
      <w:pPr>
        <w:pStyle w:val="Heading2"/>
      </w:pPr>
      <w:bookmarkStart w:id="129" w:name="chapter-7-what-the-probe-establishes"/>
      <w:r>
        <w:t xml:space="preserve">What the Probe Establishes</w:t>
      </w:r>
      <w:bookmarkEnd w:id="129"/>
    </w:p>
    <w:p>
      <w:pPr>
        <w:pStyle w:val="FirstParagraph"/>
      </w:pPr>
      <w:r>
        <w:t xml:space="preserve">The dependency-free probe verifies five claims for its fixed inputs. Batch and inner dimensions are compatible. Every output coordinate in the complete plan is assigned once. Lane writes are disjoint. The partitioned result exactly matches the serial reference. Removing one coordinate makes equivalence fail with one visible</w:t>
      </w:r>
      <w:r>
        <w:t xml:space="preserve"> </w:t>
      </w:r>
      <w:r>
        <w:rPr>
          <w:rStyle w:val="VerbatimChar"/>
        </w:rPr>
        <w:t xml:space="preserve">null</w:t>
      </w:r>
      <w:r>
        <w:t xml:space="preserve"> </w:t>
      </w:r>
      <w:r>
        <w:t xml:space="preserve">cell.</w:t>
      </w:r>
    </w:p>
    <w:p>
      <w:pPr>
        <w:pStyle w:val="BodyText"/>
      </w:pPr>
      <w:r>
        <w:t xml:space="preserve">The probe does not execute concurrently, benchmark hardware, model memory traffic, compare precision, or establish optimal scheduling. It does not show that every tensor operation decomposes into independent output cells. Its result belongs to one batched matrix multiplication and one deterministic partition.</w:t>
      </w:r>
    </w:p>
    <w:p>
      <w:pPr>
        <w:pStyle w:val="Heading2"/>
      </w:pPr>
      <w:bookmarkStart w:id="130" w:name="X2d6a0520e9c265748444003f5453a890951319b"/>
      <w:r>
        <w:t xml:space="preserve">Shaped Work Ready for Later Systems</w:t>
      </w:r>
      <w:bookmarkEnd w:id="130"/>
    </w:p>
    <w:p>
      <w:pPr>
        <w:pStyle w:val="FirstParagraph"/>
      </w:pPr>
      <w:r>
        <w:t xml:space="preserve">Chapter 6 exposed parameter adjustment. This chapter has exposed a computational substrate on which larger parameterized systems operate: shaped arrays, contractions, indexed output work, and machines built to schedule or specialize numerical operations.</w:t>
      </w:r>
    </w:p>
    <w:p>
      <w:pPr>
        <w:pStyle w:val="BodyText"/>
      </w:pPr>
      <w:r>
        <w:t xml:space="preserve">The outgoing paths now separate. Chapter 8 will treat learned representations as points and neighborhoods under declared geometric assumptions. Chapter 9 will add runtime scheduling, kernels, memory movement, and ordered sequence work. Chapter 11 will later assemble batched tensor operations into transformer components.</w:t>
      </w:r>
    </w:p>
    <w:p>
      <w:pPr>
        <w:pStyle w:val="BodyText"/>
      </w:pPr>
      <w:r>
        <w:t xml:space="preserve">Scale does not dissolve the chapter’s distinctions. A tensor shape is not a schedule. A work partition is not concurrent execution. Arithmetic count is not elapsed time. Hardware suitability is not measured performance.</w:t>
      </w:r>
    </w:p>
    <w:p>
      <w:pPr>
        <w:pStyle w:val="Heading2"/>
      </w:pPr>
      <w:bookmarkStart w:id="131" w:name="chapter-7-sources-and-evidence"/>
      <w:r>
        <w:t xml:space="preserve">Sources and Evidence</w:t>
      </w:r>
      <w:bookmarkEnd w:id="131"/>
    </w:p>
    <w:p>
      <w:pPr>
        <w:pStyle w:val="FirstParagraph"/>
      </w:pPr>
      <w:r>
        <w:t xml:space="preserve">The chapter’s bounded claims about stacked matrix multiplication, CUDA execution structure, and specialized tensor hardware are documented in the</w:t>
      </w:r>
      <w:r>
        <w:t xml:space="preserve"> </w:t>
      </w:r>
      <w:hyperlink r:id="rId132">
        <w:r>
          <w:rPr>
            <w:rStyle w:val="Hyperlink"/>
          </w:rPr>
          <w:t xml:space="preserve">Chapter 7 source ledger</w:t>
        </w:r>
      </w:hyperlink>
      <w:r>
        <w:t xml:space="preserve">. Exact inputs, assignments, assertions, control behavior, and outputs are recorded in the</w:t>
      </w:r>
      <w:r>
        <w:t xml:space="preserve"> </w:t>
      </w:r>
      <w:hyperlink r:id="rId133">
        <w:r>
          <w:rPr>
            <w:rStyle w:val="Hyperlink"/>
          </w:rPr>
          <w:t xml:space="preserve">tensor-partition probe</w:t>
        </w:r>
      </w:hyperlink>
      <w:r>
        <w:t xml:space="preserve">, with its</w:t>
      </w:r>
      <w:r>
        <w:t xml:space="preserve"> </w:t>
      </w:r>
      <w:hyperlink r:id="rId134">
        <w:r>
          <w:rPr>
            <w:rStyle w:val="Hyperlink"/>
          </w:rPr>
          <w:t xml:space="preserve">Python implementation</w:t>
        </w:r>
      </w:hyperlink>
      <w:r>
        <w:t xml:space="preserve">. Visual provenance and accessibility details are recorded with</w:t>
      </w:r>
      <w:r>
        <w:t xml:space="preserve"> </w:t>
      </w:r>
      <w:hyperlink r:id="rId135">
        <w:r>
          <w:rPr>
            <w:rStyle w:val="Hyperlink"/>
          </w:rPr>
          <w:t xml:space="preserve">Tensor Work on Parallel Lanes</w:t>
        </w:r>
      </w:hyperlink>
      <w:r>
        <w:t xml:space="preserve">.</w:t>
      </w:r>
    </w:p>
    <w:p>
      <w:pPr>
        <w:pStyle w:val="Heading1"/>
      </w:pPr>
      <w:bookmarkStart w:id="136" w:name="chapter-8"/>
      <w:r>
        <w:t xml:space="preserve">Chapter 8 — Learned Spaces</w:t>
      </w:r>
      <w:bookmarkEnd w:id="136"/>
    </w:p>
    <w:p>
      <w:pPr>
        <w:pStyle w:val="FirstParagraph"/>
      </w:pPr>
      <w:r>
        <w:t xml:space="preserve">Chapter 7 organized numerical work by shape. A tensor’s axes identified batches, rows, inner dimensions, and output coordinates before hardware entered the discussion. Learned representations add another question: once a model assigns vectors to items, what relationships can be inspected in the resulting coordinate space?</w:t>
      </w:r>
    </w:p>
    <w:p>
      <w:pPr>
        <w:pStyle w:val="BodyText"/>
      </w:pPr>
      <w:r>
        <w:t xml:space="preserve">Geometry gives us distances, directions, neighborhoods, transformations, and trajectories. Those words can make a learned representation feel immediately interpretable. Two points are close, so perhaps their items mean the same thing. A direction appears stable, so perhaps an axis has acquired a concept.</w:t>
      </w:r>
    </w:p>
    <w:p>
      <w:pPr>
        <w:pStyle w:val="BodyText"/>
      </w:pPr>
      <w:r>
        <w:t xml:space="preserve">Neither conclusion follows from coordinates alone. A geometric claim requires a source for the representation, a comparison rule, and a record of any transformation applied before inspection. Interpretation requires still more.</w:t>
      </w:r>
    </w:p>
    <w:p>
      <w:pPr>
        <w:pStyle w:val="Heading2"/>
      </w:pPr>
      <w:bookmarkStart w:id="137" w:name="chapter-8-what-makes-a-space-learned"/>
      <w:r>
        <w:t xml:space="preserve">What Makes a Space Learned</w:t>
      </w:r>
      <w:bookmarkEnd w:id="137"/>
    </w:p>
    <w:p>
      <w:pPr>
        <w:pStyle w:val="FirstParagraph"/>
      </w:pPr>
      <w:r>
        <w:t xml:space="preserve">An embedding is a vector representation produced under a model, data set, task, objective, and training procedure. Those conditions matter because another task or corpus can produce another arrangement for the same named items.</w:t>
      </w:r>
    </w:p>
    <w:p>
      <w:pPr>
        <w:pStyle w:val="BodyText"/>
      </w:pPr>
      <w:r>
        <w:t xml:space="preserve">Static word-embedding systems provide an early clear example. The Skip-gram work of Mikolov and colleagues trained distributed word and phrase vectors and evaluated syntactic and semantic relationships in the resulting representations. The same paper stated limitations, including indifference to word order in individual word representations and difficulty composing some idiomatic phrases.</w:t>
      </w:r>
    </w:p>
    <w:p>
      <w:pPr>
        <w:pStyle w:val="BodyText"/>
      </w:pPr>
      <w:r>
        <w:t xml:space="preserve">The lesson is not that proximity equals meaning. It is that a trained representation can exhibit regularities worth measuring under declared tasks and tests. Modern embedding systems differ in architecture and context, but the requirement survives: the numerical arrangement belongs to a training and evaluation history.</w:t>
      </w:r>
    </w:p>
    <w:p>
      <w:pPr>
        <w:pStyle w:val="BodyText"/>
      </w:pPr>
      <w:r>
        <w:t xml:space="preserve">The probe in this chapter does not perform that training. It uses four declared two-dimensional points as an analysis fixture. Calling the chapter</w:t>
      </w:r>
      <w:r>
        <w:t xml:space="preserve"> </w:t>
      </w:r>
      <w:r>
        <w:rPr>
          <w:i/>
        </w:rPr>
        <w:t xml:space="preserve">Learned Spaces</w:t>
      </w:r>
      <w:r>
        <w:t xml:space="preserve"> </w:t>
      </w:r>
      <w:r>
        <w:t xml:space="preserve">names the destination of the method, not the provenance of those four coordinates.</w:t>
      </w:r>
    </w:p>
    <w:p>
      <w:pPr>
        <w:pStyle w:val="Heading2"/>
      </w:pPr>
      <w:bookmarkStart w:id="138" w:name="Xa8fb180c7d02db4df4833975e66f0a639c0f572"/>
      <w:r>
        <w:t xml:space="preserve">Coordinates Are Not Their Labels</w:t>
      </w:r>
      <w:bookmarkEnd w:id="138"/>
    </w:p>
    <w:p>
      <w:pPr>
        <w:pStyle w:val="FirstParagraph"/>
      </w:pPr>
      <w:r>
        <w:t xml:space="preserve">The fixture contains:</w:t>
      </w:r>
    </w:p>
    <w:tbl>
      <w:tblPr>
        <w:tblStyle w:val="Table"/>
        <w:tblW w:type="pct" w:w="0.0"/>
        <w:tblLook w:firstRow="1"/>
      </w:tblPr>
      <w:tblGrid/>
      <w:tr>
        <w:trPr>
          <w:cnfStyle w:firstRow="1"/>
        </w:trPr>
        <w:tc>
          <w:tcPr>
            <w:tcBorders>
              <w:bottom w:val="single"/>
            </w:tcBorders>
            <w:vAlign w:val="bottom"/>
          </w:tcPr>
          <w:p>
            <w:pPr>
              <w:pStyle w:val="Compact"/>
              <w:jc w:val="left"/>
            </w:pPr>
            <w:r>
              <w:t xml:space="preserve">label</w:t>
            </w:r>
          </w:p>
        </w:tc>
        <w:tc>
          <w:tcPr>
            <w:tcBorders>
              <w:bottom w:val="single"/>
            </w:tcBorders>
            <w:vAlign w:val="bottom"/>
          </w:tcPr>
          <w:p>
            <w:pPr>
              <w:pStyle w:val="Compact"/>
              <w:jc w:val="right"/>
            </w:pPr>
            <w:r>
              <w:t xml:space="preserve">coordinate</w:t>
            </w:r>
          </w:p>
        </w:tc>
      </w:tr>
      <w:tr>
        <w:tc>
          <w:p>
            <w:pPr>
              <w:pStyle w:val="Compact"/>
              <w:jc w:val="left"/>
            </w:pPr>
            <w:r>
              <w:rPr>
                <w:rStyle w:val="VerbatimChar"/>
              </w:rPr>
              <w:t xml:space="preserve">anchor</w:t>
            </w:r>
          </w:p>
        </w:tc>
        <w:tc>
          <w:p>
            <w:pPr>
              <w:pStyle w:val="Compact"/>
              <w:jc w:val="right"/>
            </w:pPr>
            <m:oMath>
              <m:r>
                <m:t>(</m:t>
              </m:r>
              <m:r>
                <m:t>1</m:t>
              </m:r>
              <m:r>
                <m:t>,</m:t>
              </m:r>
              <m:r>
                <m:t>0</m:t>
              </m:r>
              <m:r>
                <m:t>)</m:t>
              </m:r>
            </m:oMath>
          </w:p>
        </w:tc>
      </w:tr>
      <w:tr>
        <w:tc>
          <w:p>
            <w:pPr>
              <w:pStyle w:val="Compact"/>
              <w:jc w:val="left"/>
            </w:pPr>
            <w:r>
              <w:rPr>
                <w:rStyle w:val="VerbatimChar"/>
              </w:rPr>
              <w:t xml:space="preserve">east</w:t>
            </w:r>
          </w:p>
        </w:tc>
        <w:tc>
          <w:p>
            <w:pPr>
              <w:pStyle w:val="Compact"/>
              <w:jc w:val="right"/>
            </w:pPr>
            <m:oMath>
              <m:r>
                <m:t>(</m:t>
              </m:r>
              <m:r>
                <m:t>2</m:t>
              </m:r>
              <m:r>
                <m:t>,</m:t>
              </m:r>
              <m:r>
                <m:t>0.2</m:t>
              </m:r>
              <m:r>
                <m:t>)</m:t>
              </m:r>
            </m:oMath>
          </w:p>
        </w:tc>
      </w:tr>
      <w:tr>
        <w:tc>
          <w:p>
            <w:pPr>
              <w:pStyle w:val="Compact"/>
              <w:jc w:val="left"/>
            </w:pPr>
            <w:r>
              <w:rPr>
                <w:rStyle w:val="VerbatimChar"/>
              </w:rPr>
              <w:t xml:space="preserve">north</w:t>
            </w:r>
          </w:p>
        </w:tc>
        <w:tc>
          <w:p>
            <w:pPr>
              <w:pStyle w:val="Compact"/>
              <w:jc w:val="right"/>
            </w:pPr>
            <m:oMath>
              <m:r>
                <m:t>(</m:t>
              </m:r>
              <m:r>
                <m:t>1.05</m:t>
              </m:r>
              <m:r>
                <m:t>,</m:t>
              </m:r>
              <m:r>
                <m:t>1</m:t>
              </m:r>
              <m:r>
                <m:t>)</m:t>
              </m:r>
            </m:oMath>
          </w:p>
        </w:tc>
      </w:tr>
      <w:tr>
        <w:tc>
          <w:p>
            <w:pPr>
              <w:pStyle w:val="Compact"/>
              <w:jc w:val="left"/>
            </w:pPr>
            <w:r>
              <w:rPr>
                <w:rStyle w:val="VerbatimChar"/>
              </w:rPr>
              <w:t xml:space="preserve">west</w:t>
            </w:r>
          </w:p>
        </w:tc>
        <w:tc>
          <w:p>
            <w:pPr>
              <w:pStyle w:val="Compact"/>
              <w:jc w:val="right"/>
            </w:pPr>
            <m:oMath>
              <m:r>
                <m:t>(</m:t>
              </m:r>
              <m:r>
                <m:t>−</m:t>
              </m:r>
              <m:r>
                <m:t>1</m:t>
              </m:r>
              <m:r>
                <m:t>,</m:t>
              </m:r>
              <m:r>
                <m:t>1</m:t>
              </m:r>
              <m:r>
                <m:t>)</m:t>
              </m:r>
            </m:oMath>
          </w:p>
        </w:tc>
      </w:tr>
    </w:tbl>
    <w:p>
      <w:pPr>
        <w:pStyle w:val="BodyText"/>
      </w:pPr>
      <w:r>
        <w:t xml:space="preserve">The labels make the points easy to discuss. They do not encode compass directions as intrinsic semantic properties. We could rename the points without changing any distance calculation.</w:t>
      </w:r>
    </w:p>
    <w:p>
      <w:pPr>
        <w:pStyle w:val="BodyText"/>
      </w:pPr>
      <w:r>
        <w:t xml:space="preserve">Real learned representations are usually much higher-dimensional than this fixture. Their individual axes need not correspond to simple human-readable concepts. A two-dimensional drawing may be useful, but if it is produced by projecting a larger space, the projection method becomes another declared transformation with its own preserved and discarded structure.</w:t>
      </w:r>
    </w:p>
    <w:p>
      <w:pPr>
        <w:pStyle w:val="Heading2"/>
      </w:pPr>
      <w:bookmarkStart w:id="139" w:name="chapter-8-two-ways-to-be-near"/>
      <w:r>
        <w:t xml:space="preserve">Two Ways to Be Near</w:t>
      </w:r>
      <w:bookmarkEnd w:id="139"/>
    </w:p>
    <w:p>
      <w:pPr>
        <w:pStyle w:val="FirstParagraph"/>
      </w:pPr>
      <w:r>
        <w:t xml:space="preserve">Euclidean distance measures displacement between two coordinates:</w:t>
      </w:r>
    </w:p>
    <w:p>
      <w:pPr>
        <w:pStyle w:val="BodyText"/>
      </w:pPr>
      <m:oMathPara>
        <m:oMathParaPr>
          <m:jc m:val="center"/>
        </m:oMathParaPr>
        <m:oMath>
          <m:r>
            <m:t>d</m:t>
          </m:r>
          <m:r>
            <m:t>(</m:t>
          </m:r>
          <m:r>
            <m:t>u</m:t>
          </m:r>
          <m:r>
            <m:t>,</m:t>
          </m:r>
          <m:r>
            <m:t>v</m:t>
          </m:r>
          <m:r>
            <m:t>)</m:t>
          </m:r>
          <m:r>
            <m:t>=</m:t>
          </m:r>
          <m:rad>
            <m:radPr>
              <m:degHide m:val="1"/>
            </m:radPr>
            <m:deg/>
            <m:e>
              <m:r>
                <m:t>(</m:t>
              </m:r>
              <m:sSub>
                <m:e>
                  <m:r>
                    <m:t>u</m:t>
                  </m:r>
                </m:e>
                <m:sub>
                  <m:r>
                    <m:t>1</m:t>
                  </m:r>
                </m:sub>
              </m:sSub>
              <m:r>
                <m:t>−</m:t>
              </m:r>
              <m:sSub>
                <m:e>
                  <m:r>
                    <m:t>v</m:t>
                  </m:r>
                </m:e>
                <m:sub>
                  <m:r>
                    <m:t>1</m:t>
                  </m:r>
                </m:sub>
              </m:sSub>
              <m:sSup>
                <m:e>
                  <m:r>
                    <m:t>)</m:t>
                  </m:r>
                </m:e>
                <m:sup>
                  <m:r>
                    <m:t>2</m:t>
                  </m:r>
                </m:sup>
              </m:sSup>
              <m:r>
                <m:t>+</m:t>
              </m:r>
              <m:r>
                <m:t>(</m:t>
              </m:r>
              <m:sSub>
                <m:e>
                  <m:r>
                    <m:t>u</m:t>
                  </m:r>
                </m:e>
                <m:sub>
                  <m:r>
                    <m:t>2</m:t>
                  </m:r>
                </m:sub>
              </m:sSub>
              <m:r>
                <m:t>−</m:t>
              </m:r>
              <m:sSub>
                <m:e>
                  <m:r>
                    <m:t>v</m:t>
                  </m:r>
                </m:e>
                <m:sub>
                  <m:r>
                    <m:t>2</m:t>
                  </m:r>
                </m:sub>
              </m:sSub>
              <m:sSup>
                <m:e>
                  <m:r>
                    <m:t>)</m:t>
                  </m:r>
                </m:e>
                <m:sup>
                  <m:r>
                    <m:t>2</m:t>
                  </m:r>
                </m:sup>
              </m:sSup>
            </m:e>
          </m:rad>
          <m:r>
            <m:t>.</m:t>
          </m:r>
        </m:oMath>
      </m:oMathPara>
    </w:p>
    <w:p>
      <w:pPr>
        <w:pStyle w:val="FirstParagraph"/>
      </w:pPr>
      <w:r>
        <w:t xml:space="preserve">From</w:t>
      </w:r>
      <w:r>
        <w:t xml:space="preserve"> </w:t>
      </w:r>
      <w:r>
        <w:rPr>
          <w:rStyle w:val="VerbatimChar"/>
        </w:rPr>
        <w:t xml:space="preserve">anchor</w:t>
      </w:r>
      <w:r>
        <w:t xml:space="preserve">, the Euclidean distances are approximately:</w:t>
      </w:r>
    </w:p>
    <w:tbl>
      <w:tblPr>
        <w:tblStyle w:val="Table"/>
        <w:tblW w:type="pct" w:w="0.0"/>
        <w:tblLook w:firstRow="1"/>
      </w:tblPr>
      <w:tblGrid/>
      <w:tr>
        <w:trPr>
          <w:cnfStyle w:firstRow="1"/>
        </w:trPr>
        <w:tc>
          <w:tcPr>
            <w:tcBorders>
              <w:bottom w:val="single"/>
            </w:tcBorders>
            <w:vAlign w:val="bottom"/>
          </w:tcPr>
          <w:p>
            <w:pPr>
              <w:pStyle w:val="Compact"/>
              <w:jc w:val="left"/>
            </w:pPr>
            <w:r>
              <w:t xml:space="preserve">candidate</w:t>
            </w:r>
          </w:p>
        </w:tc>
        <w:tc>
          <w:tcPr>
            <w:tcBorders>
              <w:bottom w:val="single"/>
            </w:tcBorders>
            <w:vAlign w:val="bottom"/>
          </w:tcPr>
          <w:p>
            <w:pPr>
              <w:pStyle w:val="Compact"/>
              <w:jc w:val="right"/>
            </w:pPr>
            <w:r>
              <w:t xml:space="preserve">distance</w:t>
            </w:r>
          </w:p>
        </w:tc>
      </w:tr>
      <w:tr>
        <w:tc>
          <w:p>
            <w:pPr>
              <w:pStyle w:val="Compact"/>
              <w:jc w:val="left"/>
            </w:pPr>
            <w:r>
              <w:rPr>
                <w:rStyle w:val="VerbatimChar"/>
              </w:rPr>
              <w:t xml:space="preserve">north</w:t>
            </w:r>
          </w:p>
        </w:tc>
        <w:tc>
          <w:p>
            <w:pPr>
              <w:pStyle w:val="Compact"/>
              <w:jc w:val="right"/>
            </w:pPr>
            <m:oMath>
              <m:r>
                <m:t>1.0012492</m:t>
              </m:r>
            </m:oMath>
          </w:p>
        </w:tc>
      </w:tr>
      <w:tr>
        <w:tc>
          <w:p>
            <w:pPr>
              <w:pStyle w:val="Compact"/>
              <w:jc w:val="left"/>
            </w:pPr>
            <w:r>
              <w:rPr>
                <w:rStyle w:val="VerbatimChar"/>
              </w:rPr>
              <w:t xml:space="preserve">east</w:t>
            </w:r>
          </w:p>
        </w:tc>
        <w:tc>
          <w:p>
            <w:pPr>
              <w:pStyle w:val="Compact"/>
              <w:jc w:val="right"/>
            </w:pPr>
            <m:oMath>
              <m:r>
                <m:t>1.0198039</m:t>
              </m:r>
            </m:oMath>
          </w:p>
        </w:tc>
      </w:tr>
      <w:tr>
        <w:tc>
          <w:p>
            <w:pPr>
              <w:pStyle w:val="Compact"/>
              <w:jc w:val="left"/>
            </w:pPr>
            <w:r>
              <w:rPr>
                <w:rStyle w:val="VerbatimChar"/>
              </w:rPr>
              <w:t xml:space="preserve">west</w:t>
            </w:r>
          </w:p>
        </w:tc>
        <w:tc>
          <w:p>
            <w:pPr>
              <w:pStyle w:val="Compact"/>
              <w:jc w:val="right"/>
            </w:pPr>
            <m:oMath>
              <m:r>
                <m:t>2.2360680</m:t>
              </m:r>
            </m:oMath>
          </w:p>
        </w:tc>
      </w:tr>
    </w:tbl>
    <w:p>
      <w:pPr>
        <w:pStyle w:val="BodyText"/>
      </w:pPr>
      <w:r>
        <w:t xml:space="preserve">Under this rule,</w:t>
      </w:r>
      <w:r>
        <w:t xml:space="preserve"> </w:t>
      </w:r>
      <w:r>
        <w:rPr>
          <w:rStyle w:val="VerbatimChar"/>
        </w:rPr>
        <w:t xml:space="preserve">north</w:t>
      </w:r>
      <w:r>
        <w:t xml:space="preserve"> </w:t>
      </w:r>
      <w:r>
        <w:t xml:space="preserve">is nearest.</w:t>
      </w:r>
    </w:p>
    <w:p>
      <w:pPr>
        <w:pStyle w:val="BodyText"/>
      </w:pPr>
      <w:r>
        <w:t xml:space="preserve">Cosine similarity asks a different question. It compares direction from the coordinate origin through the normalized dot product:</w:t>
      </w:r>
    </w:p>
    <w:p>
      <w:pPr>
        <w:pStyle w:val="BodyText"/>
      </w:pPr>
      <m:oMathPara>
        <m:oMathParaPr>
          <m:jc m:val="center"/>
        </m:oMathParaPr>
        <m:oMath>
          <m:r>
            <m:t>s</m:t>
          </m:r>
          <m:r>
            <m:t>(</m:t>
          </m:r>
          <m:r>
            <m:t>u</m:t>
          </m:r>
          <m:r>
            <m:t>,</m:t>
          </m:r>
          <m:r>
            <m:t>v</m:t>
          </m:r>
          <m:r>
            <m:t>)</m:t>
          </m:r>
          <m:r>
            <m:t>=</m:t>
          </m:r>
          <m:f>
            <m:fPr>
              <m:type m:val="bar"/>
            </m:fPr>
            <m:num>
              <m:r>
                <m:t>u</m:t>
              </m:r>
              <m:r>
                <m:t>⋅</m:t>
              </m:r>
              <m:r>
                <m:t>v</m:t>
              </m:r>
            </m:num>
            <m:den>
              <m:r>
                <m:t>∥</m:t>
              </m:r>
              <m:r>
                <m:t>u</m:t>
              </m:r>
              <m:r>
                <m:t>∥</m:t>
              </m:r>
              <m:r>
                <m:t>∥</m:t>
              </m:r>
              <m:r>
                <m:t>v</m:t>
              </m:r>
              <m:r>
                <m:t>∥</m:t>
              </m:r>
            </m:den>
          </m:f>
          <m:r>
            <m:t>.</m:t>
          </m:r>
        </m:oMath>
      </m:oMathPara>
    </w:p>
    <w:p>
      <w:pPr>
        <w:pStyle w:val="FirstParagraph"/>
      </w:pPr>
      <w:r>
        <w:t xml:space="preserve">The corresponding similarities are approximately:</w:t>
      </w:r>
    </w:p>
    <w:tbl>
      <w:tblPr>
        <w:tblStyle w:val="Table"/>
        <w:tblW w:type="pct" w:w="0.0"/>
        <w:tblLook w:firstRow="1"/>
      </w:tblPr>
      <w:tblGrid/>
      <w:tr>
        <w:trPr>
          <w:cnfStyle w:firstRow="1"/>
        </w:trPr>
        <w:tc>
          <w:tcPr>
            <w:tcBorders>
              <w:bottom w:val="single"/>
            </w:tcBorders>
            <w:vAlign w:val="bottom"/>
          </w:tcPr>
          <w:p>
            <w:pPr>
              <w:pStyle w:val="Compact"/>
              <w:jc w:val="left"/>
            </w:pPr>
            <w:r>
              <w:t xml:space="preserve">candidate</w:t>
            </w:r>
          </w:p>
        </w:tc>
        <w:tc>
          <w:tcPr>
            <w:tcBorders>
              <w:bottom w:val="single"/>
            </w:tcBorders>
            <w:vAlign w:val="bottom"/>
          </w:tcPr>
          <w:p>
            <w:pPr>
              <w:pStyle w:val="Compact"/>
              <w:jc w:val="right"/>
            </w:pPr>
            <w:r>
              <w:t xml:space="preserve">cosine similarity</w:t>
            </w:r>
          </w:p>
        </w:tc>
      </w:tr>
      <w:tr>
        <w:tc>
          <w:p>
            <w:pPr>
              <w:pStyle w:val="Compact"/>
              <w:jc w:val="left"/>
            </w:pPr>
            <w:r>
              <w:rPr>
                <w:rStyle w:val="VerbatimChar"/>
              </w:rPr>
              <w:t xml:space="preserve">east</w:t>
            </w:r>
          </w:p>
        </w:tc>
        <w:tc>
          <w:p>
            <w:pPr>
              <w:pStyle w:val="Compact"/>
              <w:jc w:val="right"/>
            </w:pPr>
            <m:oMath>
              <m:r>
                <m:t>0.9950372</m:t>
              </m:r>
            </m:oMath>
          </w:p>
        </w:tc>
      </w:tr>
      <w:tr>
        <w:tc>
          <w:p>
            <w:pPr>
              <w:pStyle w:val="Compact"/>
              <w:jc w:val="left"/>
            </w:pPr>
            <w:r>
              <w:rPr>
                <w:rStyle w:val="VerbatimChar"/>
              </w:rPr>
              <w:t xml:space="preserve">north</w:t>
            </w:r>
          </w:p>
        </w:tc>
        <w:tc>
          <w:p>
            <w:pPr>
              <w:pStyle w:val="Compact"/>
              <w:jc w:val="right"/>
            </w:pPr>
            <m:oMath>
              <m:r>
                <m:t>0.7241379</m:t>
              </m:r>
            </m:oMath>
          </w:p>
        </w:tc>
      </w:tr>
      <w:tr>
        <w:tc>
          <w:p>
            <w:pPr>
              <w:pStyle w:val="Compact"/>
              <w:jc w:val="left"/>
            </w:pPr>
            <w:r>
              <w:rPr>
                <w:rStyle w:val="VerbatimChar"/>
              </w:rPr>
              <w:t xml:space="preserve">west</w:t>
            </w:r>
          </w:p>
        </w:tc>
        <w:tc>
          <w:p>
            <w:pPr>
              <w:pStyle w:val="Compact"/>
              <w:jc w:val="right"/>
            </w:pPr>
            <m:oMath>
              <m:r>
                <m:t>−</m:t>
              </m:r>
              <m:r>
                <m:t>0.7071068</m:t>
              </m:r>
            </m:oMath>
          </w:p>
        </w:tc>
      </w:tr>
    </w:tbl>
    <w:p>
      <w:pPr>
        <w:pStyle w:val="BodyText"/>
      </w:pPr>
      <w:r>
        <w:t xml:space="preserve">Now</w:t>
      </w:r>
      <w:r>
        <w:t xml:space="preserve"> </w:t>
      </w:r>
      <w:r>
        <w:rPr>
          <w:rStyle w:val="VerbatimChar"/>
        </w:rPr>
        <w:t xml:space="preserve">east</w:t>
      </w:r>
      <w:r>
        <w:t xml:space="preserve"> </w:t>
      </w:r>
      <w:r>
        <w:t xml:space="preserve">is the nearest in the sense of greatest cosine similarity. Nothing about the stored coordinates changed between the two rankings. The comparison rule changed.</w:t>
      </w:r>
    </w:p>
    <w:p>
      <w:pPr>
        <w:pStyle w:val="BodyText"/>
      </w:pPr>
      <w:r>
        <w:t xml:space="preserve">The phrase</w:t>
      </w:r>
      <w:r>
        <w:t xml:space="preserve"> </w:t>
      </w:r>
      <w:r>
        <w:t xml:space="preserve">“</w:t>
      </w:r>
      <w:r>
        <w:t xml:space="preserve">nearest neighbor</w:t>
      </w:r>
      <w:r>
        <w:t xml:space="preserve">”</w:t>
      </w:r>
      <w:r>
        <w:t xml:space="preserve"> </w:t>
      </w:r>
      <w:r>
        <w:t xml:space="preserve">is therefore incomplete until the representation and measure are named. Euclidean distance is sensitive to magnitude and displacement. Cosine similarity compares orientation relative to the origin and is undefined for a zero vector under the formula used here. Neither rule is universally correct for every learned space.</w:t>
      </w:r>
    </w:p>
    <w:p>
      <w:pPr>
        <w:pStyle w:val="Heading2"/>
      </w:pPr>
      <w:bookmarkStart w:id="140" w:name="X310bd15d2ff42e39f27cafecec5de1df6793905"/>
      <w:r>
        <w:t xml:space="preserve">A Transformation That Preserves Distance</w:t>
      </w:r>
      <w:bookmarkEnd w:id="140"/>
    </w:p>
    <w:p>
      <w:pPr>
        <w:pStyle w:val="FirstParagraph"/>
      </w:pPr>
      <w:r>
        <w:t xml:space="preserve">Chapter 4 distinguished a map from the objects it transforms. Apply that discipline here by rotating every point 37 degrees around the origin.</w:t>
      </w:r>
    </w:p>
    <w:p>
      <w:pPr>
        <w:pStyle w:val="BodyText"/>
      </w:pPr>
      <w:r>
        <w:t xml:space="preserve">A rotation changes each displayed coordinate. The</w:t>
      </w:r>
      <w:r>
        <w:t xml:space="preserve"> </w:t>
      </w:r>
      <w:r>
        <w:rPr>
          <w:rStyle w:val="VerbatimChar"/>
        </w:rPr>
        <w:t xml:space="preserve">anchor</w:t>
      </w:r>
      <w:r>
        <w:t xml:space="preserve"> </w:t>
      </w:r>
      <w:r>
        <w:t xml:space="preserve">point moves from</w:t>
      </w:r>
      <w:r>
        <w:t xml:space="preserve"> </w:t>
      </w:r>
      <m:oMath>
        <m:r>
          <m:t>(</m:t>
        </m:r>
        <m:r>
          <m:t>1</m:t>
        </m:r>
        <m:r>
          <m:t>,</m:t>
        </m:r>
        <m:r>
          <m:t>0</m:t>
        </m:r>
        <m:r>
          <m:t>)</m:t>
        </m:r>
      </m:oMath>
      <w:r>
        <w:t xml:space="preserve"> </w:t>
      </w:r>
      <w:r>
        <w:t xml:space="preserve">to approximately</w:t>
      </w:r>
    </w:p>
    <w:p>
      <w:pPr>
        <w:pStyle w:val="BodyText"/>
      </w:pPr>
      <m:oMathPara>
        <m:oMathParaPr>
          <m:jc m:val="center"/>
        </m:oMathParaPr>
        <m:oMath>
          <m:r>
            <m:t>(</m:t>
          </m:r>
          <m:r>
            <m:t>0.798636</m:t>
          </m:r>
          <m:r>
            <m:t>,</m:t>
          </m:r>
          <m:r>
            <m:t>0.601815</m:t>
          </m:r>
          <m:r>
            <m:t>)</m:t>
          </m:r>
          <m:r>
            <m:t>.</m:t>
          </m:r>
        </m:oMath>
      </m:oMathPara>
    </w:p>
    <w:p>
      <w:pPr>
        <w:pStyle w:val="FirstParagraph"/>
      </w:pPr>
      <w:r>
        <w:t xml:space="preserve">Yet rigid rotation preserves Euclidean distances. Across all six pairs in the fixture, the probe records a maximum absolute distance difference of approximately</w:t>
      </w:r>
    </w:p>
    <w:p>
      <w:pPr>
        <w:pStyle w:val="BodyText"/>
      </w:pPr>
      <m:oMathPara>
        <m:oMathParaPr>
          <m:jc m:val="center"/>
        </m:oMathParaPr>
        <m:oMath>
          <m:r>
            <m:t>4.44</m:t>
          </m:r>
          <m:r>
            <m:t>×</m:t>
          </m:r>
          <m:sSup>
            <m:e>
              <m:r>
                <m:t>10</m:t>
              </m:r>
            </m:e>
            <m:sup>
              <m:r>
                <m:t>−</m:t>
              </m:r>
              <m:r>
                <m:t>16</m:t>
              </m:r>
            </m:sup>
          </m:sSup>
          <m:r>
            <m:t>,</m:t>
          </m:r>
        </m:oMath>
      </m:oMathPara>
    </w:p>
    <w:p>
      <w:pPr>
        <w:pStyle w:val="FirstParagraph"/>
      </w:pPr>
      <w:r>
        <w:t xml:space="preserve">which is within its</w:t>
      </w:r>
      <w:r>
        <w:t xml:space="preserve"> </w:t>
      </w:r>
      <m:oMath>
        <m:sSup>
          <m:e>
            <m:r>
              <m:t>10</m:t>
            </m:r>
          </m:e>
          <m:sup>
            <m:r>
              <m:t>−</m:t>
            </m:r>
            <m:r>
              <m:t>12</m:t>
            </m:r>
          </m:sup>
        </m:sSup>
      </m:oMath>
      <w:r>
        <w:t xml:space="preserve"> </w:t>
      </w:r>
      <w:r>
        <w:t xml:space="preserve">floating-point tolerance.</w:t>
      </w:r>
      <w:r>
        <w:t xml:space="preserve"> </w:t>
      </w:r>
      <w:r>
        <w:rPr>
          <w:rStyle w:val="VerbatimChar"/>
        </w:rPr>
        <w:t xml:space="preserve">north</w:t>
      </w:r>
      <w:r>
        <w:t xml:space="preserve"> </w:t>
      </w:r>
      <w:r>
        <w:t xml:space="preserve">remains the Euclidean nearest neighbor of</w:t>
      </w:r>
      <w:r>
        <w:t xml:space="preserve"> </w:t>
      </w:r>
      <w:r>
        <w:rPr>
          <w:rStyle w:val="VerbatimChar"/>
        </w:rPr>
        <w:t xml:space="preserve">anchor</w:t>
      </w:r>
      <w:r>
        <w:t xml:space="preserve">.</w:t>
      </w:r>
    </w:p>
    <w:p>
      <w:pPr>
        <w:pStyle w:val="BodyText"/>
      </w:pPr>
      <w:r>
        <w:t xml:space="preserve">This is a coordinate change that preserves the selected geometry. The plotted orientation changes, but the Euclidean neighborhood does not. A visual direction on the page is therefore not automatically an intrinsic direction in the represented domain.</w:t>
      </w:r>
    </w:p>
    <w:p>
      <w:pPr>
        <w:pStyle w:val="Heading2"/>
      </w:pPr>
      <w:bookmarkStart w:id="141" w:name="X633ecf68414941376f8107c5e35a7c91c71ae4c"/>
      <w:r>
        <w:t xml:space="preserve">Invertible Does Not Mean Distance-Preserving</w:t>
      </w:r>
      <w:bookmarkEnd w:id="141"/>
    </w:p>
    <w:p>
      <w:pPr>
        <w:pStyle w:val="FirstParagraph"/>
      </w:pPr>
      <w:r>
        <w:t xml:space="preserve">Now apply anisotropic scaling:</w:t>
      </w:r>
    </w:p>
    <w:p>
      <w:pPr>
        <w:pStyle w:val="BodyText"/>
      </w:pPr>
      <m:oMathPara>
        <m:oMathParaPr>
          <m:jc m:val="center"/>
        </m:oMathParaPr>
        <m:oMath>
          <m:r>
            <m:t>(</m:t>
          </m:r>
          <m:r>
            <m:t>x</m:t>
          </m:r>
          <m:r>
            <m:t>,</m:t>
          </m:r>
          <m:r>
            <m:t>y</m:t>
          </m:r>
          <m:r>
            <m:t>)</m:t>
          </m:r>
          <m:r>
            <m:t>↦</m:t>
          </m:r>
          <m:r>
            <m:t>(</m:t>
          </m:r>
          <m:r>
            <m:t>0.2</m:t>
          </m:r>
          <m:r>
            <m:t>x</m:t>
          </m:r>
          <m:r>
            <m:t>,</m:t>
          </m:r>
          <m:r>
            <m:t>3</m:t>
          </m:r>
          <m:r>
            <m:t>y</m:t>
          </m:r>
          <m:r>
            <m:t>)</m:t>
          </m:r>
          <m:r>
            <m:t>.</m:t>
          </m:r>
        </m:oMath>
      </m:oMathPara>
    </w:p>
    <w:p>
      <w:pPr>
        <w:pStyle w:val="FirstParagraph"/>
      </w:pPr>
      <w:r>
        <w:t xml:space="preserve">Both scale factors are nonzero. The transformation is invertible: dividing by the same factors recovers the original coordinates. But horizontal displacement is compressed while vertical displacement is expanded. Euclidean distance is not preserved.</w:t>
      </w:r>
    </w:p>
    <w:p>
      <w:pPr>
        <w:pStyle w:val="BodyText"/>
      </w:pPr>
      <w:r>
        <w:t xml:space="preserve">After scaling,</w:t>
      </w:r>
      <w:r>
        <w:t xml:space="preserve"> </w:t>
      </w:r>
      <w:r>
        <w:rPr>
          <w:rStyle w:val="VerbatimChar"/>
        </w:rPr>
        <w:t xml:space="preserve">east</w:t>
      </w:r>
      <w:r>
        <w:t xml:space="preserve"> </w:t>
      </w:r>
      <w:r>
        <w:t xml:space="preserve">becomes the Euclidean nearest neighbor of</w:t>
      </w:r>
      <w:r>
        <w:t xml:space="preserve"> </w:t>
      </w:r>
      <w:r>
        <w:rPr>
          <w:rStyle w:val="VerbatimChar"/>
        </w:rPr>
        <w:t xml:space="preserve">anchor</w:t>
      </w:r>
      <w:r>
        <w:t xml:space="preserve">. The original</w:t>
      </w:r>
      <w:r>
        <w:t xml:space="preserve"> </w:t>
      </w:r>
      <w:r>
        <w:rPr>
          <w:rStyle w:val="VerbatimChar"/>
        </w:rPr>
        <w:t xml:space="preserve">north</w:t>
      </w:r>
      <w:r>
        <w:t xml:space="preserve"> </w:t>
      </w:r>
      <w:r>
        <w:t xml:space="preserve">point is pushed much farther away in the stretched vertical direction.</w:t>
      </w:r>
    </w:p>
    <w:p>
      <w:pPr>
        <w:pStyle w:val="CaptionedFigure"/>
      </w:pPr>
      <w:r>
        <w:drawing>
          <wp:inline>
            <wp:extent cx="5334000" cy="3378200"/>
            <wp:effectExtent b="0" l="0" r="0" t="0"/>
            <wp:docPr descr="Neighborhoods in a Learned Space" title="" id="1" name="Picture"/>
            <a:graphic>
              <a:graphicData uri="http://schemas.openxmlformats.org/drawingml/2006/picture">
                <pic:pic>
                  <pic:nvPicPr>
                    <pic:cNvPr descr="../visuals/chapter_08_learned_space.svg" id="0" name="Picture"/>
                    <pic:cNvPicPr>
                      <a:picLocks noChangeArrowheads="1" noChangeAspect="1"/>
                    </pic:cNvPicPr>
                  </pic:nvPicPr>
                  <pic:blipFill>
                    <a:blip r:embed="rId142"/>
                    <a:stretch>
                      <a:fillRect/>
                    </a:stretch>
                  </pic:blipFill>
                  <pic:spPr bwMode="auto">
                    <a:xfrm>
                      <a:off x="0" y="0"/>
                      <a:ext cx="5334000" cy="3378200"/>
                    </a:xfrm>
                    <a:prstGeom prst="rect">
                      <a:avLst/>
                    </a:prstGeom>
                    <a:noFill/>
                    <a:ln w="9525">
                      <a:noFill/>
                      <a:headEnd/>
                      <a:tailEnd/>
                    </a:ln>
                  </pic:spPr>
                </pic:pic>
              </a:graphicData>
            </a:graphic>
          </wp:inline>
        </w:drawing>
      </w:r>
    </w:p>
    <w:p>
      <w:pPr>
        <w:pStyle w:val="ImageCaption"/>
      </w:pPr>
      <w:r>
        <w:t xml:space="preserve">Neighborhoods in a Learned Space</w:t>
      </w:r>
    </w:p>
    <w:p>
      <w:pPr>
        <w:pStyle w:val="BodyText"/>
      </w:pPr>
      <w:r>
        <w:rPr>
          <w:i/>
        </w:rPr>
        <w:t xml:space="preserve">The same illustrative coordinates produce different neighbors under Euclidean and cosine comparison. Rotation preserves the Euclidean neighborhood, while invertible anisotropic scaling changes it. The probe tests geometric assumptions, not learned semantics.</w:t>
      </w:r>
    </w:p>
    <w:p>
      <w:pPr>
        <w:pStyle w:val="BodyText"/>
      </w:pPr>
      <w:r>
        <w:t xml:space="preserve">The three panels separate properties that are easy to collapse. A metric selects a neighborhood. A rigid transformation preserves the Euclidean relation. An invertible transformation can preserve all coordinate information while changing that relation.</w:t>
      </w:r>
    </w:p>
    <w:p>
      <w:pPr>
        <w:pStyle w:val="BodyText"/>
      </w:pPr>
      <w:r>
        <w:t xml:space="preserve">The point labels did not change during scaling. Nor did the probe establish that their meanings changed. It established only that a selected geometric neighborhood changed under a selected transformation.</w:t>
      </w:r>
    </w:p>
    <w:p>
      <w:pPr>
        <w:pStyle w:val="Heading2"/>
      </w:pPr>
      <w:bookmarkStart w:id="143" w:name="Xfe0ff668d2a970f22ed9116526036bc05cb97ab"/>
      <w:r>
        <w:t xml:space="preserve">Geometry Across Training and Context</w:t>
      </w:r>
      <w:bookmarkEnd w:id="143"/>
    </w:p>
    <w:p>
      <w:pPr>
        <w:pStyle w:val="FirstParagraph"/>
      </w:pPr>
      <w:r>
        <w:t xml:space="preserve">Learned spaces can also be inspected across training checkpoints, layers, or contexts. A vector’s recorded positions can form a trajectory, and derivatives can describe local sensitivity for a specified mapping. Those analyses inherit Chapter 4’s boundary: a trajectory requires a parameterization, and a derivative belongs to a declared function and evaluation point.</w:t>
      </w:r>
    </w:p>
    <w:p>
      <w:pPr>
        <w:pStyle w:val="BodyText"/>
      </w:pPr>
      <w:r>
        <w:t xml:space="preserve">This chapter does not construct such a trajectory. It establishes the prior requirement that any claim about movement must identify which representations are being compared and whether their coordinate systems are aligned. Two independently trained spaces may encode useful relations while assigning different coordinates or orientations. Direct coordinate comparison can therefore require additional alignment assumptions.</w:t>
      </w:r>
    </w:p>
    <w:p>
      <w:pPr>
        <w:pStyle w:val="Heading2"/>
      </w:pPr>
      <w:bookmarkStart w:id="144" w:name="X30203e97e7efbebbcb1b87a738f1bb1e5da13af"/>
      <w:r>
        <w:t xml:space="preserve">From Regularity to Interpretation</w:t>
      </w:r>
      <w:bookmarkEnd w:id="144"/>
    </w:p>
    <w:p>
      <w:pPr>
        <w:pStyle w:val="FirstParagraph"/>
      </w:pPr>
      <w:r>
        <w:t xml:space="preserve">Geometric regularity is evidence about a representation. It can reveal that selected items occupy stable neighborhoods under a declared metric, that an operation preserves distances, or that a transformation separates groups. It can support retrieval, classification, visualization, and diagnostic work.</w:t>
      </w:r>
    </w:p>
    <w:p>
      <w:pPr>
        <w:pStyle w:val="BodyText"/>
      </w:pPr>
      <w:r>
        <w:t xml:space="preserve">It does not validate its own interpretation. Proximity may reflect training context, task labels, frequency, artifacts, or other structure. A visually convincing cluster is not automatically a natural category. A direction that correlates with a human label is not necessarily a unique semantic axis.</w:t>
      </w:r>
    </w:p>
    <w:p>
      <w:pPr>
        <w:pStyle w:val="BodyText"/>
      </w:pPr>
      <w:r>
        <w:t xml:space="preserve">This is the Book Two boundary in geometric form. The architecture produces and transforms numerical representations. We can measure those representations under explicit rules. Whether a measured relation warrants a claim about meaning belongs to criteria and evidence not supplied by geometry alone.</w:t>
      </w:r>
    </w:p>
    <w:p>
      <w:pPr>
        <w:pStyle w:val="Heading2"/>
      </w:pPr>
      <w:bookmarkStart w:id="145" w:name="chapter-8-what-the-probe-establishes"/>
      <w:r>
        <w:t xml:space="preserve">What the Probe Establishes</w:t>
      </w:r>
      <w:bookmarkEnd w:id="145"/>
    </w:p>
    <w:p>
      <w:pPr>
        <w:pStyle w:val="FirstParagraph"/>
      </w:pPr>
      <w:r>
        <w:t xml:space="preserve">The dependency-free probe verifies five claims for four fixed points. Euclidean and cosine comparison select different neighbors. Rotation preserves pairwise Euclidean distances within tolerance and leaves the Euclidean neighbor unchanged. Invertible anisotropic scaling changes that neighbor from</w:t>
      </w:r>
      <w:r>
        <w:t xml:space="preserve"> </w:t>
      </w:r>
      <w:r>
        <w:rPr>
          <w:rStyle w:val="VerbatimChar"/>
        </w:rPr>
        <w:t xml:space="preserve">north</w:t>
      </w:r>
      <w:r>
        <w:t xml:space="preserve"> </w:t>
      </w:r>
      <w:r>
        <w:t xml:space="preserve">to</w:t>
      </w:r>
      <w:r>
        <w:t xml:space="preserve"> </w:t>
      </w:r>
      <w:r>
        <w:rPr>
          <w:rStyle w:val="VerbatimChar"/>
        </w:rPr>
        <w:t xml:space="preserve">east</w:t>
      </w:r>
      <w:r>
        <w:t xml:space="preserve">.</w:t>
      </w:r>
    </w:p>
    <w:p>
      <w:pPr>
        <w:pStyle w:val="BodyText"/>
      </w:pPr>
      <w:r>
        <w:t xml:space="preserve">The probe does not train an embedding, project a high-dimensional space, run clustering, or establish semantic similarity. It does not show that either metric is suitable for a particular model. Its strength is the counterexample: even with fixed coordinates,</w:t>
      </w:r>
      <w:r>
        <w:t xml:space="preserve"> </w:t>
      </w:r>
      <w:r>
        <w:t xml:space="preserve">“</w:t>
      </w:r>
      <w:r>
        <w:t xml:space="preserve">nearest</w:t>
      </w:r>
      <w:r>
        <w:t xml:space="preserve">”</w:t>
      </w:r>
      <w:r>
        <w:t xml:space="preserve"> </w:t>
      </w:r>
      <w:r>
        <w:t xml:space="preserve">depends on the comparison rule, and invertibility does not guarantee geometric preservation.</w:t>
      </w:r>
    </w:p>
    <w:p>
      <w:pPr>
        <w:pStyle w:val="Heading2"/>
      </w:pPr>
      <w:bookmarkStart w:id="146" w:name="chapter-8-geometry-ready-for-convergence"/>
      <w:r>
        <w:t xml:space="preserve">Geometry Ready for Convergence</w:t>
      </w:r>
      <w:bookmarkEnd w:id="146"/>
    </w:p>
    <w:p>
      <w:pPr>
        <w:pStyle w:val="FirstParagraph"/>
      </w:pPr>
      <w:r>
        <w:t xml:space="preserve">Part II has now moved from adjustment to shaped work and then to geometric inspection. Chapter 6 changed parameters against an objective. Chapter 7 exposed indexed tensor computation. Chapter 8 has shown what must be declared before relationships among resulting vectors can be analyzed geometrically.</w:t>
      </w:r>
    </w:p>
    <w:p>
      <w:pPr>
        <w:pStyle w:val="BodyText"/>
      </w:pPr>
      <w:r>
        <w:t xml:space="preserve">Chapter 9 returns to execution, adding ordered state, kernels, scheduling, and memory movement. Chapter 13 later brings geometry into the alignment of the AI, mathematical, and programming lineages. That handoff carries a constraint: geometry can make learned relations inspectable without making their interpretation intrinsic.</w:t>
      </w:r>
    </w:p>
    <w:p>
      <w:pPr>
        <w:pStyle w:val="Heading2"/>
      </w:pPr>
      <w:bookmarkStart w:id="147" w:name="chapter-8-sources-and-evidence"/>
      <w:r>
        <w:t xml:space="preserve">Sources and Evidence</w:t>
      </w:r>
      <w:bookmarkEnd w:id="147"/>
    </w:p>
    <w:p>
      <w:pPr>
        <w:pStyle w:val="FirstParagraph"/>
      </w:pPr>
      <w:r>
        <w:t xml:space="preserve">The chapter’s bounded claims about learned vector representations, task-dependent embedding spaces, and cosine similarity are documented in the</w:t>
      </w:r>
      <w:r>
        <w:t xml:space="preserve"> </w:t>
      </w:r>
      <w:hyperlink r:id="rId148">
        <w:r>
          <w:rPr>
            <w:rStyle w:val="Hyperlink"/>
          </w:rPr>
          <w:t xml:space="preserve">Chapter 8 source ledger</w:t>
        </w:r>
      </w:hyperlink>
      <w:r>
        <w:t xml:space="preserve">. Exact coordinates, formulas, transformations, assertions, and outputs are recorded in the</w:t>
      </w:r>
      <w:r>
        <w:t xml:space="preserve"> </w:t>
      </w:r>
      <w:hyperlink r:id="rId149">
        <w:r>
          <w:rPr>
            <w:rStyle w:val="Hyperlink"/>
          </w:rPr>
          <w:t xml:space="preserve">learned-space probe</w:t>
        </w:r>
      </w:hyperlink>
      <w:r>
        <w:t xml:space="preserve">, with its</w:t>
      </w:r>
      <w:r>
        <w:t xml:space="preserve"> </w:t>
      </w:r>
      <w:hyperlink r:id="rId150">
        <w:r>
          <w:rPr>
            <w:rStyle w:val="Hyperlink"/>
          </w:rPr>
          <w:t xml:space="preserve">Python implementation</w:t>
        </w:r>
      </w:hyperlink>
      <w:r>
        <w:t xml:space="preserve">. Visual provenance and accessibility details are recorded with</w:t>
      </w:r>
      <w:r>
        <w:t xml:space="preserve"> </w:t>
      </w:r>
      <w:hyperlink r:id="rId151">
        <w:r>
          <w:rPr>
            <w:rStyle w:val="Hyperlink"/>
          </w:rPr>
          <w:t xml:space="preserve">Neighborhoods in a Learned Space</w:t>
        </w:r>
      </w:hyperlink>
      <w:r>
        <w:t xml:space="preserve">.</w:t>
      </w:r>
    </w:p>
    <w:p>
      <w:pPr>
        <w:pStyle w:val="Heading1"/>
      </w:pPr>
      <w:bookmarkStart w:id="152" w:name="chapter-9"/>
      <w:r>
        <w:t xml:space="preserve">Chapter 9 — Sequence, Memory, and Runtime</w:t>
      </w:r>
      <w:bookmarkEnd w:id="152"/>
    </w:p>
    <w:p>
      <w:pPr>
        <w:pStyle w:val="FirstParagraph"/>
      </w:pPr>
      <w:r>
        <w:t xml:space="preserve">Chapter 8 treated learned representations as points whose neighborhoods depend on coordinates, comparison rules, and transformations. Those points did not yet arrive in an order. A sequence adds a constraint geometry alone does not supply: position one precedes position two, and some computations make the result at the second position depend on what happened at the first.</w:t>
      </w:r>
    </w:p>
    <w:p>
      <w:pPr>
        <w:pStyle w:val="BodyText"/>
      </w:pPr>
      <w:r>
        <w:t xml:space="preserve">Recurrent neural networks make that dependence explicit. They reuse a parameterized update while carrying a hidden state from one position to the next. The state gives later computation access to a transformed trace of earlier inputs. It also creates a path that must be traversed in order.</w:t>
      </w:r>
    </w:p>
    <w:p>
      <w:pPr>
        <w:pStyle w:val="BodyText"/>
      </w:pPr>
      <w:r>
        <w:t xml:space="preserve">That path is often called a recurrent bottleneck. The phrase can hide several different claims. A mathematical dependency is not a runtime measurement. A state value is not the complete history it summarizes. A long derivative path is not proof that every recurrent network must fail. This chapter separates those claims with one scalar recurrence whose states, sensitivities, and limits remain inspectable.</w:t>
      </w:r>
    </w:p>
    <w:p>
      <w:pPr>
        <w:pStyle w:val="Heading2"/>
      </w:pPr>
      <w:bookmarkStart w:id="153" w:name="chapter-9-order-before-recurrence"/>
      <w:r>
        <w:t xml:space="preserve">Order Before Recurrence</w:t>
      </w:r>
      <w:bookmarkEnd w:id="153"/>
    </w:p>
    <w:p>
      <w:pPr>
        <w:pStyle w:val="FirstParagraph"/>
      </w:pPr>
      <w:r>
        <w:t xml:space="preserve">Begin with the fixed input sequence</w:t>
      </w:r>
    </w:p>
    <w:p>
      <w:pPr>
        <w:pStyle w:val="BodyText"/>
      </w:pPr>
      <m:oMathPara>
        <m:oMathParaPr>
          <m:jc m:val="center"/>
        </m:oMathParaPr>
        <m:oMath>
          <m:r>
            <m:t>x</m:t>
          </m:r>
          <m:r>
            <m:t>=</m:t>
          </m:r>
          <m:r>
            <m:t>(</m:t>
          </m:r>
          <m:r>
            <m:t>0.2</m:t>
          </m:r>
          <m:r>
            <m:t>,</m:t>
          </m:r>
          <m:r>
            <m:t>−</m:t>
          </m:r>
          <m:r>
            <m:t>0.1</m:t>
          </m:r>
          <m:r>
            <m:t>,</m:t>
          </m:r>
          <m:r>
            <m:t>0.4</m:t>
          </m:r>
          <m:r>
            <m:t>,</m:t>
          </m:r>
          <m:r>
            <m:t>0.0</m:t>
          </m:r>
          <m:r>
            <m:t>,</m:t>
          </m:r>
          <m:r>
            <m:t>−</m:t>
          </m:r>
          <m:r>
            <m:t>0.2</m:t>
          </m:r>
          <m:r>
            <m:t>)</m:t>
          </m:r>
          <m:r>
            <m:t>.</m:t>
          </m:r>
        </m:oMath>
      </m:oMathPara>
    </w:p>
    <w:p>
      <w:pPr>
        <w:pStyle w:val="FirstParagraph"/>
      </w:pPr>
      <w:r>
        <w:t xml:space="preserve">The parentheses alone do not determine how a program processes the values. A vectorized operation might transform all five independently. A reduction might combine them under an operation with another dependency structure. Our recurrence declares an ordered update:</w:t>
      </w:r>
    </w:p>
    <w:p>
      <w:pPr>
        <w:pStyle w:val="BodyText"/>
      </w:pPr>
      <m:oMathPara>
        <m:oMathParaPr>
          <m:jc m:val="center"/>
        </m:oMathParaPr>
        <m:oMath>
          <m:sSub>
            <m:e>
              <m:r>
                <m:t>a</m:t>
              </m:r>
            </m:e>
            <m:sub>
              <m:r>
                <m:t>t</m:t>
              </m:r>
            </m:sub>
          </m:sSub>
          <m:r>
            <m:t>=</m:t>
          </m:r>
          <m:r>
            <m:t>w</m:t>
          </m:r>
          <m:sSub>
            <m:e>
              <m:r>
                <m:t>h</m:t>
              </m:r>
            </m:e>
            <m:sub>
              <m:r>
                <m:t>t</m:t>
              </m:r>
              <m:r>
                <m:t>−</m:t>
              </m:r>
              <m:r>
                <m:t>1</m:t>
              </m:r>
            </m:sub>
          </m:sSub>
          <m:r>
            <m:t>+</m:t>
          </m:r>
          <m:sSub>
            <m:e>
              <m:r>
                <m:t>x</m:t>
              </m:r>
            </m:e>
            <m:sub>
              <m:r>
                <m:t>t</m:t>
              </m:r>
            </m:sub>
          </m:sSub>
          <m:r>
            <m:t>,</m:t>
          </m:r>
        </m:oMath>
      </m:oMathPara>
    </w:p>
    <w:p>
      <w:pPr>
        <w:pStyle w:val="FirstParagraph"/>
      </w:pPr>
      <m:oMathPara>
        <m:oMathParaPr>
          <m:jc m:val="center"/>
        </m:oMathParaPr>
        <m:oMath>
          <m:sSub>
            <m:e>
              <m:r>
                <m:t>h</m:t>
              </m:r>
            </m:e>
            <m:sub>
              <m:r>
                <m:t>t</m:t>
              </m:r>
            </m:sub>
          </m:sSub>
          <m:r>
            <m:t>=</m:t>
          </m:r>
          <m:r>
            <m:rPr>
              <m:nor/>
              <m:sty m:val="p"/>
            </m:rPr>
            <m:t>tanh</m:t>
          </m:r>
          <m:r>
            <m:t>(</m:t>
          </m:r>
          <m:sSub>
            <m:e>
              <m:r>
                <m:t>a</m:t>
              </m:r>
            </m:e>
            <m:sub>
              <m:r>
                <m:t>t</m:t>
              </m:r>
            </m:sub>
          </m:sSub>
          <m:r>
            <m:t>)</m:t>
          </m:r>
          <m:r>
            <m:t>.</m:t>
          </m:r>
        </m:oMath>
      </m:oMathPara>
    </w:p>
    <w:p>
      <w:pPr>
        <w:pStyle w:val="FirstParagraph"/>
      </w:pPr>
      <w:r>
        <w:t xml:space="preserve">Use initial state</w:t>
      </w:r>
      <w:r>
        <w:t xml:space="preserve"> </w:t>
      </w:r>
      <m:oMath>
        <m:sSub>
          <m:e>
            <m:r>
              <m:t>h</m:t>
            </m:r>
          </m:e>
          <m:sub>
            <m:r>
              <m:t>0</m:t>
            </m:r>
          </m:sub>
        </m:sSub>
        <m:r>
          <m:t>=</m:t>
        </m:r>
        <m:r>
          <m:t>0.1</m:t>
        </m:r>
      </m:oMath>
      <w:r>
        <w:t xml:space="preserve"> </w:t>
      </w:r>
      <w:r>
        <w:t xml:space="preserve">and recurrent weight</w:t>
      </w:r>
      <w:r>
        <w:t xml:space="preserve"> </w:t>
      </w:r>
      <m:oMath>
        <m:r>
          <m:t>w</m:t>
        </m:r>
        <m:r>
          <m:t>=</m:t>
        </m:r>
        <m:r>
          <m:t>0.5</m:t>
        </m:r>
      </m:oMath>
      <w:r>
        <w:t xml:space="preserve">. To compute</w:t>
      </w:r>
      <w:r>
        <w:t xml:space="preserve"> </w:t>
      </w:r>
      <m:oMath>
        <m:sSub>
          <m:e>
            <m:r>
              <m:t>h</m:t>
            </m:r>
          </m:e>
          <m:sub>
            <m:r>
              <m:t>1</m:t>
            </m:r>
          </m:sub>
        </m:sSub>
      </m:oMath>
      <w:r>
        <w:t xml:space="preserve">, the system needs</w:t>
      </w:r>
      <w:r>
        <w:t xml:space="preserve"> </w:t>
      </w:r>
      <m:oMath>
        <m:sSub>
          <m:e>
            <m:r>
              <m:t>h</m:t>
            </m:r>
          </m:e>
          <m:sub>
            <m:r>
              <m:t>0</m:t>
            </m:r>
          </m:sub>
        </m:sSub>
      </m:oMath>
      <w:r>
        <w:t xml:space="preserve"> </w:t>
      </w:r>
      <w:r>
        <w:t xml:space="preserve">and</w:t>
      </w:r>
      <w:r>
        <w:t xml:space="preserve"> </w:t>
      </w:r>
      <m:oMath>
        <m:sSub>
          <m:e>
            <m:r>
              <m:t>x</m:t>
            </m:r>
          </m:e>
          <m:sub>
            <m:r>
              <m:t>1</m:t>
            </m:r>
          </m:sub>
        </m:sSub>
      </m:oMath>
      <w:r>
        <w:t xml:space="preserve">. To compute</w:t>
      </w:r>
      <w:r>
        <w:t xml:space="preserve"> </w:t>
      </w:r>
      <m:oMath>
        <m:sSub>
          <m:e>
            <m:r>
              <m:t>h</m:t>
            </m:r>
          </m:e>
          <m:sub>
            <m:r>
              <m:t>2</m:t>
            </m:r>
          </m:sub>
        </m:sSub>
      </m:oMath>
      <w:r>
        <w:t xml:space="preserve">, it needs the newly produced</w:t>
      </w:r>
      <w:r>
        <w:t xml:space="preserve"> </w:t>
      </w:r>
      <m:oMath>
        <m:sSub>
          <m:e>
            <m:r>
              <m:t>h</m:t>
            </m:r>
          </m:e>
          <m:sub>
            <m:r>
              <m:t>1</m:t>
            </m:r>
          </m:sub>
        </m:sSub>
      </m:oMath>
      <w:r>
        <w:t xml:space="preserve"> </w:t>
      </w:r>
      <w:r>
        <w:t xml:space="preserve">and</w:t>
      </w:r>
      <w:r>
        <w:t xml:space="preserve"> </w:t>
      </w:r>
      <m:oMath>
        <m:sSub>
          <m:e>
            <m:r>
              <m:t>x</m:t>
            </m:r>
          </m:e>
          <m:sub>
            <m:r>
              <m:t>2</m:t>
            </m:r>
          </m:sub>
        </m:sSub>
      </m:oMath>
      <w:r>
        <w:t xml:space="preserve">. This continues through</w:t>
      </w:r>
      <w:r>
        <w:t xml:space="preserve"> </w:t>
      </w:r>
      <m:oMath>
        <m:sSub>
          <m:e>
            <m:r>
              <m:t>h</m:t>
            </m:r>
          </m:e>
          <m:sub>
            <m:r>
              <m:t>5</m:t>
            </m:r>
          </m:sub>
        </m:sSub>
      </m:oMath>
      <w:r>
        <w:t xml:space="preserve">.</w:t>
      </w:r>
    </w:p>
    <w:p>
      <w:pPr>
        <w:pStyle w:val="BodyText"/>
      </w:pPr>
      <w:r>
        <w:t xml:space="preserve">The same recurrent weight appears at every step. Parameter sharing does not make the state values identical. The parameter</w:t>
      </w:r>
      <w:r>
        <w:t xml:space="preserve"> </w:t>
      </w:r>
      <m:oMath>
        <m:r>
          <m:t>w</m:t>
        </m:r>
      </m:oMath>
      <w:r>
        <w:t xml:space="preserve"> </w:t>
      </w:r>
      <w:r>
        <w:t xml:space="preserve">defines one repeated operation; each</w:t>
      </w:r>
      <w:r>
        <w:t xml:space="preserve"> </w:t>
      </w:r>
      <m:oMath>
        <m:sSub>
          <m:e>
            <m:r>
              <m:t>h</m:t>
            </m:r>
          </m:e>
          <m:sub>
            <m:r>
              <m:t>t</m:t>
            </m:r>
          </m:sub>
        </m:sSub>
      </m:oMath>
      <w:r>
        <w:t xml:space="preserve"> </w:t>
      </w:r>
      <w:r>
        <w:t xml:space="preserve">is the result of applying that operation at a particular position with a particular input and predecessor state.</w:t>
      </w:r>
    </w:p>
    <w:p>
      <w:pPr>
        <w:pStyle w:val="BodyText"/>
      </w:pPr>
      <w:r>
        <w:t xml:space="preserve">The verified trace is:</w:t>
      </w:r>
    </w:p>
    <w:tbl>
      <w:tblPr>
        <w:tblStyle w:val="Table"/>
        <w:tblW w:type="pct" w:w="0.0"/>
        <w:tblLook w:firstRow="1"/>
      </w:tblPr>
      <w:tblGrid/>
      <w:tr>
        <w:trPr>
          <w:cnfStyle w:firstRow="1"/>
        </w:trPr>
        <w:tc>
          <w:tcPr>
            <w:tcBorders>
              <w:bottom w:val="single"/>
            </w:tcBorders>
            <w:vAlign w:val="bottom"/>
          </w:tcPr>
          <w:p>
            <w:pPr>
              <w:pStyle w:val="Compact"/>
              <w:jc w:val="right"/>
            </w:pPr>
            <w:r>
              <w:t xml:space="preserve">Position</w:t>
            </w:r>
          </w:p>
        </w:tc>
        <w:tc>
          <w:tcPr>
            <w:tcBorders>
              <w:bottom w:val="single"/>
            </w:tcBorders>
            <w:vAlign w:val="bottom"/>
          </w:tcPr>
          <w:p>
            <w:pPr>
              <w:pStyle w:val="Compact"/>
              <w:jc w:val="right"/>
            </w:pPr>
            <w:r>
              <w:t xml:space="preserve">Input</w:t>
            </w:r>
          </w:p>
        </w:tc>
        <w:tc>
          <w:tcPr>
            <w:tcBorders>
              <w:bottom w:val="single"/>
            </w:tcBorders>
            <w:vAlign w:val="bottom"/>
          </w:tcPr>
          <w:p>
            <w:pPr>
              <w:pStyle w:val="Compact"/>
              <w:jc w:val="right"/>
            </w:pPr>
            <w:r>
              <w:t xml:space="preserve">Pre-activation</w:t>
            </w:r>
          </w:p>
        </w:tc>
        <w:tc>
          <w:tcPr>
            <w:tcBorders>
              <w:bottom w:val="single"/>
            </w:tcBorders>
            <w:vAlign w:val="bottom"/>
          </w:tcPr>
          <w:p>
            <w:pPr>
              <w:pStyle w:val="Compact"/>
              <w:jc w:val="right"/>
            </w:pPr>
            <w:r>
              <w:t xml:space="preserve">Hidden state</w:t>
            </w:r>
          </w:p>
        </w:tc>
      </w:tr>
      <w:tr>
        <w:tc>
          <w:p>
            <w:pPr>
              <w:pStyle w:val="Compact"/>
              <w:jc w:val="right"/>
            </w:pPr>
            <w:r>
              <w:t xml:space="preserve">0</w:t>
            </w:r>
          </w:p>
        </w:tc>
        <w:tc>
          <w:p>
            <w:pPr>
              <w:pStyle w:val="Compact"/>
              <w:jc w:val="right"/>
            </w:pPr>
            <w:r>
              <w:t xml:space="preserve">—</w:t>
            </w:r>
          </w:p>
        </w:tc>
        <w:tc>
          <w:p>
            <w:pPr>
              <w:pStyle w:val="Compact"/>
              <w:jc w:val="right"/>
            </w:pPr>
            <w:r>
              <w:t xml:space="preserve">—</w:t>
            </w:r>
          </w:p>
        </w:tc>
        <w:tc>
          <w:p>
            <w:pPr>
              <w:pStyle w:val="Compact"/>
              <w:jc w:val="right"/>
            </w:pPr>
            <w:r>
              <w:t xml:space="preserve">0.100000</w:t>
            </w:r>
          </w:p>
        </w:tc>
      </w:tr>
      <w:tr>
        <w:tc>
          <w:p>
            <w:pPr>
              <w:pStyle w:val="Compact"/>
              <w:jc w:val="right"/>
            </w:pPr>
            <w:r>
              <w:t xml:space="preserve">1</w:t>
            </w:r>
          </w:p>
        </w:tc>
        <w:tc>
          <w:p>
            <w:pPr>
              <w:pStyle w:val="Compact"/>
              <w:jc w:val="right"/>
            </w:pPr>
            <w:r>
              <w:t xml:space="preserve">0.2</w:t>
            </w:r>
          </w:p>
        </w:tc>
        <w:tc>
          <w:p>
            <w:pPr>
              <w:pStyle w:val="Compact"/>
              <w:jc w:val="right"/>
            </w:pPr>
            <w:r>
              <w:t xml:space="preserve">0.250000</w:t>
            </w:r>
          </w:p>
        </w:tc>
        <w:tc>
          <w:p>
            <w:pPr>
              <w:pStyle w:val="Compact"/>
              <w:jc w:val="right"/>
            </w:pPr>
            <w:r>
              <w:t xml:space="preserve">0.244919</w:t>
            </w:r>
          </w:p>
        </w:tc>
      </w:tr>
      <w:tr>
        <w:tc>
          <w:p>
            <w:pPr>
              <w:pStyle w:val="Compact"/>
              <w:jc w:val="right"/>
            </w:pPr>
            <w:r>
              <w:t xml:space="preserve">2</w:t>
            </w:r>
          </w:p>
        </w:tc>
        <w:tc>
          <w:p>
            <w:pPr>
              <w:pStyle w:val="Compact"/>
              <w:jc w:val="right"/>
            </w:pPr>
            <w:r>
              <w:t xml:space="preserve">-0.1</w:t>
            </w:r>
          </w:p>
        </w:tc>
        <w:tc>
          <w:p>
            <w:pPr>
              <w:pStyle w:val="Compact"/>
              <w:jc w:val="right"/>
            </w:pPr>
            <w:r>
              <w:t xml:space="preserve">0.022459</w:t>
            </w:r>
          </w:p>
        </w:tc>
        <w:tc>
          <w:p>
            <w:pPr>
              <w:pStyle w:val="Compact"/>
              <w:jc w:val="right"/>
            </w:pPr>
            <w:r>
              <w:t xml:space="preserve">0.022456</w:t>
            </w:r>
          </w:p>
        </w:tc>
      </w:tr>
      <w:tr>
        <w:tc>
          <w:p>
            <w:pPr>
              <w:pStyle w:val="Compact"/>
              <w:jc w:val="right"/>
            </w:pPr>
            <w:r>
              <w:t xml:space="preserve">3</w:t>
            </w:r>
          </w:p>
        </w:tc>
        <w:tc>
          <w:p>
            <w:pPr>
              <w:pStyle w:val="Compact"/>
              <w:jc w:val="right"/>
            </w:pPr>
            <w:r>
              <w:t xml:space="preserve">0.4</w:t>
            </w:r>
          </w:p>
        </w:tc>
        <w:tc>
          <w:p>
            <w:pPr>
              <w:pStyle w:val="Compact"/>
              <w:jc w:val="right"/>
            </w:pPr>
            <w:r>
              <w:t xml:space="preserve">0.411228</w:t>
            </w:r>
          </w:p>
        </w:tc>
        <w:tc>
          <w:p>
            <w:pPr>
              <w:pStyle w:val="Compact"/>
              <w:jc w:val="right"/>
            </w:pPr>
            <w:r>
              <w:t xml:space="preserve">0.389515</w:t>
            </w:r>
          </w:p>
        </w:tc>
      </w:tr>
      <w:tr>
        <w:tc>
          <w:p>
            <w:pPr>
              <w:pStyle w:val="Compact"/>
              <w:jc w:val="right"/>
            </w:pPr>
            <w:r>
              <w:t xml:space="preserve">4</w:t>
            </w:r>
          </w:p>
        </w:tc>
        <w:tc>
          <w:p>
            <w:pPr>
              <w:pStyle w:val="Compact"/>
              <w:jc w:val="right"/>
            </w:pPr>
            <w:r>
              <w:t xml:space="preserve">0.0</w:t>
            </w:r>
          </w:p>
        </w:tc>
        <w:tc>
          <w:p>
            <w:pPr>
              <w:pStyle w:val="Compact"/>
              <w:jc w:val="right"/>
            </w:pPr>
            <w:r>
              <w:t xml:space="preserve">0.194757</w:t>
            </w:r>
          </w:p>
        </w:tc>
        <w:tc>
          <w:p>
            <w:pPr>
              <w:pStyle w:val="Compact"/>
              <w:jc w:val="right"/>
            </w:pPr>
            <w:r>
              <w:t xml:space="preserve">0.192332</w:t>
            </w:r>
          </w:p>
        </w:tc>
      </w:tr>
      <w:tr>
        <w:tc>
          <w:p>
            <w:pPr>
              <w:pStyle w:val="Compact"/>
              <w:jc w:val="right"/>
            </w:pPr>
            <w:r>
              <w:t xml:space="preserve">5</w:t>
            </w:r>
          </w:p>
        </w:tc>
        <w:tc>
          <w:p>
            <w:pPr>
              <w:pStyle w:val="Compact"/>
              <w:jc w:val="right"/>
            </w:pPr>
            <w:r>
              <w:t xml:space="preserve">-0.2</w:t>
            </w:r>
          </w:p>
        </w:tc>
        <w:tc>
          <w:p>
            <w:pPr>
              <w:pStyle w:val="Compact"/>
              <w:jc w:val="right"/>
            </w:pPr>
            <w:r>
              <w:t xml:space="preserve">-0.103834</w:t>
            </w:r>
          </w:p>
        </w:tc>
        <w:tc>
          <w:p>
            <w:pPr>
              <w:pStyle w:val="Compact"/>
              <w:jc w:val="right"/>
            </w:pPr>
            <w:r>
              <w:t xml:space="preserve">-0.103463</w:t>
            </w:r>
          </w:p>
        </w:tc>
      </w:tr>
    </w:tbl>
    <w:p>
      <w:pPr>
        <w:pStyle w:val="BodyText"/>
      </w:pPr>
      <w:r>
        <w:t xml:space="preserve">Each state is a scalar. It cannot preserve five arbitrary scalar inputs without loss. Calling it memory names its recurrent role: later states depend on it. The word does not establish complete recall, persistence, addressability, or any equivalence with human memory.</w:t>
      </w:r>
    </w:p>
    <w:p>
      <w:pPr>
        <w:pStyle w:val="Heading2"/>
      </w:pPr>
      <w:bookmarkStart w:id="154" w:name="chapter-9-the-path-through-time"/>
      <w:r>
        <w:t xml:space="preserve">The Path Through Time</w:t>
      </w:r>
      <w:bookmarkEnd w:id="154"/>
    </w:p>
    <w:p>
      <w:pPr>
        <w:pStyle w:val="FirstParagraph"/>
      </w:pPr>
      <w:r>
        <w:t xml:space="preserve">The recurrence can be unrolled into a feed-forward graph with repeated parameters:</w:t>
      </w:r>
    </w:p>
    <w:p>
      <w:pPr>
        <w:pStyle w:val="BodyText"/>
      </w:pPr>
      <m:oMathPara>
        <m:oMathParaPr>
          <m:jc m:val="center"/>
        </m:oMathParaPr>
        <m:oMath>
          <m:sSub>
            <m:e>
              <m:r>
                <m:t>h</m:t>
              </m:r>
            </m:e>
            <m:sub>
              <m:r>
                <m:t>0</m:t>
              </m:r>
            </m:sub>
          </m:sSub>
          <m:r>
            <m:t>→</m:t>
          </m:r>
          <m:sSub>
            <m:e>
              <m:r>
                <m:t>h</m:t>
              </m:r>
            </m:e>
            <m:sub>
              <m:r>
                <m:t>1</m:t>
              </m:r>
            </m:sub>
          </m:sSub>
          <m:r>
            <m:t>→</m:t>
          </m:r>
          <m:sSub>
            <m:e>
              <m:r>
                <m:t>h</m:t>
              </m:r>
            </m:e>
            <m:sub>
              <m:r>
                <m:t>2</m:t>
              </m:r>
            </m:sub>
          </m:sSub>
          <m:r>
            <m:t>→</m:t>
          </m:r>
          <m:sSub>
            <m:e>
              <m:r>
                <m:t>h</m:t>
              </m:r>
            </m:e>
            <m:sub>
              <m:r>
                <m:t>3</m:t>
              </m:r>
            </m:sub>
          </m:sSub>
          <m:r>
            <m:t>→</m:t>
          </m:r>
          <m:sSub>
            <m:e>
              <m:r>
                <m:t>h</m:t>
              </m:r>
            </m:e>
            <m:sub>
              <m:r>
                <m:t>4</m:t>
              </m:r>
            </m:sub>
          </m:sSub>
          <m:r>
            <m:t>→</m:t>
          </m:r>
          <m:sSub>
            <m:e>
              <m:r>
                <m:t>h</m:t>
              </m:r>
            </m:e>
            <m:sub>
              <m:r>
                <m:t>5</m:t>
              </m:r>
            </m:sub>
          </m:sSub>
          <m:r>
            <m:t>.</m:t>
          </m:r>
        </m:oMath>
      </m:oMathPara>
    </w:p>
    <w:p>
      <w:pPr>
        <w:pStyle w:val="FirstParagraph"/>
      </w:pPr>
      <w:r>
        <w:t xml:space="preserve">Unrolling does not create five different recurrent weights. It makes five uses of the shared weight visible. It also exposes readiness. The computation of</w:t>
      </w:r>
      <w:r>
        <w:t xml:space="preserve"> </w:t>
      </w:r>
      <m:oMath>
        <m:sSub>
          <m:e>
            <m:r>
              <m:t>h</m:t>
            </m:r>
          </m:e>
          <m:sub>
            <m:r>
              <m:t>4</m:t>
            </m:r>
          </m:sub>
        </m:sSub>
      </m:oMath>
      <w:r>
        <w:t xml:space="preserve"> </w:t>
      </w:r>
      <w:r>
        <w:t xml:space="preserve">cannot begin until</w:t>
      </w:r>
      <w:r>
        <w:t xml:space="preserve"> </w:t>
      </w:r>
      <m:oMath>
        <m:sSub>
          <m:e>
            <m:r>
              <m:t>h</m:t>
            </m:r>
          </m:e>
          <m:sub>
            <m:r>
              <m:t>3</m:t>
            </m:r>
          </m:sub>
        </m:sSub>
      </m:oMath>
      <w:r>
        <w:t xml:space="preserve"> </w:t>
      </w:r>
      <w:r>
        <w:t xml:space="preserve">is available under this recurrence, because</w:t>
      </w:r>
      <w:r>
        <w:t xml:space="preserve"> </w:t>
      </w:r>
      <m:oMath>
        <m:sSub>
          <m:e>
            <m:r>
              <m:t>h</m:t>
            </m:r>
          </m:e>
          <m:sub>
            <m:r>
              <m:t>3</m:t>
            </m:r>
          </m:sub>
        </m:sSub>
      </m:oMath>
      <w:r>
        <w:t xml:space="preserve"> </w:t>
      </w:r>
      <w:r>
        <w:t xml:space="preserve">is one of its inputs.</w:t>
      </w:r>
    </w:p>
    <w:p>
      <w:pPr>
        <w:pStyle w:val="BodyText"/>
      </w:pPr>
      <w:r>
        <w:t xml:space="preserve">Work inside a step can still contain parallel numerical operations. In a practical recurrent layer, matrix products may process a batch and many hidden coordinates through optimized kernels. Different sequences in a batch may also expose independent work. None of that removes the predecessor edge between successive states of one sequence.</w:t>
      </w:r>
    </w:p>
    <w:p>
      <w:pPr>
        <w:pStyle w:val="BodyText"/>
      </w:pPr>
      <w:r>
        <w:t xml:space="preserve">The distinction is the same one Chapter 7 established for tensors. Mathematical structure exposes dependencies and possible work partitions. A programming model, runtime, implementation, and machine determine how that work executes.</w:t>
      </w:r>
    </w:p>
    <w:p>
      <w:pPr>
        <w:pStyle w:val="Heading2"/>
      </w:pPr>
      <w:bookmarkStart w:id="155" w:name="chapter-9-sensitivity-across-the-path"/>
      <w:r>
        <w:t xml:space="preserve">Sensitivity Across the Path</w:t>
      </w:r>
      <w:bookmarkEnd w:id="155"/>
    </w:p>
    <w:p>
      <w:pPr>
        <w:pStyle w:val="FirstParagraph"/>
      </w:pPr>
      <w:r>
        <w:t xml:space="preserve">Forward state dependence exists whether or not anyone computes a gradient. We now perform a separate analysis: how sensitive is the final state</w:t>
      </w:r>
      <w:r>
        <w:t xml:space="preserve"> </w:t>
      </w:r>
      <m:oMath>
        <m:sSub>
          <m:e>
            <m:r>
              <m:t>h</m:t>
            </m:r>
          </m:e>
          <m:sub>
            <m:r>
              <m:t>5</m:t>
            </m:r>
          </m:sub>
        </m:sSub>
      </m:oMath>
      <w:r>
        <w:t xml:space="preserve"> </w:t>
      </w:r>
      <w:r>
        <w:t xml:space="preserve">to each input?</w:t>
      </w:r>
    </w:p>
    <w:p>
      <w:pPr>
        <w:pStyle w:val="BodyText"/>
      </w:pPr>
      <w:r>
        <w:t xml:space="preserve">For the input entering at position</w:t>
      </w:r>
      <w:r>
        <w:t xml:space="preserve"> </w:t>
      </w:r>
      <m:oMath>
        <m:r>
          <m:t>j</m:t>
        </m:r>
      </m:oMath>
      <w:r>
        <w:t xml:space="preserve">,</w:t>
      </w:r>
    </w:p>
    <w:p>
      <w:pPr>
        <w:pStyle w:val="BodyText"/>
      </w:pPr>
      <m:oMathPara>
        <m:oMathParaPr>
          <m:jc m:val="center"/>
        </m:oMathParaPr>
        <m:oMath>
          <m:f>
            <m:fPr>
              <m:type m:val="bar"/>
            </m:fPr>
            <m:num>
              <m:r>
                <m:t>∂</m:t>
              </m:r>
              <m:sSub>
                <m:e>
                  <m:r>
                    <m:t>h</m:t>
                  </m:r>
                </m:e>
                <m:sub>
                  <m:r>
                    <m:t>j</m:t>
                  </m:r>
                </m:sub>
              </m:sSub>
            </m:num>
            <m:den>
              <m:r>
                <m:t>∂</m:t>
              </m:r>
              <m:sSub>
                <m:e>
                  <m:r>
                    <m:t>x</m:t>
                  </m:r>
                </m:e>
                <m:sub>
                  <m:r>
                    <m:t>j</m:t>
                  </m:r>
                </m:sub>
              </m:sSub>
            </m:den>
          </m:f>
          <m:r>
            <m:t>=</m:t>
          </m:r>
          <m:r>
            <m:t>1</m:t>
          </m:r>
          <m:r>
            <m:t>−</m:t>
          </m:r>
          <m:sSubSup>
            <m:e>
              <m:r>
                <m:t>h</m:t>
              </m:r>
            </m:e>
            <m:sub>
              <m:r>
                <m:t>j</m:t>
              </m:r>
            </m:sub>
            <m:sup>
              <m:r>
                <m:t>2</m:t>
              </m:r>
            </m:sup>
          </m:sSubSup>
          <m:r>
            <m:t>.</m:t>
          </m:r>
        </m:oMath>
      </m:oMathPara>
    </w:p>
    <w:p>
      <w:pPr>
        <w:pStyle w:val="FirstParagraph"/>
      </w:pPr>
      <w:r>
        <w:t xml:space="preserve">At each later recurrent step,</w:t>
      </w:r>
    </w:p>
    <w:p>
      <w:pPr>
        <w:pStyle w:val="BodyText"/>
      </w:pPr>
      <m:oMathPara>
        <m:oMathParaPr>
          <m:jc m:val="center"/>
        </m:oMathParaPr>
        <m:oMath>
          <m:f>
            <m:fPr>
              <m:type m:val="bar"/>
            </m:fPr>
            <m:num>
              <m:r>
                <m:t>∂</m:t>
              </m:r>
              <m:sSub>
                <m:e>
                  <m:r>
                    <m:t>h</m:t>
                  </m:r>
                </m:e>
                <m:sub>
                  <m:r>
                    <m:t>t</m:t>
                  </m:r>
                </m:sub>
              </m:sSub>
            </m:num>
            <m:den>
              <m:r>
                <m:t>∂</m:t>
              </m:r>
              <m:sSub>
                <m:e>
                  <m:r>
                    <m:t>h</m:t>
                  </m:r>
                </m:e>
                <m:sub>
                  <m:r>
                    <m:t>t</m:t>
                  </m:r>
                  <m:r>
                    <m:t>−</m:t>
                  </m:r>
                  <m:r>
                    <m:t>1</m:t>
                  </m:r>
                </m:sub>
              </m:sSub>
            </m:den>
          </m:f>
          <m:r>
            <m:t>=</m:t>
          </m:r>
          <m:r>
            <m:t>w</m:t>
          </m:r>
          <m:r>
            <m:t>(</m:t>
          </m:r>
          <m:r>
            <m:t>1</m:t>
          </m:r>
          <m:r>
            <m:t>−</m:t>
          </m:r>
          <m:sSubSup>
            <m:e>
              <m:r>
                <m:t>h</m:t>
              </m:r>
            </m:e>
            <m:sub>
              <m:r>
                <m:t>t</m:t>
              </m:r>
            </m:sub>
            <m:sup>
              <m:r>
                <m:t>2</m:t>
              </m:r>
            </m:sup>
          </m:sSubSup>
          <m:r>
            <m:t>)</m:t>
          </m:r>
          <m:r>
            <m:t>.</m:t>
          </m:r>
        </m:oMath>
      </m:oMathPara>
    </w:p>
    <w:p>
      <w:pPr>
        <w:pStyle w:val="FirstParagraph"/>
      </w:pPr>
      <w:r>
        <w:t xml:space="preserve">The chain rule therefore gives</w:t>
      </w:r>
    </w:p>
    <w:p>
      <w:pPr>
        <w:pStyle w:val="BodyText"/>
      </w:pPr>
      <m:oMathPara>
        <m:oMathParaPr>
          <m:jc m:val="center"/>
        </m:oMathParaPr>
        <m:oMath>
          <m:f>
            <m:fPr>
              <m:type m:val="bar"/>
            </m:fPr>
            <m:num>
              <m:r>
                <m:t>∂</m:t>
              </m:r>
              <m:sSub>
                <m:e>
                  <m:r>
                    <m:t>h</m:t>
                  </m:r>
                </m:e>
                <m:sub>
                  <m:r>
                    <m:t>5</m:t>
                  </m:r>
                </m:sub>
              </m:sSub>
            </m:num>
            <m:den>
              <m:r>
                <m:t>∂</m:t>
              </m:r>
              <m:sSub>
                <m:e>
                  <m:r>
                    <m:t>x</m:t>
                  </m:r>
                </m:e>
                <m:sub>
                  <m:r>
                    <m:t>j</m:t>
                  </m:r>
                </m:sub>
              </m:sSub>
            </m:den>
          </m:f>
          <m:r>
            <m:t>=</m:t>
          </m:r>
          <m:r>
            <m:t>(</m:t>
          </m:r>
          <m:r>
            <m:t>1</m:t>
          </m:r>
          <m:r>
            <m:t>−</m:t>
          </m:r>
          <m:sSubSup>
            <m:e>
              <m:r>
                <m:t>h</m:t>
              </m:r>
            </m:e>
            <m:sub>
              <m:r>
                <m:t>j</m:t>
              </m:r>
            </m:sub>
            <m:sup>
              <m:r>
                <m:t>2</m:t>
              </m:r>
            </m:sup>
          </m:sSubSup>
          <m:r>
            <m:t>)</m:t>
          </m:r>
          <m:nary>
            <m:naryPr>
              <m:chr m:val="∏"/>
              <m:limLoc m:val="undOvr"/>
              <m:subHide m:val="0"/>
              <m:supHide m:val="0"/>
            </m:naryPr>
            <m:sub>
              <m:r>
                <m:t>t</m:t>
              </m:r>
              <m:r>
                <m:t>=</m:t>
              </m:r>
              <m:r>
                <m:t>j</m:t>
              </m:r>
              <m:r>
                <m:t>+</m:t>
              </m:r>
              <m:r>
                <m:t>1</m:t>
              </m:r>
            </m:sub>
            <m:sup>
              <m:r>
                <m:t>5</m:t>
              </m:r>
            </m:sup>
            <m:e>
              <m:r>
                <m:t>w</m:t>
              </m:r>
            </m:e>
          </m:nary>
          <m:r>
            <m:t>(</m:t>
          </m:r>
          <m:r>
            <m:t>1</m:t>
          </m:r>
          <m:r>
            <m:t>−</m:t>
          </m:r>
          <m:sSubSup>
            <m:e>
              <m:r>
                <m:t>h</m:t>
              </m:r>
            </m:e>
            <m:sub>
              <m:r>
                <m:t>t</m:t>
              </m:r>
            </m:sub>
            <m:sup>
              <m:r>
                <m:t>2</m:t>
              </m:r>
            </m:sup>
          </m:sSubSup>
          <m:r>
            <m:t>)</m:t>
          </m:r>
          <m:r>
            <m:t>.</m:t>
          </m:r>
        </m:oMath>
      </m:oMathPara>
    </w:p>
    <w:p>
      <w:pPr>
        <w:pStyle w:val="FirstParagraph"/>
      </w:pPr>
      <w:r>
        <w:t xml:space="preserve">An early input crosses more factors than a late input. In this particular recurrence, every recurrent factor has magnitude below</w:t>
      </w:r>
      <w:r>
        <w:t xml:space="preserve"> </w:t>
      </w:r>
      <m:oMath>
        <m:r>
          <m:t>0.5</m:t>
        </m:r>
      </m:oMath>
      <w:r>
        <w:t xml:space="preserve">. The resulting analytic sensitivities are:</w:t>
      </w:r>
    </w:p>
    <w:tbl>
      <w:tblPr>
        <w:tblStyle w:val="Table"/>
        <w:tblW w:type="pct" w:w="0.0"/>
        <w:tblLook w:firstRow="1"/>
      </w:tblPr>
      <w:tblGrid/>
      <w:tr>
        <w:trPr>
          <w:cnfStyle w:firstRow="1"/>
        </w:trPr>
        <w:tc>
          <w:tcPr>
            <w:tcBorders>
              <w:bottom w:val="single"/>
            </w:tcBorders>
            <w:vAlign w:val="bottom"/>
          </w:tcPr>
          <w:p>
            <w:pPr>
              <w:pStyle w:val="Compact"/>
              <w:jc w:val="right"/>
            </w:pPr>
            <w:r>
              <w:t xml:space="preserve">Input</w:t>
            </w:r>
          </w:p>
        </w:tc>
        <w:tc>
          <w:tcPr>
            <w:tcBorders>
              <w:bottom w:val="single"/>
            </w:tcBorders>
            <w:vAlign w:val="bottom"/>
          </w:tcPr>
          <w:p>
            <w:pPr>
              <w:pStyle w:val="Compact"/>
              <w:jc w:val="right"/>
            </w:pPr>
            <m:oMath>
              <m:r>
                <m:t>∂</m:t>
              </m:r>
              <m:sSub>
                <m:e>
                  <m:r>
                    <m:t>h</m:t>
                  </m:r>
                </m:e>
                <m:sub>
                  <m:r>
                    <m:t>5</m:t>
                  </m:r>
                </m:sub>
              </m:sSub>
              <m:r>
                <m:t>/</m:t>
              </m:r>
              <m:r>
                <m:t>∂</m:t>
              </m:r>
              <m:sSub>
                <m:e>
                  <m:r>
                    <m:t>x</m:t>
                  </m:r>
                </m:e>
                <m:sub>
                  <m:r>
                    <m:t>j</m:t>
                  </m:r>
                </m:sub>
              </m:sSub>
            </m:oMath>
          </w:p>
        </w:tc>
      </w:tr>
      <w:tr>
        <w:tc>
          <w:p>
            <w:pPr>
              <w:pStyle w:val="Compact"/>
              <w:jc w:val="right"/>
            </w:pPr>
            <m:oMath>
              <m:sSub>
                <m:e>
                  <m:r>
                    <m:t>x</m:t>
                  </m:r>
                </m:e>
                <m:sub>
                  <m:r>
                    <m:t>1</m:t>
                  </m:r>
                </m:sub>
              </m:sSub>
            </m:oMath>
          </w:p>
        </w:tc>
        <w:tc>
          <w:p>
            <w:pPr>
              <w:pStyle w:val="Compact"/>
              <w:jc w:val="right"/>
            </w:pPr>
            <w:r>
              <w:t xml:space="preserve">0.047456</w:t>
            </w:r>
          </w:p>
        </w:tc>
      </w:tr>
      <w:tr>
        <w:tc>
          <w:p>
            <w:pPr>
              <w:pStyle w:val="Compact"/>
              <w:jc w:val="right"/>
            </w:pPr>
            <m:oMath>
              <m:sSub>
                <m:e>
                  <m:r>
                    <m:t>x</m:t>
                  </m:r>
                </m:e>
                <m:sub>
                  <m:r>
                    <m:t>2</m:t>
                  </m:r>
                </m:sub>
              </m:sSub>
            </m:oMath>
          </w:p>
        </w:tc>
        <w:tc>
          <w:p>
            <w:pPr>
              <w:pStyle w:val="Compact"/>
              <w:jc w:val="right"/>
            </w:pPr>
            <w:r>
              <w:t xml:space="preserve">0.100968</w:t>
            </w:r>
          </w:p>
        </w:tc>
      </w:tr>
      <w:tr>
        <w:tc>
          <w:p>
            <w:pPr>
              <w:pStyle w:val="Compact"/>
              <w:jc w:val="right"/>
            </w:pPr>
            <m:oMath>
              <m:sSub>
                <m:e>
                  <m:r>
                    <m:t>x</m:t>
                  </m:r>
                </m:e>
                <m:sub>
                  <m:r>
                    <m:t>3</m:t>
                  </m:r>
                </m:sub>
              </m:sSub>
            </m:oMath>
          </w:p>
        </w:tc>
        <w:tc>
          <w:p>
            <w:pPr>
              <w:pStyle w:val="Compact"/>
              <w:jc w:val="right"/>
            </w:pPr>
            <w:r>
              <w:t xml:space="preserve">0.202039</w:t>
            </w:r>
          </w:p>
        </w:tc>
      </w:tr>
      <w:tr>
        <w:tc>
          <w:p>
            <w:pPr>
              <w:pStyle w:val="Compact"/>
              <w:jc w:val="right"/>
            </w:pPr>
            <m:oMath>
              <m:sSub>
                <m:e>
                  <m:r>
                    <m:t>x</m:t>
                  </m:r>
                </m:e>
                <m:sub>
                  <m:r>
                    <m:t>4</m:t>
                  </m:r>
                </m:sub>
              </m:sSub>
            </m:oMath>
          </w:p>
        </w:tc>
        <w:tc>
          <w:p>
            <w:pPr>
              <w:pStyle w:val="Compact"/>
              <w:jc w:val="right"/>
            </w:pPr>
            <w:r>
              <w:t xml:space="preserve">0.476350</w:t>
            </w:r>
          </w:p>
        </w:tc>
      </w:tr>
      <w:tr>
        <w:tc>
          <w:p>
            <w:pPr>
              <w:pStyle w:val="Compact"/>
              <w:jc w:val="right"/>
            </w:pPr>
            <m:oMath>
              <m:sSub>
                <m:e>
                  <m:r>
                    <m:t>x</m:t>
                  </m:r>
                </m:e>
                <m:sub>
                  <m:r>
                    <m:t>5</m:t>
                  </m:r>
                </m:sub>
              </m:sSub>
            </m:oMath>
          </w:p>
        </w:tc>
        <w:tc>
          <w:p>
            <w:pPr>
              <w:pStyle w:val="Compact"/>
              <w:jc w:val="right"/>
            </w:pPr>
            <w:r>
              <w:t xml:space="preserve">0.989295</w:t>
            </w:r>
          </w:p>
        </w:tc>
      </w:tr>
    </w:tbl>
    <w:p>
      <w:pPr>
        <w:pStyle w:val="BodyText"/>
      </w:pPr>
      <w:r>
        <w:t xml:space="preserve">The first input still affects the final state, but its local influence is much smaller than the final input’s influence under the declared values. The probe checks every analytic result with central finite differences at step size</w:t>
      </w:r>
      <w:r>
        <w:t xml:space="preserve"> </w:t>
      </w:r>
      <m:oMath>
        <m:sSup>
          <m:e>
            <m:r>
              <m:t>10</m:t>
            </m:r>
          </m:e>
          <m:sup>
            <m:r>
              <m:t>−</m:t>
            </m:r>
            <m:r>
              <m:t>6</m:t>
            </m:r>
          </m:sup>
        </m:sSup>
      </m:oMath>
      <w:r>
        <w:t xml:space="preserve">. The largest absolute disagreement is approximately</w:t>
      </w:r>
    </w:p>
    <w:p>
      <w:pPr>
        <w:pStyle w:val="BodyText"/>
      </w:pPr>
      <m:oMathPara>
        <m:oMathParaPr>
          <m:jc m:val="center"/>
        </m:oMathParaPr>
        <m:oMath>
          <m:r>
            <m:t>1.54</m:t>
          </m:r>
          <m:r>
            <m:t>×</m:t>
          </m:r>
          <m:sSup>
            <m:e>
              <m:r>
                <m:t>10</m:t>
              </m:r>
            </m:e>
            <m:sup>
              <m:r>
                <m:t>−</m:t>
              </m:r>
              <m:r>
                <m:t>11</m:t>
              </m:r>
            </m:sup>
          </m:sSup>
          <m:r>
            <m:t>.</m:t>
          </m:r>
        </m:oMath>
      </m:oMathPara>
    </w:p>
    <w:p>
      <w:pPr>
        <w:pStyle w:val="FirstParagraph"/>
      </w:pPr>
      <w:r>
        <w:t xml:space="preserve">This is one observed attenuation pattern. Repeated derivative products can also amplify, oscillate, or behave differently under other weights, activations, gates, states, losses, and numerical conditions. The result does not show that all recurrent networks forget at one rate. It makes one path and its factors inspectable.</w:t>
      </w:r>
    </w:p>
    <w:p>
      <w:pPr>
        <w:pStyle w:val="CaptionedFigure"/>
      </w:pPr>
      <w:r>
        <w:drawing>
          <wp:inline>
            <wp:extent cx="5334000" cy="3378200"/>
            <wp:effectExtent b="0" l="0" r="0" t="0"/>
            <wp:docPr descr="The Recurrent Bottleneck" title="" id="1" name="Picture"/>
            <a:graphic>
              <a:graphicData uri="http://schemas.openxmlformats.org/drawingml/2006/picture">
                <pic:pic>
                  <pic:nvPicPr>
                    <pic:cNvPr descr="../visuals/chapter_09_recurrent_bottleneck.svg" id="0" name="Picture"/>
                    <pic:cNvPicPr>
                      <a:picLocks noChangeArrowheads="1" noChangeAspect="1"/>
                    </pic:cNvPicPr>
                  </pic:nvPicPr>
                  <pic:blipFill>
                    <a:blip r:embed="rId156"/>
                    <a:stretch>
                      <a:fillRect/>
                    </a:stretch>
                  </pic:blipFill>
                  <pic:spPr bwMode="auto">
                    <a:xfrm>
                      <a:off x="0" y="0"/>
                      <a:ext cx="5334000" cy="3378200"/>
                    </a:xfrm>
                    <a:prstGeom prst="rect">
                      <a:avLst/>
                    </a:prstGeom>
                    <a:noFill/>
                    <a:ln w="9525">
                      <a:noFill/>
                      <a:headEnd/>
                      <a:tailEnd/>
                    </a:ln>
                  </pic:spPr>
                </pic:pic>
              </a:graphicData>
            </a:graphic>
          </wp:inline>
        </w:drawing>
      </w:r>
    </w:p>
    <w:p>
      <w:pPr>
        <w:pStyle w:val="ImageCaption"/>
      </w:pPr>
      <w:r>
        <w:t xml:space="preserve">The Recurrent Bottleneck</w:t>
      </w:r>
    </w:p>
    <w:p>
      <w:pPr>
        <w:pStyle w:val="BodyText"/>
      </w:pPr>
      <w:r>
        <w:rPr>
          <w:i/>
        </w:rPr>
        <w:t xml:space="preserve">Five ordered inputs update five hidden states through one shared recurrence. Final-state sensitivity to an early input crosses every intervening state. The structural-count band reports declared work and dependencies, not measured runtime or memory traffic.</w:t>
      </w:r>
    </w:p>
    <w:p>
      <w:pPr>
        <w:pStyle w:val="Heading2"/>
      </w:pPr>
      <w:bookmarkStart w:id="157" w:name="chapter-9-breaking-the-recurrent-link"/>
      <w:r>
        <w:t xml:space="preserve">Breaking the Recurrent Link</w:t>
      </w:r>
      <w:bookmarkEnd w:id="157"/>
    </w:p>
    <w:p>
      <w:pPr>
        <w:pStyle w:val="FirstParagraph"/>
      </w:pPr>
      <w:r>
        <w:t xml:space="preserve">A useful probe needs a control that can make its claimed mechanism disappear. Set the recurrent weight to zero while holding the inputs, activation, initial state, and finite-difference procedure fixed:</w:t>
      </w:r>
    </w:p>
    <w:p>
      <w:pPr>
        <w:pStyle w:val="BodyText"/>
      </w:pPr>
      <m:oMathPara>
        <m:oMathParaPr>
          <m:jc m:val="center"/>
        </m:oMathParaPr>
        <m:oMath>
          <m:sSub>
            <m:e>
              <m:r>
                <m:t>h</m:t>
              </m:r>
            </m:e>
            <m:sub>
              <m:r>
                <m:t>t</m:t>
              </m:r>
            </m:sub>
          </m:sSub>
          <m:r>
            <m:t>=</m:t>
          </m:r>
          <m:r>
            <m:rPr>
              <m:nor/>
              <m:sty m:val="p"/>
            </m:rPr>
            <m:t>tanh</m:t>
          </m:r>
          <m:r>
            <m:t>(</m:t>
          </m:r>
          <m:sSub>
            <m:e>
              <m:r>
                <m:t>x</m:t>
              </m:r>
            </m:e>
            <m:sub>
              <m:r>
                <m:t>t</m:t>
              </m:r>
            </m:sub>
          </m:sSub>
          <m:r>
            <m:t>)</m:t>
          </m:r>
          <m:r>
            <m:t>.</m:t>
          </m:r>
        </m:oMath>
      </m:oMathPara>
    </w:p>
    <w:p>
      <w:pPr>
        <w:pStyle w:val="FirstParagraph"/>
      </w:pPr>
      <w:r>
        <w:t xml:space="preserve">The update still transforms each input. It no longer carries the preceding state into the next position. The final state depends only on</w:t>
      </w:r>
      <w:r>
        <w:t xml:space="preserve"> </w:t>
      </w:r>
      <m:oMath>
        <m:sSub>
          <m:e>
            <m:r>
              <m:t>x</m:t>
            </m:r>
          </m:e>
          <m:sub>
            <m:r>
              <m:t>5</m:t>
            </m:r>
          </m:sub>
        </m:sSub>
      </m:oMath>
      <w:r>
        <w:t xml:space="preserve">.</w:t>
      </w:r>
    </w:p>
    <w:p>
      <w:pPr>
        <w:pStyle w:val="BodyText"/>
      </w:pPr>
      <w:r>
        <w:t xml:space="preserve">Analytically and numerically,</w:t>
      </w:r>
    </w:p>
    <w:p>
      <w:pPr>
        <w:pStyle w:val="BodyText"/>
      </w:pPr>
      <m:oMathPara>
        <m:oMathParaPr>
          <m:jc m:val="center"/>
        </m:oMathParaPr>
        <m:oMath>
          <m:f>
            <m:fPr>
              <m:type m:val="bar"/>
            </m:fPr>
            <m:num>
              <m:r>
                <m:t>∂</m:t>
              </m:r>
              <m:sSub>
                <m:e>
                  <m:r>
                    <m:t>h</m:t>
                  </m:r>
                </m:e>
                <m:sub>
                  <m:r>
                    <m:t>5</m:t>
                  </m:r>
                </m:sub>
              </m:sSub>
            </m:num>
            <m:den>
              <m:r>
                <m:t>∂</m:t>
              </m:r>
              <m:sSub>
                <m:e>
                  <m:r>
                    <m:t>x</m:t>
                  </m:r>
                </m:e>
                <m:sub>
                  <m:r>
                    <m:t>1</m:t>
                  </m:r>
                </m:sub>
              </m:sSub>
            </m:den>
          </m:f>
          <m:r>
            <m:t>=</m:t>
          </m:r>
          <m:f>
            <m:fPr>
              <m:type m:val="bar"/>
            </m:fPr>
            <m:num>
              <m:r>
                <m:t>∂</m:t>
              </m:r>
              <m:sSub>
                <m:e>
                  <m:r>
                    <m:t>h</m:t>
                  </m:r>
                </m:e>
                <m:sub>
                  <m:r>
                    <m:t>5</m:t>
                  </m:r>
                </m:sub>
              </m:sSub>
            </m:num>
            <m:den>
              <m:r>
                <m:t>∂</m:t>
              </m:r>
              <m:sSub>
                <m:e>
                  <m:r>
                    <m:t>x</m:t>
                  </m:r>
                </m:e>
                <m:sub>
                  <m:r>
                    <m:t>2</m:t>
                  </m:r>
                </m:sub>
              </m:sSub>
            </m:den>
          </m:f>
          <m:r>
            <m:t>=</m:t>
          </m:r>
          <m:f>
            <m:fPr>
              <m:type m:val="bar"/>
            </m:fPr>
            <m:num>
              <m:r>
                <m:t>∂</m:t>
              </m:r>
              <m:sSub>
                <m:e>
                  <m:r>
                    <m:t>h</m:t>
                  </m:r>
                </m:e>
                <m:sub>
                  <m:r>
                    <m:t>5</m:t>
                  </m:r>
                </m:sub>
              </m:sSub>
            </m:num>
            <m:den>
              <m:r>
                <m:t>∂</m:t>
              </m:r>
              <m:sSub>
                <m:e>
                  <m:r>
                    <m:t>x</m:t>
                  </m:r>
                </m:e>
                <m:sub>
                  <m:r>
                    <m:t>3</m:t>
                  </m:r>
                </m:sub>
              </m:sSub>
            </m:den>
          </m:f>
          <m:r>
            <m:t>=</m:t>
          </m:r>
          <m:f>
            <m:fPr>
              <m:type m:val="bar"/>
            </m:fPr>
            <m:num>
              <m:r>
                <m:t>∂</m:t>
              </m:r>
              <m:sSub>
                <m:e>
                  <m:r>
                    <m:t>h</m:t>
                  </m:r>
                </m:e>
                <m:sub>
                  <m:r>
                    <m:t>5</m:t>
                  </m:r>
                </m:sub>
              </m:sSub>
            </m:num>
            <m:den>
              <m:r>
                <m:t>∂</m:t>
              </m:r>
              <m:sSub>
                <m:e>
                  <m:r>
                    <m:t>x</m:t>
                  </m:r>
                </m:e>
                <m:sub>
                  <m:r>
                    <m:t>4</m:t>
                  </m:r>
                </m:sub>
              </m:sSub>
            </m:den>
          </m:f>
          <m:r>
            <m:t>=</m:t>
          </m:r>
          <m:r>
            <m:t>0</m:t>
          </m:r>
          <m:r>
            <m:t>.</m:t>
          </m:r>
        </m:oMath>
      </m:oMathPara>
    </w:p>
    <w:p>
      <w:pPr>
        <w:pStyle w:val="FirstParagraph"/>
      </w:pPr>
      <w:r>
        <w:t xml:space="preserve">Final-input sensitivity remains approximately</w:t>
      </w:r>
    </w:p>
    <w:p>
      <w:pPr>
        <w:pStyle w:val="BodyText"/>
      </w:pPr>
      <m:oMathPara>
        <m:oMathParaPr>
          <m:jc m:val="center"/>
        </m:oMathParaPr>
        <m:oMath>
          <m:f>
            <m:fPr>
              <m:type m:val="bar"/>
            </m:fPr>
            <m:num>
              <m:r>
                <m:t>∂</m:t>
              </m:r>
              <m:sSub>
                <m:e>
                  <m:r>
                    <m:t>h</m:t>
                  </m:r>
                </m:e>
                <m:sub>
                  <m:r>
                    <m:t>5</m:t>
                  </m:r>
                </m:sub>
              </m:sSub>
            </m:num>
            <m:den>
              <m:r>
                <m:t>∂</m:t>
              </m:r>
              <m:sSub>
                <m:e>
                  <m:r>
                    <m:t>x</m:t>
                  </m:r>
                </m:e>
                <m:sub>
                  <m:r>
                    <m:t>5</m:t>
                  </m:r>
                </m:sub>
              </m:sSub>
            </m:den>
          </m:f>
          <m:r>
            <m:t>=</m:t>
          </m:r>
          <m:r>
            <m:t>0.961043</m:t>
          </m:r>
          <m:r>
            <m:t>.</m:t>
          </m:r>
        </m:oMath>
      </m:oMathPara>
    </w:p>
    <w:p>
      <w:pPr>
        <w:pStyle w:val="FirstParagraph"/>
      </w:pPr>
      <w:r>
        <w:t xml:space="preserve">This control isolates the recurrence. It does not implement attention, compare model quality, or demonstrate parallel hardware execution. It establishes that the cross-position sensitivity in the base case travels through the nonzero recurrent path.</w:t>
      </w:r>
    </w:p>
    <w:p>
      <w:pPr>
        <w:pStyle w:val="Heading2"/>
      </w:pPr>
      <w:bookmarkStart w:id="158" w:name="chapter-9-what-the-counts-do-not-measure"/>
      <w:r>
        <w:t xml:space="preserve">What the Counts Do Not Measure</w:t>
      </w:r>
      <w:bookmarkEnd w:id="158"/>
    </w:p>
    <w:p>
      <w:pPr>
        <w:pStyle w:val="FirstParagraph"/>
      </w:pPr>
      <w:r>
        <w:t xml:space="preserve">For five inputs, the probe records five recurrent updates, five predecessor-state edges including</w:t>
      </w:r>
      <w:r>
        <w:t xml:space="preserve"> </w:t>
      </w:r>
      <m:oMath>
        <m:sSub>
          <m:e>
            <m:r>
              <m:t>h</m:t>
            </m:r>
          </m:e>
          <m:sub>
            <m:r>
              <m:t>0</m:t>
            </m:r>
          </m:sub>
        </m:sSub>
        <m:r>
          <m:t>→</m:t>
        </m:r>
        <m:sSub>
          <m:e>
            <m:r>
              <m:t>h</m:t>
            </m:r>
          </m:e>
          <m:sub>
            <m:r>
              <m:t>1</m:t>
            </m:r>
          </m:sub>
        </m:sSub>
      </m:oMath>
      <w:r>
        <w:t xml:space="preserve">, five state reads, five state writes, and forward dependency depth five.</w:t>
      </w:r>
    </w:p>
    <w:p>
      <w:pPr>
        <w:pStyle w:val="BodyText"/>
      </w:pPr>
      <w:r>
        <w:t xml:space="preserve">Those values are reproducible properties of the declared scalar computation. They are not five measured memory loads, five allocations, five kernel launches, or five equal units of clock time. A compiler may retain a value in a register. A library may fuse operations. A runtime may batch work, schedule kernels, reuse buffers, or move values through several levels of memory. Hardware may overlap some activity while waiting on another dependency.</w:t>
      </w:r>
    </w:p>
    <w:p>
      <w:pPr>
        <w:pStyle w:val="BodyText"/>
      </w:pPr>
      <w:r>
        <w:t xml:space="preserve">Making a runtime claim therefore requires a different experiment. It must identify at least the implementation, framework or library, shapes, batch size, precision, device, warm-up policy, synchronization boundary, measurement method, and statistic reported. Without those declarations, dependency depth is evidence about the computation graph, not latency.</w:t>
      </w:r>
    </w:p>
    <w:p>
      <w:pPr>
        <w:pStyle w:val="BodyText"/>
      </w:pPr>
      <w:r>
        <w:t xml:space="preserve">CUDA provides a programming model in which kernels execute work organized through grids, thread blocks, and threads. That hierarchy helps an implementation map abundant numerical work to a GPU. It does not guarantee that a particular recurrent workload achieves a particular throughput. The ordered state path and the work inside each step remain separate objects of analysis.</w:t>
      </w:r>
    </w:p>
    <w:p>
      <w:pPr>
        <w:pStyle w:val="Heading2"/>
      </w:pPr>
      <w:bookmarkStart w:id="159" w:name="X7e7b4a809b4b461860289788618964876a0af72"/>
      <w:r>
        <w:t xml:space="preserve">Why Gates Entered the Architecture</w:t>
      </w:r>
      <w:bookmarkEnd w:id="159"/>
    </w:p>
    <w:p>
      <w:pPr>
        <w:pStyle w:val="FirstParagraph"/>
      </w:pPr>
      <w:r>
        <w:t xml:space="preserve">Simple recurrence made sequence state trainable and useful, but repeated paths also exposed difficulty in learning long-range dependencies. Bengio, Simard, and Frasconi analyzed why gradient-based learning across long temporal spans can become difficult. Hochreiter and Schmidhuber introduced Long Short-Term Memory as a gated recurrent architecture designed to control error flow and retained state differently from a simple recurrent unit.</w:t>
      </w:r>
    </w:p>
    <w:p>
      <w:pPr>
        <w:pStyle w:val="BodyText"/>
      </w:pPr>
      <w:r>
        <w:t xml:space="preserve">LSTM cells add internal state and gates that regulate writing, retaining, and exposing information. The later gated unit introduced in Cho and colleagues’ recurrent encoder-decoder uses update and reset gates in a different architecture commonly called the GRU. These mechanisms change the recurrence. They do not remove sequence order or make every long-range dependency easy.</w:t>
      </w:r>
    </w:p>
    <w:p>
      <w:pPr>
        <w:pStyle w:val="BodyText"/>
      </w:pPr>
      <w:r>
        <w:t xml:space="preserve">This chapter does not implement either cell. Their role here is historical and architectural: recurrent systems did not stop at one fixed state update. Designers altered the path after operation exposed its limitations.</w:t>
      </w:r>
    </w:p>
    <w:p>
      <w:pPr>
        <w:pStyle w:val="Heading2"/>
      </w:pPr>
      <w:bookmarkStart w:id="160" w:name="chapter-9-the-bottleneck-precisely"/>
      <w:r>
        <w:t xml:space="preserve">The Bottleneck, Precisely</w:t>
      </w:r>
      <w:bookmarkEnd w:id="160"/>
    </w:p>
    <w:p>
      <w:pPr>
        <w:pStyle w:val="FirstParagraph"/>
      </w:pPr>
      <w:r>
        <w:t xml:space="preserve">The recurrent bottleneck is not one claim that recurrence is obsolete. It is a bounded structural observation:</w:t>
      </w:r>
    </w:p>
    <w:p>
      <w:pPr>
        <w:pStyle w:val="BlockText"/>
      </w:pPr>
      <w:r>
        <w:t xml:space="preserve">For one sequence under a recurrent state update, position</w:t>
      </w:r>
      <w:r>
        <w:t xml:space="preserve"> </w:t>
      </w:r>
      <m:oMath>
        <m:r>
          <m:t>t</m:t>
        </m:r>
      </m:oMath>
      <w:r>
        <w:t xml:space="preserve"> </w:t>
      </w:r>
      <w:r>
        <w:t xml:space="preserve">requires the state produced at position</w:t>
      </w:r>
      <w:r>
        <w:t xml:space="preserve"> </w:t>
      </w:r>
      <m:oMath>
        <m:r>
          <m:t>t</m:t>
        </m:r>
        <m:r>
          <m:t>−</m:t>
        </m:r>
        <m:r>
          <m:t>1</m:t>
        </m:r>
      </m:oMath>
      <w:r>
        <w:t xml:space="preserve">.</w:t>
      </w:r>
    </w:p>
    <w:p>
      <w:pPr>
        <w:pStyle w:val="FirstParagraph"/>
      </w:pPr>
      <w:r>
        <w:t xml:space="preserve">That property can be useful. It naturally supports streaming inputs and bounded carried state. It can also limit how much sequence work becomes ready at once and lengthen the path through which early information and derivatives must travel.</w:t>
      </w:r>
    </w:p>
    <w:p>
      <w:pPr>
        <w:pStyle w:val="BodyText"/>
      </w:pPr>
      <w:r>
        <w:t xml:space="preserve">Whether those costs dominate in an application is empirical. Sequence length, cell architecture, batch structure, kernel implementation, memory behavior, hardware, and task requirements all matter. The probe establishes the path. It does not benchmark the installed system.</w:t>
      </w:r>
    </w:p>
    <w:p>
      <w:pPr>
        <w:pStyle w:val="Heading2"/>
      </w:pPr>
      <w:bookmarkStart w:id="161" w:name="chapter-9-what-the-probe-establishes"/>
      <w:r>
        <w:t xml:space="preserve">What the Probe Establishes</w:t>
      </w:r>
      <w:bookmarkEnd w:id="161"/>
    </w:p>
    <w:p>
      <w:pPr>
        <w:pStyle w:val="FirstParagraph"/>
      </w:pPr>
      <w:r>
        <w:t xml:space="preserve">The dependency-free Python probe verifies the complete state trace, immediate predecessor relation, analytic sensitivities, central finite-difference agreement, and zero-recurrence control. All validation gates pass. Its maximum derivative-check error is below</w:t>
      </w:r>
      <w:r>
        <w:t xml:space="preserve"> </w:t>
      </w:r>
      <m:oMath>
        <m:r>
          <m:t>1.6</m:t>
        </m:r>
        <m:r>
          <m:t>×</m:t>
        </m:r>
        <m:sSup>
          <m:e>
            <m:r>
              <m:t>10</m:t>
            </m:r>
          </m:e>
          <m:sup>
            <m:r>
              <m:t>−</m:t>
            </m:r>
            <m:r>
              <m:t>11</m:t>
            </m:r>
          </m:sup>
        </m:sSup>
      </m:oMath>
      <w:r>
        <w:t xml:space="preserve">.</w:t>
      </w:r>
    </w:p>
    <w:p>
      <w:pPr>
        <w:pStyle w:val="BodyText"/>
      </w:pPr>
      <w:r>
        <w:t xml:space="preserve">The probe does not train an RNN, perform backpropagation through time, implement LSTM or GRU gates, launch a device kernel, inspect a scheduler, or measure memory traffic and elapsed time. It supports a narrower conclusion: recurrent state creates an ordered dependency path, and influence through that path is a product of declared local transformations.</w:t>
      </w:r>
    </w:p>
    <w:p>
      <w:pPr>
        <w:pStyle w:val="Heading2"/>
      </w:pPr>
      <w:bookmarkStart w:id="162" w:name="X640c13c3ec6c08105aa6aaf3f8463e2d07f5a7e"/>
      <w:r>
        <w:t xml:space="preserve">Part II: The Constraint Attention Inherits</w:t>
      </w:r>
      <w:bookmarkEnd w:id="162"/>
    </w:p>
    <w:p>
      <w:pPr>
        <w:pStyle w:val="FirstParagraph"/>
      </w:pPr>
      <w:r>
        <w:t xml:space="preserve">Part II began by turning derivatives into repeated parameter adjustment. It then organized larger numerical work as tensors, inspected learned spaces under declared geometry, and finally added ordered state to execution.</w:t>
      </w:r>
    </w:p>
    <w:p>
      <w:pPr>
        <w:pStyle w:val="BodyText"/>
      </w:pPr>
      <w:r>
        <w:t xml:space="preserve">The result is not a verdict against recurrence. It is a constraint ready for comparison. Chapter 10 introduces attention and asks how direct pairwise relationships change the path between positions. The comparison must preserve the discipline established here: a shorter graph path is not automatically a faster program, and a normalized attention weight is not by itself a causal account of information flow.</w:t>
      </w:r>
    </w:p>
    <w:p>
      <w:pPr>
        <w:pStyle w:val="Heading2"/>
      </w:pPr>
      <w:bookmarkStart w:id="163" w:name="chapter-9-sources-and-evidence"/>
      <w:r>
        <w:t xml:space="preserve">Sources and Evidence</w:t>
      </w:r>
      <w:bookmarkEnd w:id="163"/>
    </w:p>
    <w:p>
      <w:pPr>
        <w:pStyle w:val="FirstParagraph"/>
      </w:pPr>
      <w:r>
        <w:t xml:space="preserve">The chapter’s bounded claims about recurrent networks, long-range gradient difficulty, LSTM, GRU, and CUDA runtime terminology are documented in the</w:t>
      </w:r>
      <w:r>
        <w:t xml:space="preserve"> </w:t>
      </w:r>
      <w:hyperlink r:id="rId164">
        <w:r>
          <w:rPr>
            <w:rStyle w:val="Hyperlink"/>
          </w:rPr>
          <w:t xml:space="preserve">Chapter 9 source ledger</w:t>
        </w:r>
      </w:hyperlink>
      <w:r>
        <w:t xml:space="preserve">. Exact inputs, formulas, assertions, control behavior, and outputs are recorded in the</w:t>
      </w:r>
      <w:r>
        <w:t xml:space="preserve"> </w:t>
      </w:r>
      <w:hyperlink r:id="rId165">
        <w:r>
          <w:rPr>
            <w:rStyle w:val="Hyperlink"/>
          </w:rPr>
          <w:t xml:space="preserve">recurrent-runtime probe</w:t>
        </w:r>
      </w:hyperlink>
      <w:r>
        <w:t xml:space="preserve">, with its</w:t>
      </w:r>
      <w:r>
        <w:t xml:space="preserve"> </w:t>
      </w:r>
      <w:hyperlink r:id="rId166">
        <w:r>
          <w:rPr>
            <w:rStyle w:val="Hyperlink"/>
          </w:rPr>
          <w:t xml:space="preserve">Python implementation</w:t>
        </w:r>
      </w:hyperlink>
      <w:r>
        <w:t xml:space="preserve">. Visual provenance and accessibility details are recorded with</w:t>
      </w:r>
      <w:r>
        <w:t xml:space="preserve"> </w:t>
      </w:r>
      <w:hyperlink r:id="rId167">
        <w:r>
          <w:rPr>
            <w:rStyle w:val="Hyperlink"/>
          </w:rPr>
          <w:t xml:space="preserve">The Recurrent Bottleneck</w:t>
        </w:r>
      </w:hyperlink>
      <w:r>
        <w:t xml:space="preserve">.</w:t>
      </w:r>
    </w:p>
    <w:p>
      <w:pPr>
        <w:pStyle w:val="Heading1"/>
      </w:pPr>
      <w:bookmarkStart w:id="168" w:name="chapter-10"/>
      <w:r>
        <w:t xml:space="preserve">Chapter 10 — Attention Changes the Path</w:t>
      </w:r>
      <w:bookmarkEnd w:id="168"/>
    </w:p>
    <w:p>
      <w:pPr>
        <w:pStyle w:val="FirstParagraph"/>
      </w:pPr>
      <w:r>
        <w:t xml:space="preserve">Chapter 9 ended with a constraint. In a recurrent computation, the state at one position must be available before its successor can be evaluated. An early input reaches a late state through every intervening recurrent update.</w:t>
      </w:r>
    </w:p>
    <w:p>
      <w:pPr>
        <w:pStyle w:val="BodyText"/>
      </w:pPr>
      <w:r>
        <w:t xml:space="preserve">Attention changes that path. It lets one position form a weighted combination of values from other admitted positions without carrying those values through a single predecessor-state chain. That architectural change is substantial, but it is easy to overstate. A direct graph edge is not measured speed. A large normalized weight is not automatically causal importance. A visible pattern is not a complete explanation.</w:t>
      </w:r>
    </w:p>
    <w:p>
      <w:pPr>
        <w:pStyle w:val="BodyText"/>
      </w:pPr>
      <w:r>
        <w:t xml:space="preserve">This chapter builds one head of scaled dot-product attention from fixed vectors. Every score, weight, contribution, and output will remain visible. Then we will change a value while holding the entire weight matrix fixed. The control reveals what an attention map leaves out.</w:t>
      </w:r>
    </w:p>
    <w:p>
      <w:pPr>
        <w:pStyle w:val="Heading2"/>
      </w:pPr>
      <w:bookmarkStart w:id="169" w:name="chapter-10-three-roles-at-each-position"/>
      <w:r>
        <w:t xml:space="preserve">Three Roles at Each Position</w:t>
      </w:r>
      <w:bookmarkEnd w:id="169"/>
    </w:p>
    <w:p>
      <w:pPr>
        <w:pStyle w:val="FirstParagraph"/>
      </w:pPr>
      <w:r>
        <w:t xml:space="preserve">Attention assigns three numerical roles to represented positions: query, key, and value.</w:t>
      </w:r>
    </w:p>
    <w:p>
      <w:pPr>
        <w:numPr>
          <w:ilvl w:val="0"/>
          <w:numId w:val="1006"/>
        </w:numPr>
        <w:pStyle w:val="Compact"/>
      </w:pPr>
      <w:r>
        <w:t xml:space="preserve">a</w:t>
      </w:r>
      <w:r>
        <w:t xml:space="preserve"> </w:t>
      </w:r>
      <w:r>
        <w:rPr>
          <w:b/>
        </w:rPr>
        <w:t xml:space="preserve">query</w:t>
      </w:r>
      <w:r>
        <w:t xml:space="preserve"> </w:t>
      </w:r>
      <w:r>
        <w:t xml:space="preserve">specifies the vector used to compare the current output position with admitted key positions</w:t>
      </w:r>
    </w:p>
    <w:p>
      <w:pPr>
        <w:numPr>
          <w:ilvl w:val="0"/>
          <w:numId w:val="1006"/>
        </w:numPr>
        <w:pStyle w:val="Compact"/>
      </w:pPr>
      <w:r>
        <w:t xml:space="preserve">a</w:t>
      </w:r>
      <w:r>
        <w:t xml:space="preserve"> </w:t>
      </w:r>
      <w:r>
        <w:rPr>
          <w:b/>
        </w:rPr>
        <w:t xml:space="preserve">key</w:t>
      </w:r>
      <w:r>
        <w:t xml:space="preserve"> </w:t>
      </w:r>
      <w:r>
        <w:t xml:space="preserve">participates in that compatibility comparison</w:t>
      </w:r>
    </w:p>
    <w:p>
      <w:pPr>
        <w:numPr>
          <w:ilvl w:val="0"/>
          <w:numId w:val="1006"/>
        </w:numPr>
        <w:pStyle w:val="Compact"/>
      </w:pPr>
      <w:r>
        <w:t xml:space="preserve">a</w:t>
      </w:r>
      <w:r>
        <w:t xml:space="preserve"> </w:t>
      </w:r>
      <w:r>
        <w:rPr>
          <w:b/>
        </w:rPr>
        <w:t xml:space="preserve">value</w:t>
      </w:r>
      <w:r>
        <w:t xml:space="preserve"> </w:t>
      </w:r>
      <w:r>
        <w:t xml:space="preserve">supplies numerical content to the weighted output combination</w:t>
      </w:r>
    </w:p>
    <w:p>
      <w:pPr>
        <w:pStyle w:val="FirstParagraph"/>
      </w:pPr>
      <w:r>
        <w:t xml:space="preserve">These are roles in an operation, not intrinsic kinds of token. In a Transformer, learned projections produce query, key, and value vectors from incoming representations. The fixture here begins after that projection step. It declares five two-dimensional vectors of each kind and does not train them.</w:t>
      </w:r>
    </w:p>
    <w:p>
      <w:pPr>
        <w:pStyle w:val="BodyText"/>
      </w:pPr>
      <w:r>
        <w:t xml:space="preserve">For query</w:t>
      </w:r>
      <w:r>
        <w:t xml:space="preserve"> </w:t>
      </w:r>
      <m:oMath>
        <m:sSub>
          <m:e>
            <m:r>
              <m:t>q</m:t>
            </m:r>
          </m:e>
          <m:sub>
            <m:r>
              <m:t>i</m:t>
            </m:r>
          </m:sub>
        </m:sSub>
      </m:oMath>
      <w:r>
        <w:t xml:space="preserve"> </w:t>
      </w:r>
      <w:r>
        <w:t xml:space="preserve">and key</w:t>
      </w:r>
      <w:r>
        <w:t xml:space="preserve"> </w:t>
      </w:r>
      <m:oMath>
        <m:sSub>
          <m:e>
            <m:r>
              <m:t>k</m:t>
            </m:r>
          </m:e>
          <m:sub>
            <m:r>
              <m:t>j</m:t>
            </m:r>
          </m:sub>
        </m:sSub>
      </m:oMath>
      <w:r>
        <w:t xml:space="preserve">, scaled dot-product attention computes</w:t>
      </w:r>
    </w:p>
    <w:p>
      <w:pPr>
        <w:pStyle w:val="BodyText"/>
      </w:pPr>
      <m:oMathPara>
        <m:oMathParaPr>
          <m:jc m:val="center"/>
        </m:oMathParaPr>
        <m:oMath>
          <m:sSub>
            <m:e>
              <m:r>
                <m:t>s</m:t>
              </m:r>
            </m:e>
            <m:sub>
              <m:r>
                <m:t>i</m:t>
              </m:r>
              <m:r>
                <m:t>j</m:t>
              </m:r>
            </m:sub>
          </m:sSub>
          <m:r>
            <m:t>=</m:t>
          </m:r>
          <m:f>
            <m:fPr>
              <m:type m:val="bar"/>
            </m:fPr>
            <m:num>
              <m:sSub>
                <m:e>
                  <m:r>
                    <m:t>q</m:t>
                  </m:r>
                </m:e>
                <m:sub>
                  <m:r>
                    <m:t>i</m:t>
                  </m:r>
                </m:sub>
              </m:sSub>
              <m:r>
                <m:t>⋅</m:t>
              </m:r>
              <m:sSub>
                <m:e>
                  <m:r>
                    <m:t>k</m:t>
                  </m:r>
                </m:e>
                <m:sub>
                  <m:r>
                    <m:t>j</m:t>
                  </m:r>
                </m:sub>
              </m:sSub>
            </m:num>
            <m:den>
              <m:rad>
                <m:radPr>
                  <m:degHide m:val="1"/>
                </m:radPr>
                <m:deg/>
                <m:e>
                  <m:sSub>
                    <m:e>
                      <m:r>
                        <m:t>d</m:t>
                      </m:r>
                    </m:e>
                    <m:sub>
                      <m:r>
                        <m:t>k</m:t>
                      </m:r>
                    </m:sub>
                  </m:sSub>
                </m:e>
              </m:rad>
            </m:den>
          </m:f>
          <m:r>
            <m:t>.</m:t>
          </m:r>
        </m:oMath>
      </m:oMathPara>
    </w:p>
    <w:p>
      <w:pPr>
        <w:pStyle w:val="FirstParagraph"/>
      </w:pPr>
      <w:r>
        <w:t xml:space="preserve">The dimension in the probe is</w:t>
      </w:r>
      <w:r>
        <w:t xml:space="preserve"> </w:t>
      </w:r>
      <m:oMath>
        <m:sSub>
          <m:e>
            <m:r>
              <m:t>d</m:t>
            </m:r>
          </m:e>
          <m:sub>
            <m:r>
              <m:t>k</m:t>
            </m:r>
          </m:sub>
        </m:sSub>
        <m:r>
          <m:t>=</m:t>
        </m:r>
        <m:r>
          <m:t>2</m:t>
        </m:r>
      </m:oMath>
      <w:r>
        <w:t xml:space="preserve">, so the denominator is</w:t>
      </w:r>
      <w:r>
        <w:t xml:space="preserve"> </w:t>
      </w:r>
      <m:oMath>
        <m:rad>
          <m:radPr>
            <m:degHide m:val="1"/>
          </m:radPr>
          <m:deg/>
          <m:e>
            <m:r>
              <m:t>2</m:t>
            </m:r>
          </m:e>
        </m:rad>
      </m:oMath>
      <w:r>
        <w:t xml:space="preserve">. Scaling is part of the declared operation. It tempers dot-product magnitude as key dimension changes; it does not turn compatibility into probability or semantic truth.</w:t>
      </w:r>
    </w:p>
    <w:p>
      <w:pPr>
        <w:pStyle w:val="BodyText"/>
      </w:pPr>
      <w:r>
        <w:t xml:space="preserve">For the fifth query,</w:t>
      </w:r>
    </w:p>
    <w:p>
      <w:pPr>
        <w:pStyle w:val="BodyText"/>
      </w:pPr>
      <m:oMathPara>
        <m:oMathParaPr>
          <m:jc m:val="center"/>
        </m:oMathParaPr>
        <m:oMath>
          <m:sSub>
            <m:e>
              <m:r>
                <m:t>q</m:t>
              </m:r>
            </m:e>
            <m:sub>
              <m:r>
                <m:t>5</m:t>
              </m:r>
            </m:sub>
          </m:sSub>
          <m:r>
            <m:t>=</m:t>
          </m:r>
          <m:r>
            <m:t>(</m:t>
          </m:r>
          <m:r>
            <m:t>0.5</m:t>
          </m:r>
          <m:r>
            <m:t>,</m:t>
          </m:r>
          <m:r>
            <m:t>−</m:t>
          </m:r>
          <m:r>
            <m:t>0.5</m:t>
          </m:r>
          <m:r>
            <m:t>)</m:t>
          </m:r>
          <m:r>
            <m:t>.</m:t>
          </m:r>
        </m:oMath>
      </m:oMathPara>
    </w:p>
    <w:p>
      <w:pPr>
        <w:pStyle w:val="FirstParagraph"/>
      </w:pPr>
      <w:r>
        <w:t xml:space="preserve">Its scaled scores against the five keys are approximately</w:t>
      </w:r>
    </w:p>
    <w:p>
      <w:pPr>
        <w:pStyle w:val="BodyText"/>
      </w:pPr>
      <m:oMathPara>
        <m:oMathParaPr>
          <m:jc m:val="center"/>
        </m:oMathParaPr>
        <m:oMath>
          <m:r>
            <m:t>(</m:t>
          </m:r>
          <m:r>
            <m:t>0.353553</m:t>
          </m:r>
          <m:r>
            <m:t>,</m:t>
          </m:r>
          <m:r>
            <m:t>−</m:t>
          </m:r>
          <m:r>
            <m:t>0.353553</m:t>
          </m:r>
          <m:r>
            <m:t>,</m:t>
          </m:r>
          <m:r>
            <m:t>0</m:t>
          </m:r>
          <m:r>
            <m:t>,</m:t>
          </m:r>
          <m:r>
            <m:t>−</m:t>
          </m:r>
          <m:r>
            <m:t>0.353553</m:t>
          </m:r>
          <m:r>
            <m:t>,</m:t>
          </m:r>
          <m:r>
            <m:t>0.353553</m:t>
          </m:r>
          <m:r>
            <m:t>)</m:t>
          </m:r>
          <m:r>
            <m:t>.</m:t>
          </m:r>
        </m:oMath>
      </m:oMathPara>
    </w:p>
    <w:p>
      <w:pPr>
        <w:pStyle w:val="FirstParagraph"/>
      </w:pPr>
      <w:r>
        <w:t xml:space="preserve">The first and fifth keys receive equal scores in this fixture. The second and fourth also match. Those equalities follow from the declared vectors, not from token identity or language meaning.</w:t>
      </w:r>
    </w:p>
    <w:p>
      <w:pPr>
        <w:pStyle w:val="Heading2"/>
      </w:pPr>
      <w:bookmarkStart w:id="170" w:name="chapter-10-scores-become-weights"/>
      <w:r>
        <w:t xml:space="preserve">Scores Become Weights</w:t>
      </w:r>
      <w:bookmarkEnd w:id="170"/>
    </w:p>
    <w:p>
      <w:pPr>
        <w:pStyle w:val="FirstParagraph"/>
      </w:pPr>
      <w:r>
        <w:t xml:space="preserve">Softmax normalizes the admitted scores in one query row:</w:t>
      </w:r>
    </w:p>
    <w:p>
      <w:pPr>
        <w:pStyle w:val="BodyText"/>
      </w:pPr>
      <m:oMathPara>
        <m:oMathParaPr>
          <m:jc m:val="center"/>
        </m:oMathParaPr>
        <m:oMath>
          <m:sSub>
            <m:e>
              <m:r>
                <m:t>α</m:t>
              </m:r>
            </m:e>
            <m:sub>
              <m:r>
                <m:t>i</m:t>
              </m:r>
              <m:r>
                <m:t>j</m:t>
              </m:r>
            </m:sub>
          </m:sSub>
          <m:r>
            <m:t>=</m:t>
          </m:r>
          <m:f>
            <m:fPr>
              <m:type m:val="bar"/>
            </m:fPr>
            <m:num>
              <m:r>
                <m:rPr>
                  <m:nor/>
                  <m:sty m:val="p"/>
                </m:rPr>
                <m:t>exp</m:t>
              </m:r>
              <m:r>
                <m:t>(</m:t>
              </m:r>
              <m:sSub>
                <m:e>
                  <m:r>
                    <m:t>s</m:t>
                  </m:r>
                </m:e>
                <m:sub>
                  <m:r>
                    <m:t>i</m:t>
                  </m:r>
                  <m:r>
                    <m:t>j</m:t>
                  </m:r>
                </m:sub>
              </m:sSub>
              <m:r>
                <m:t>)</m:t>
              </m:r>
            </m:num>
            <m:den>
              <m:nary>
                <m:naryPr>
                  <m:chr m:val="∑"/>
                  <m:limLoc m:val="undOvr"/>
                  <m:subHide m:val="0"/>
                  <m:supHide m:val="1"/>
                </m:naryPr>
                <m:sub>
                  <m:r>
                    <m:t>m</m:t>
                  </m:r>
                </m:sub>
                <m:sup>
                  <m:r>
                    <m:t>​</m:t>
                  </m:r>
                </m:sup>
                <m:e>
                  <m:r>
                    <m:rPr>
                      <m:nor/>
                      <m:sty m:val="p"/>
                    </m:rPr>
                    <m:t>exp</m:t>
                  </m:r>
                </m:e>
              </m:nary>
              <m:r>
                <m:t>(</m:t>
              </m:r>
              <m:sSub>
                <m:e>
                  <m:r>
                    <m:t>s</m:t>
                  </m:r>
                </m:e>
                <m:sub>
                  <m:r>
                    <m:t>i</m:t>
                  </m:r>
                  <m:r>
                    <m:t>m</m:t>
                  </m:r>
                </m:sub>
              </m:sSub>
              <m:r>
                <m:t>)</m:t>
              </m:r>
            </m:den>
          </m:f>
          <m:r>
            <m:t>.</m:t>
          </m:r>
        </m:oMath>
      </m:oMathPara>
    </w:p>
    <w:p>
      <w:pPr>
        <w:pStyle w:val="FirstParagraph"/>
      </w:pPr>
      <w:r>
        <w:t xml:space="preserve">For query five, the resulting weight row is approximately</w:t>
      </w:r>
    </w:p>
    <w:p>
      <w:pPr>
        <w:pStyle w:val="BodyText"/>
      </w:pPr>
      <m:oMathPara>
        <m:oMathParaPr>
          <m:jc m:val="center"/>
        </m:oMathParaPr>
        <m:oMath>
          <m:r>
            <m:t>(</m:t>
          </m:r>
          <m:r>
            <m:t>0.271126</m:t>
          </m:r>
          <m:r>
            <m:t>,</m:t>
          </m:r>
          <m:r>
            <m:t>0.133684</m:t>
          </m:r>
          <m:r>
            <m:t>,</m:t>
          </m:r>
          <m:r>
            <m:t>0.190381</m:t>
          </m:r>
          <m:r>
            <m:t>,</m:t>
          </m:r>
          <m:r>
            <m:t>0.133684</m:t>
          </m:r>
          <m:r>
            <m:t>,</m:t>
          </m:r>
          <m:r>
            <m:t>0.271126</m:t>
          </m:r>
          <m:r>
            <m:t>)</m:t>
          </m:r>
          <m:r>
            <m:t>.</m:t>
          </m:r>
        </m:oMath>
      </m:oMathPara>
    </w:p>
    <w:p>
      <w:pPr>
        <w:pStyle w:val="FirstParagraph"/>
      </w:pPr>
      <w:r>
        <w:t xml:space="preserve">The values are nonnegative and sum to one. That makes them a normalized weighting distribution over admitted positions. It does not make them a Bayesian posterior. No hypotheses, prior, likelihood model, or evidence-conditioning operation from Chapter 3 appears here.</w:t>
      </w:r>
    </w:p>
    <w:p>
      <w:pPr>
        <w:pStyle w:val="BodyText"/>
      </w:pPr>
      <w:r>
        <w:t xml:space="preserve">Softmax also couples the row. Changing one admitted score changes the denominator and can therefore change every normalized weight. A weight is meaningful only within its query row, admitted position set, scale, and score values.</w:t>
      </w:r>
    </w:p>
    <w:p>
      <w:pPr>
        <w:pStyle w:val="Heading2"/>
      </w:pPr>
      <w:bookmarkStart w:id="171" w:name="chapter-10-weights-act-on-values"/>
      <w:r>
        <w:t xml:space="preserve">Weights Act on Values</w:t>
      </w:r>
      <w:bookmarkEnd w:id="171"/>
    </w:p>
    <w:p>
      <w:pPr>
        <w:pStyle w:val="FirstParagraph"/>
      </w:pPr>
      <w:r>
        <w:t xml:space="preserve">The output is not the weight row. Each weight scales its corresponding value vector, and the contributions are summed:</w:t>
      </w:r>
    </w:p>
    <w:p>
      <w:pPr>
        <w:pStyle w:val="BodyText"/>
      </w:pPr>
      <m:oMathPara>
        <m:oMathParaPr>
          <m:jc m:val="center"/>
        </m:oMathParaPr>
        <m:oMath>
          <m:sSub>
            <m:e>
              <m:r>
                <m:t>o</m:t>
              </m:r>
            </m:e>
            <m:sub>
              <m:r>
                <m:t>i</m:t>
              </m:r>
            </m:sub>
          </m:sSub>
          <m:r>
            <m:t>=</m:t>
          </m:r>
          <m:nary>
            <m:naryPr>
              <m:chr m:val="∑"/>
              <m:limLoc m:val="undOvr"/>
              <m:subHide m:val="0"/>
              <m:supHide m:val="1"/>
            </m:naryPr>
            <m:sub>
              <m:r>
                <m:t>j</m:t>
              </m:r>
            </m:sub>
            <m:sup>
              <m:r>
                <m:t>​</m:t>
              </m:r>
            </m:sup>
            <m:e>
              <m:sSub>
                <m:e>
                  <m:r>
                    <m:t>α</m:t>
                  </m:r>
                </m:e>
                <m:sub>
                  <m:r>
                    <m:t>i</m:t>
                  </m:r>
                  <m:r>
                    <m:t>j</m:t>
                  </m:r>
                </m:sub>
              </m:sSub>
            </m:e>
          </m:nary>
          <m:sSub>
            <m:e>
              <m:r>
                <m:t>v</m:t>
              </m:r>
            </m:e>
            <m:sub>
              <m:r>
                <m:t>j</m:t>
              </m:r>
            </m:sub>
          </m:sSub>
          <m:r>
            <m:t>.</m:t>
          </m:r>
        </m:oMath>
      </m:oMathPara>
    </w:p>
    <w:p>
      <w:pPr>
        <w:pStyle w:val="FirstParagraph"/>
      </w:pPr>
      <w:r>
        <w:t xml:space="preserve">For query five, the probe records:</w:t>
      </w:r>
    </w:p>
    <w:tbl>
      <w:tblPr>
        <w:tblStyle w:val="Table"/>
        <w:tblW w:type="pct" w:w="0.0"/>
        <w:tblLook w:firstRow="1"/>
      </w:tblPr>
      <w:tblGrid/>
      <w:tr>
        <w:trPr>
          <w:cnfStyle w:firstRow="1"/>
        </w:trPr>
        <w:tc>
          <w:tcPr>
            <w:tcBorders>
              <w:bottom w:val="single"/>
            </w:tcBorders>
            <w:vAlign w:val="bottom"/>
          </w:tcPr>
          <w:p>
            <w:pPr>
              <w:pStyle w:val="Compact"/>
              <w:jc w:val="right"/>
            </w:pPr>
            <w:r>
              <w:t xml:space="preserve">Position</w:t>
            </w:r>
          </w:p>
        </w:tc>
        <w:tc>
          <w:tcPr>
            <w:tcBorders>
              <w:bottom w:val="single"/>
            </w:tcBorders>
            <w:vAlign w:val="bottom"/>
          </w:tcPr>
          <w:p>
            <w:pPr>
              <w:pStyle w:val="Compact"/>
              <w:jc w:val="right"/>
            </w:pPr>
            <w:r>
              <w:t xml:space="preserve">Weight</w:t>
            </w:r>
          </w:p>
        </w:tc>
        <w:tc>
          <w:tcPr>
            <w:tcBorders>
              <w:bottom w:val="single"/>
            </w:tcBorders>
            <w:vAlign w:val="bottom"/>
          </w:tcPr>
          <w:p>
            <w:pPr>
              <w:pStyle w:val="Compact"/>
              <w:jc w:val="right"/>
            </w:pPr>
            <w:r>
              <w:t xml:space="preserve">Value</w:t>
            </w:r>
          </w:p>
        </w:tc>
        <w:tc>
          <w:tcPr>
            <w:tcBorders>
              <w:bottom w:val="single"/>
            </w:tcBorders>
            <w:vAlign w:val="bottom"/>
          </w:tcPr>
          <w:p>
            <w:pPr>
              <w:pStyle w:val="Compact"/>
              <w:jc w:val="right"/>
            </w:pPr>
            <w:r>
              <w:t xml:space="preserve">Weighted contribution</w:t>
            </w:r>
          </w:p>
        </w:tc>
      </w:tr>
      <w:tr>
        <w:tc>
          <w:p>
            <w:pPr>
              <w:pStyle w:val="Compact"/>
              <w:jc w:val="right"/>
            </w:pPr>
            <w:r>
              <w:t xml:space="preserve">1</w:t>
            </w:r>
          </w:p>
        </w:tc>
        <w:tc>
          <w:p>
            <w:pPr>
              <w:pStyle w:val="Compact"/>
              <w:jc w:val="right"/>
            </w:pPr>
            <w:r>
              <w:t xml:space="preserve">0.271126</w:t>
            </w:r>
          </w:p>
        </w:tc>
        <w:tc>
          <w:p>
            <w:pPr>
              <w:pStyle w:val="Compact"/>
              <w:jc w:val="right"/>
            </w:pPr>
            <m:oMath>
              <m:r>
                <m:t>(</m:t>
              </m:r>
              <m:r>
                <m:t>1</m:t>
              </m:r>
              <m:r>
                <m:t>,</m:t>
              </m:r>
              <m:r>
                <m:t>0</m:t>
              </m:r>
              <m:r>
                <m:t>)</m:t>
              </m:r>
            </m:oMath>
          </w:p>
        </w:tc>
        <w:tc>
          <w:p>
            <w:pPr>
              <w:pStyle w:val="Compact"/>
              <w:jc w:val="right"/>
            </w:pPr>
            <m:oMath>
              <m:r>
                <m:t>(</m:t>
              </m:r>
              <m:r>
                <m:t>0.271126</m:t>
              </m:r>
              <m:r>
                <m:t>,</m:t>
              </m:r>
              <m:r>
                <m:t>0</m:t>
              </m:r>
              <m:r>
                <m:t>)</m:t>
              </m:r>
            </m:oMath>
          </w:p>
        </w:tc>
      </w:tr>
      <w:tr>
        <w:tc>
          <w:p>
            <w:pPr>
              <w:pStyle w:val="Compact"/>
              <w:jc w:val="right"/>
            </w:pPr>
            <w:r>
              <w:t xml:space="preserve">2</w:t>
            </w:r>
          </w:p>
        </w:tc>
        <w:tc>
          <w:p>
            <w:pPr>
              <w:pStyle w:val="Compact"/>
              <w:jc w:val="right"/>
            </w:pPr>
            <w:r>
              <w:t xml:space="preserve">0.133684</w:t>
            </w:r>
          </w:p>
        </w:tc>
        <w:tc>
          <w:p>
            <w:pPr>
              <w:pStyle w:val="Compact"/>
              <w:jc w:val="right"/>
            </w:pPr>
            <m:oMath>
              <m:r>
                <m:t>(</m:t>
              </m:r>
              <m:r>
                <m:t>0</m:t>
              </m:r>
              <m:r>
                <m:t>,</m:t>
              </m:r>
              <m:r>
                <m:t>1</m:t>
              </m:r>
              <m:r>
                <m:t>)</m:t>
              </m:r>
            </m:oMath>
          </w:p>
        </w:tc>
        <w:tc>
          <w:p>
            <w:pPr>
              <w:pStyle w:val="Compact"/>
              <w:jc w:val="right"/>
            </w:pPr>
            <m:oMath>
              <m:r>
                <m:t>(</m:t>
              </m:r>
              <m:r>
                <m:t>0</m:t>
              </m:r>
              <m:r>
                <m:t>,</m:t>
              </m:r>
              <m:r>
                <m:t>0.133684</m:t>
              </m:r>
              <m:r>
                <m:t>)</m:t>
              </m:r>
            </m:oMath>
          </w:p>
        </w:tc>
      </w:tr>
      <w:tr>
        <w:tc>
          <w:p>
            <w:pPr>
              <w:pStyle w:val="Compact"/>
              <w:jc w:val="right"/>
            </w:pPr>
            <w:r>
              <w:t xml:space="preserve">3</w:t>
            </w:r>
          </w:p>
        </w:tc>
        <w:tc>
          <w:p>
            <w:pPr>
              <w:pStyle w:val="Compact"/>
              <w:jc w:val="right"/>
            </w:pPr>
            <w:r>
              <w:t xml:space="preserve">0.190381</w:t>
            </w:r>
          </w:p>
        </w:tc>
        <w:tc>
          <w:p>
            <w:pPr>
              <w:pStyle w:val="Compact"/>
              <w:jc w:val="right"/>
            </w:pPr>
            <m:oMath>
              <m:r>
                <m:t>(</m:t>
              </m:r>
              <m:r>
                <m:t>1</m:t>
              </m:r>
              <m:r>
                <m:t>,</m:t>
              </m:r>
              <m:r>
                <m:t>1</m:t>
              </m:r>
              <m:r>
                <m:t>)</m:t>
              </m:r>
            </m:oMath>
          </w:p>
        </w:tc>
        <w:tc>
          <w:p>
            <w:pPr>
              <w:pStyle w:val="Compact"/>
              <w:jc w:val="right"/>
            </w:pPr>
            <m:oMath>
              <m:r>
                <m:t>(</m:t>
              </m:r>
              <m:r>
                <m:t>0.190381</m:t>
              </m:r>
              <m:r>
                <m:t>,</m:t>
              </m:r>
              <m:r>
                <m:t>0.190381</m:t>
              </m:r>
              <m:r>
                <m:t>)</m:t>
              </m:r>
            </m:oMath>
          </w:p>
        </w:tc>
      </w:tr>
      <w:tr>
        <w:tc>
          <w:p>
            <w:pPr>
              <w:pStyle w:val="Compact"/>
              <w:jc w:val="right"/>
            </w:pPr>
            <w:r>
              <w:t xml:space="preserve">4</w:t>
            </w:r>
          </w:p>
        </w:tc>
        <w:tc>
          <w:p>
            <w:pPr>
              <w:pStyle w:val="Compact"/>
              <w:jc w:val="right"/>
            </w:pPr>
            <w:r>
              <w:t xml:space="preserve">0.133684</w:t>
            </w:r>
          </w:p>
        </w:tc>
        <w:tc>
          <w:p>
            <w:pPr>
              <w:pStyle w:val="Compact"/>
              <w:jc w:val="right"/>
            </w:pPr>
            <m:oMath>
              <m:r>
                <m:t>(</m:t>
              </m:r>
              <m:r>
                <m:t>−</m:t>
              </m:r>
              <m:r>
                <m:t>1</m:t>
              </m:r>
              <m:r>
                <m:t>,</m:t>
              </m:r>
              <m:r>
                <m:t>1</m:t>
              </m:r>
              <m:r>
                <m:t>)</m:t>
              </m:r>
            </m:oMath>
          </w:p>
        </w:tc>
        <w:tc>
          <w:p>
            <w:pPr>
              <w:pStyle w:val="Compact"/>
              <w:jc w:val="right"/>
            </w:pPr>
            <m:oMath>
              <m:r>
                <m:t>(</m:t>
              </m:r>
              <m:r>
                <m:t>−</m:t>
              </m:r>
              <m:r>
                <m:t>0.133684</m:t>
              </m:r>
              <m:r>
                <m:t>,</m:t>
              </m:r>
              <m:r>
                <m:t>0.133684</m:t>
              </m:r>
              <m:r>
                <m:t>)</m:t>
              </m:r>
            </m:oMath>
          </w:p>
        </w:tc>
      </w:tr>
      <w:tr>
        <w:tc>
          <w:p>
            <w:pPr>
              <w:pStyle w:val="Compact"/>
              <w:jc w:val="right"/>
            </w:pPr>
            <w:r>
              <w:t xml:space="preserve">5</w:t>
            </w:r>
          </w:p>
        </w:tc>
        <w:tc>
          <w:p>
            <w:pPr>
              <w:pStyle w:val="Compact"/>
              <w:jc w:val="right"/>
            </w:pPr>
            <w:r>
              <w:t xml:space="preserve">0.271126</w:t>
            </w:r>
          </w:p>
        </w:tc>
        <w:tc>
          <w:p>
            <w:pPr>
              <w:pStyle w:val="Compact"/>
              <w:jc w:val="right"/>
            </w:pPr>
            <m:oMath>
              <m:r>
                <m:t>(</m:t>
              </m:r>
              <m:r>
                <m:t>0.5</m:t>
              </m:r>
              <m:r>
                <m:t>,</m:t>
              </m:r>
              <m:r>
                <m:t>−</m:t>
              </m:r>
              <m:r>
                <m:t>1</m:t>
              </m:r>
              <m:r>
                <m:t>)</m:t>
              </m:r>
            </m:oMath>
          </w:p>
        </w:tc>
        <w:tc>
          <w:p>
            <w:pPr>
              <w:pStyle w:val="Compact"/>
              <w:jc w:val="right"/>
            </w:pPr>
            <m:oMath>
              <m:r>
                <m:t>(</m:t>
              </m:r>
              <m:r>
                <m:t>0.135563</m:t>
              </m:r>
              <m:r>
                <m:t>,</m:t>
              </m:r>
              <m:r>
                <m:t>−</m:t>
              </m:r>
              <m:r>
                <m:t>0.271126</m:t>
              </m:r>
              <m:r>
                <m:t>)</m:t>
              </m:r>
            </m:oMath>
          </w:p>
        </w:tc>
      </w:tr>
    </w:tbl>
    <w:p>
      <w:pPr>
        <w:pStyle w:val="BodyText"/>
      </w:pPr>
      <w:r>
        <w:t xml:space="preserve">Summing the five contributions gives</w:t>
      </w:r>
    </w:p>
    <w:p>
      <w:pPr>
        <w:pStyle w:val="BodyText"/>
      </w:pPr>
      <m:oMathPara>
        <m:oMathParaPr>
          <m:jc m:val="center"/>
        </m:oMathParaPr>
        <m:oMath>
          <m:sSub>
            <m:e>
              <m:r>
                <m:t>o</m:t>
              </m:r>
            </m:e>
            <m:sub>
              <m:r>
                <m:t>5</m:t>
              </m:r>
            </m:sub>
          </m:sSub>
          <m:r>
            <m:t>=</m:t>
          </m:r>
          <m:r>
            <m:t>(</m:t>
          </m:r>
          <m:r>
            <m:t>0.463386</m:t>
          </m:r>
          <m:r>
            <m:t>,</m:t>
          </m:r>
          <m:r>
            <m:t>0.186623</m:t>
          </m:r>
          <m:r>
            <m:t>)</m:t>
          </m:r>
          <m:r>
            <m:t>.</m:t>
          </m:r>
        </m:oMath>
      </m:oMathPara>
    </w:p>
    <w:p>
      <w:pPr>
        <w:pStyle w:val="FirstParagraph"/>
      </w:pPr>
      <w:r>
        <w:t xml:space="preserve">No position is copied wholesale. Every admitted value contributes in this row because every full-attention weight is nonzero. The output is a combination whose coordinates depend on both coefficients and value content.</w:t>
      </w:r>
    </w:p>
    <w:p>
      <w:pPr>
        <w:pStyle w:val="Heading2"/>
      </w:pPr>
      <w:bookmarkStart w:id="172" w:name="chapter-10-a-direct-contribution-path"/>
      <w:r>
        <w:t xml:space="preserve">A Direct Contribution Path</w:t>
      </w:r>
      <w:bookmarkEnd w:id="172"/>
    </w:p>
    <w:p>
      <w:pPr>
        <w:pStyle w:val="FirstParagraph"/>
      </w:pPr>
      <w:r>
        <w:t xml:space="preserve">Return to the recurrent comparison from Chapter 9. Its declared graph contains</w:t>
      </w:r>
    </w:p>
    <w:p>
      <w:pPr>
        <w:pStyle w:val="BodyText"/>
      </w:pPr>
      <m:oMathPara>
        <m:oMathParaPr>
          <m:jc m:val="center"/>
        </m:oMathParaPr>
        <m:oMath>
          <m:sSub>
            <m:e>
              <m:r>
                <m:t>x</m:t>
              </m:r>
            </m:e>
            <m:sub>
              <m:r>
                <m:t>1</m:t>
              </m:r>
            </m:sub>
          </m:sSub>
          <m:r>
            <m:t>→</m:t>
          </m:r>
          <m:sSub>
            <m:e>
              <m:r>
                <m:t>h</m:t>
              </m:r>
            </m:e>
            <m:sub>
              <m:r>
                <m:t>1</m:t>
              </m:r>
            </m:sub>
          </m:sSub>
          <m:r>
            <m:t>→</m:t>
          </m:r>
          <m:sSub>
            <m:e>
              <m:r>
                <m:t>h</m:t>
              </m:r>
            </m:e>
            <m:sub>
              <m:r>
                <m:t>2</m:t>
              </m:r>
            </m:sub>
          </m:sSub>
          <m:r>
            <m:t>→</m:t>
          </m:r>
          <m:sSub>
            <m:e>
              <m:r>
                <m:t>h</m:t>
              </m:r>
            </m:e>
            <m:sub>
              <m:r>
                <m:t>3</m:t>
              </m:r>
            </m:sub>
          </m:sSub>
          <m:r>
            <m:t>→</m:t>
          </m:r>
          <m:sSub>
            <m:e>
              <m:r>
                <m:t>h</m:t>
              </m:r>
            </m:e>
            <m:sub>
              <m:r>
                <m:t>4</m:t>
              </m:r>
            </m:sub>
          </m:sSub>
          <m:r>
            <m:t>→</m:t>
          </m:r>
          <m:sSub>
            <m:e>
              <m:r>
                <m:t>h</m:t>
              </m:r>
            </m:e>
            <m:sub>
              <m:r>
                <m:t>5</m:t>
              </m:r>
            </m:sub>
          </m:sSub>
          <m:r>
            <m:t>.</m:t>
          </m:r>
        </m:oMath>
      </m:oMathPara>
    </w:p>
    <w:p>
      <w:pPr>
        <w:pStyle w:val="FirstParagraph"/>
      </w:pPr>
      <w:r>
        <w:t xml:space="preserve">Counting the edges shown gives five from</w:t>
      </w:r>
      <w:r>
        <w:t xml:space="preserve"> </w:t>
      </w:r>
      <m:oMath>
        <m:sSub>
          <m:e>
            <m:r>
              <m:t>x</m:t>
            </m:r>
          </m:e>
          <m:sub>
            <m:r>
              <m:t>1</m:t>
            </m:r>
          </m:sub>
        </m:sSub>
      </m:oMath>
      <w:r>
        <w:t xml:space="preserve"> </w:t>
      </w:r>
      <w:r>
        <w:t xml:space="preserve">to</w:t>
      </w:r>
      <w:r>
        <w:t xml:space="preserve"> </w:t>
      </w:r>
      <m:oMath>
        <m:sSub>
          <m:e>
            <m:r>
              <m:t>h</m:t>
            </m:r>
          </m:e>
          <m:sub>
            <m:r>
              <m:t>5</m:t>
            </m:r>
          </m:sub>
        </m:sSub>
      </m:oMath>
      <w:r>
        <w:t xml:space="preserve">. In the attention contribution graph, the first value connects directly to the fifth output:</w:t>
      </w:r>
    </w:p>
    <w:p>
      <w:pPr>
        <w:pStyle w:val="BodyText"/>
      </w:pPr>
      <m:oMathPara>
        <m:oMathParaPr>
          <m:jc m:val="center"/>
        </m:oMathParaPr>
        <m:oMath>
          <m:sSub>
            <m:e>
              <m:r>
                <m:t>v</m:t>
              </m:r>
            </m:e>
            <m:sub>
              <m:r>
                <m:t>1</m:t>
              </m:r>
            </m:sub>
          </m:sSub>
          <m:r>
            <m:t>→</m:t>
          </m:r>
          <m:sSub>
            <m:e>
              <m:r>
                <m:t>o</m:t>
              </m:r>
            </m:e>
            <m:sub>
              <m:r>
                <m:t>5</m:t>
              </m:r>
            </m:sub>
          </m:sSub>
          <m:r>
            <m:t>.</m:t>
          </m:r>
        </m:oMath>
      </m:oMathPara>
    </w:p>
    <w:p>
      <w:pPr>
        <w:pStyle w:val="FirstParagraph"/>
      </w:pPr>
      <w:r>
        <w:t xml:space="preserve">That graph has one displayed contribution edge. The comparison makes a dependency difference visible. It does not count the matrix multiplications, score computation, softmax stages, memory activity, or kernels required to produce the attention result.</w:t>
      </w:r>
    </w:p>
    <w:p>
      <w:pPr>
        <w:pStyle w:val="CaptionedFigure"/>
      </w:pPr>
      <w:r>
        <w:drawing>
          <wp:inline>
            <wp:extent cx="5334000" cy="3378200"/>
            <wp:effectExtent b="0" l="0" r="0" t="0"/>
            <wp:docPr descr="Attention Opens Direct Paths" title="" id="1" name="Picture"/>
            <a:graphic>
              <a:graphicData uri="http://schemas.openxmlformats.org/drawingml/2006/picture">
                <pic:pic>
                  <pic:nvPicPr>
                    <pic:cNvPr descr="../visuals/chapter_10_attention_direct_paths.svg" id="0" name="Picture"/>
                    <pic:cNvPicPr>
                      <a:picLocks noChangeArrowheads="1" noChangeAspect="1"/>
                    </pic:cNvPicPr>
                  </pic:nvPicPr>
                  <pic:blipFill>
                    <a:blip r:embed="rId173"/>
                    <a:stretch>
                      <a:fillRect/>
                    </a:stretch>
                  </pic:blipFill>
                  <pic:spPr bwMode="auto">
                    <a:xfrm>
                      <a:off x="0" y="0"/>
                      <a:ext cx="5334000" cy="3378200"/>
                    </a:xfrm>
                    <a:prstGeom prst="rect">
                      <a:avLst/>
                    </a:prstGeom>
                    <a:noFill/>
                    <a:ln w="9525">
                      <a:noFill/>
                      <a:headEnd/>
                      <a:tailEnd/>
                    </a:ln>
                  </pic:spPr>
                </pic:pic>
              </a:graphicData>
            </a:graphic>
          </wp:inline>
        </w:drawing>
      </w:r>
    </w:p>
    <w:p>
      <w:pPr>
        <w:pStyle w:val="ImageCaption"/>
      </w:pPr>
      <w:r>
        <w:t xml:space="preserve">Attention Opens Direct Paths</w:t>
      </w:r>
    </w:p>
    <w:p>
      <w:pPr>
        <w:pStyle w:val="BodyText"/>
      </w:pPr>
      <w:r>
        <w:rPr>
          <w:i/>
        </w:rPr>
        <w:t xml:space="preserve">The recurrent lane carries an early input through intervening states. The attention lane combines all admitted values directly into output five. The edge counts describe the declared graphs, not runtime measurements or causal attribution.</w:t>
      </w:r>
    </w:p>
    <w:p>
      <w:pPr>
        <w:pStyle w:val="BodyText"/>
      </w:pPr>
      <w:r>
        <w:t xml:space="preserve">Self-attention can expose many position-to-position score calculations at once, making its work structurally suitable for matrix operations. Sequence length also makes the score matrix grow across pairs of positions. Whether an implementation runs faster than a recurrent alternative depends on shape, precision, kernels, memory, device, batch structure, and measurement method. Shorter dependency path and lower elapsed time are different claims.</w:t>
      </w:r>
    </w:p>
    <w:p>
      <w:pPr>
        <w:pStyle w:val="Heading2"/>
      </w:pPr>
      <w:bookmarkStart w:id="174" w:name="chapter-10-hold-the-weights-fixed"/>
      <w:r>
        <w:t xml:space="preserve">Hold the Weights Fixed</w:t>
      </w:r>
      <w:bookmarkEnd w:id="174"/>
    </w:p>
    <w:p>
      <w:pPr>
        <w:pStyle w:val="FirstParagraph"/>
      </w:pPr>
      <w:r>
        <w:t xml:space="preserve">An attention visualization usually shows weights. To see what that omits, change only the first value:</w:t>
      </w:r>
    </w:p>
    <w:p>
      <w:pPr>
        <w:pStyle w:val="BodyText"/>
      </w:pPr>
      <m:oMathPara>
        <m:oMathParaPr>
          <m:jc m:val="center"/>
        </m:oMathParaPr>
        <m:oMath>
          <m:sSub>
            <m:e>
              <m:r>
                <m:t>v</m:t>
              </m:r>
            </m:e>
            <m:sub>
              <m:r>
                <m:t>1</m:t>
              </m:r>
            </m:sub>
          </m:sSub>
          <m:r>
            <m:t>′</m:t>
          </m:r>
          <m:r>
            <m:t>=</m:t>
          </m:r>
          <m:sSub>
            <m:e>
              <m:r>
                <m:t>v</m:t>
              </m:r>
            </m:e>
            <m:sub>
              <m:r>
                <m:t>1</m:t>
              </m:r>
            </m:sub>
          </m:sSub>
          <m:r>
            <m:t>+</m:t>
          </m:r>
          <m:r>
            <m:t>(</m:t>
          </m:r>
          <m:r>
            <m:t>0.4</m:t>
          </m:r>
          <m:r>
            <m:t>,</m:t>
          </m:r>
          <m:r>
            <m:t>−</m:t>
          </m:r>
          <m:r>
            <m:t>0.2</m:t>
          </m:r>
          <m:r>
            <m:t>)</m:t>
          </m:r>
          <m:r>
            <m:t>.</m:t>
          </m:r>
        </m:oMath>
      </m:oMathPara>
    </w:p>
    <w:p>
      <w:pPr>
        <w:pStyle w:val="FirstParagraph"/>
      </w:pPr>
      <w:r>
        <w:t xml:space="preserve">Queries and keys remain fixed. Scores therefore remain exactly unchanged, and so does every normalized weight. Yet the output changes because the fixed first weight now scales a different value.</w:t>
      </w:r>
    </w:p>
    <w:p>
      <w:pPr>
        <w:pStyle w:val="BodyText"/>
      </w:pPr>
      <w:r>
        <w:t xml:space="preserve">For query five, the predicted change is</w:t>
      </w:r>
    </w:p>
    <w:p>
      <w:pPr>
        <w:pStyle w:val="BodyText"/>
      </w:pPr>
      <m:oMathPara>
        <m:oMathParaPr>
          <m:jc m:val="center"/>
        </m:oMathParaPr>
        <m:oMath>
          <m:r>
            <m:t>Δ</m:t>
          </m:r>
          <m:sSub>
            <m:e>
              <m:r>
                <m:t>o</m:t>
              </m:r>
            </m:e>
            <m:sub>
              <m:r>
                <m:t>5</m:t>
              </m:r>
            </m:sub>
          </m:sSub>
          <m:r>
            <m:t>=</m:t>
          </m:r>
          <m:sSub>
            <m:e>
              <m:r>
                <m:t>α</m:t>
              </m:r>
            </m:e>
            <m:sub>
              <m:r>
                <m:t>51</m:t>
              </m:r>
            </m:sub>
          </m:sSub>
          <m:r>
            <m:t>(</m:t>
          </m:r>
          <m:r>
            <m:t>0.4</m:t>
          </m:r>
          <m:r>
            <m:t>,</m:t>
          </m:r>
          <m:r>
            <m:t>−</m:t>
          </m:r>
          <m:r>
            <m:t>0.2</m:t>
          </m:r>
          <m:r>
            <m:t>)</m:t>
          </m:r>
        </m:oMath>
      </m:oMathPara>
    </w:p>
    <w:p>
      <w:pPr>
        <w:pStyle w:val="FirstParagraph"/>
      </w:pPr>
      <m:oMathPara>
        <m:oMathParaPr>
          <m:jc m:val="center"/>
        </m:oMathParaPr>
        <m:oMath>
          <m:r>
            <m:t>=</m:t>
          </m:r>
          <m:r>
            <m:t>0.271126</m:t>
          </m:r>
          <m:r>
            <m:t>(</m:t>
          </m:r>
          <m:r>
            <m:t>0.4</m:t>
          </m:r>
          <m:r>
            <m:t>,</m:t>
          </m:r>
          <m:r>
            <m:t>−</m:t>
          </m:r>
          <m:r>
            <m:t>0.2</m:t>
          </m:r>
          <m:r>
            <m:t>)</m:t>
          </m:r>
        </m:oMath>
      </m:oMathPara>
    </w:p>
    <w:p>
      <w:pPr>
        <w:pStyle w:val="FirstParagraph"/>
      </w:pPr>
      <m:oMathPara>
        <m:oMathParaPr>
          <m:jc m:val="center"/>
        </m:oMathParaPr>
        <m:oMath>
          <m:r>
            <m:t>=</m:t>
          </m:r>
          <m:r>
            <m:t>(</m:t>
          </m:r>
          <m:r>
            <m:t>0.108450</m:t>
          </m:r>
          <m:r>
            <m:t>,</m:t>
          </m:r>
          <m:r>
            <m:t>−</m:t>
          </m:r>
          <m:r>
            <m:t>0.054225</m:t>
          </m:r>
          <m:r>
            <m:t>)</m:t>
          </m:r>
          <m:r>
            <m:t>.</m:t>
          </m:r>
        </m:oMath>
      </m:oMathPara>
    </w:p>
    <w:p>
      <w:pPr>
        <w:pStyle w:val="FirstParagraph"/>
      </w:pPr>
      <w:r>
        <w:t xml:space="preserve">The observed output difference matches that result within floating-point tolerance. The attention map is identical before and after the control. The output is not.</w:t>
      </w:r>
    </w:p>
    <w:p>
      <w:pPr>
        <w:pStyle w:val="BodyText"/>
      </w:pPr>
      <w:r>
        <w:t xml:space="preserve">This arithmetic does not prove that attention weights are never informative. It establishes the narrower point required here: weights do not contain the values they scale, and a weight display alone does not specify the resulting numerical contribution.</w:t>
      </w:r>
    </w:p>
    <w:p>
      <w:pPr>
        <w:pStyle w:val="Heading2"/>
      </w:pPr>
      <w:bookmarkStart w:id="175" w:name="X05880b48fd5b0a68734c840407b53e30ae6aa48"/>
      <w:r>
        <w:t xml:space="preserve">Masking Changes the Admitted Set</w:t>
      </w:r>
      <w:bookmarkEnd w:id="175"/>
    </w:p>
    <w:p>
      <w:pPr>
        <w:pStyle w:val="FirstParagraph"/>
      </w:pPr>
      <w:r>
        <w:t xml:space="preserve">Full self-attention admits every key position for every query. Autoregressive generation requires another constraint: a position must not use future positions that are unavailable under the generation order.</w:t>
      </w:r>
    </w:p>
    <w:p>
      <w:pPr>
        <w:pStyle w:val="BodyText"/>
      </w:pPr>
      <w:r>
        <w:t xml:space="preserve">A causal mask enforces that rule before normalization. For query position</w:t>
      </w:r>
      <w:r>
        <w:t xml:space="preserve"> </w:t>
      </w:r>
      <m:oMath>
        <m:r>
          <m:t>i</m:t>
        </m:r>
      </m:oMath>
      <w:r>
        <w:t xml:space="preserve">, admit only positions</w:t>
      </w:r>
      <w:r>
        <w:t xml:space="preserve"> </w:t>
      </w:r>
      <m:oMath>
        <m:r>
          <m:t>j</m:t>
        </m:r>
        <m:r>
          <m:t>≤</m:t>
        </m:r>
        <m:r>
          <m:t>i</m:t>
        </m:r>
      </m:oMath>
      <w:r>
        <w:t xml:space="preserve">. Query two therefore admits positions one and two. Positions three, four, and five are excluded from its softmax denominator and receive recorded output weight zero.</w:t>
      </w:r>
    </w:p>
    <w:p>
      <w:pPr>
        <w:pStyle w:val="BodyText"/>
      </w:pPr>
      <w:r>
        <w:t xml:space="preserve">That zero has a different origin from a small unmasked weight. A low unmasked weight follows from relative scores after normalization. A masked zero follows from an architectural permission rule. Describing both as low relevance would erase the mechanism that produced them.</w:t>
      </w:r>
    </w:p>
    <w:p>
      <w:pPr>
        <w:pStyle w:val="BodyText"/>
      </w:pPr>
      <w:r>
        <w:t xml:space="preserve">The fifth query admits all five positions, so its full and causal rows are identical in this fixture. Earlier causal rows differ because their admitted sets are smaller.</w:t>
      </w:r>
    </w:p>
    <w:p>
      <w:pPr>
        <w:pStyle w:val="Heading2"/>
      </w:pPr>
      <w:bookmarkStart w:id="176" w:name="X08c5dd8afe3eb0c034f6411338b7f1a3ef4e725"/>
      <w:r>
        <w:t xml:space="preserve">From Alignment to Self-Attention</w:t>
      </w:r>
      <w:bookmarkEnd w:id="176"/>
    </w:p>
    <w:p>
      <w:pPr>
        <w:pStyle w:val="FirstParagraph"/>
      </w:pPr>
      <w:r>
        <w:t xml:space="preserve">Attention did not begin with the Transformer. Bahdanau, Cho, and Bengio introduced a learned soft alignment mechanism in a recurrent neural translation system. Instead of forcing the source sentence into only one fixed-length vector for decoding, their model combined source annotations according to learned weights for each target step.</w:t>
      </w:r>
    </w:p>
    <w:p>
      <w:pPr>
        <w:pStyle w:val="BodyText"/>
      </w:pPr>
      <w:r>
        <w:t xml:space="preserve">The Transformer made attention the central sequence architecture. Vaswani and colleagues defined scaled dot-product and multi-head attention, used masking in decoder self-attention, and compared architectures partly through maximum dependency-path length and available parallel computation. Their complete design includes much more than the single operation in this chapter.</w:t>
      </w:r>
    </w:p>
    <w:p>
      <w:pPr>
        <w:pStyle w:val="BodyText"/>
      </w:pPr>
      <w:r>
        <w:t xml:space="preserve">Our fixture uses one head, fixed vectors, no learned projections, no position representation, no residual path, no normalization, and no feed-forward stage. It demonstrates the operator that Chapter 11 must assemble, not the assembled Transformer.</w:t>
      </w:r>
    </w:p>
    <w:p>
      <w:pPr>
        <w:pStyle w:val="Heading2"/>
      </w:pPr>
      <w:bookmarkStart w:id="177" w:name="X322d773348c0471fd226f4bfbfea336687ea7a7"/>
      <w:r>
        <w:t xml:space="preserve">Attention Weight Is Not Explanation</w:t>
      </w:r>
      <w:bookmarkEnd w:id="177"/>
    </w:p>
    <w:p>
      <w:pPr>
        <w:pStyle w:val="FirstParagraph"/>
      </w:pPr>
      <w:r>
        <w:t xml:space="preserve">Attention weights are inspectable, which makes them tempting explanations. The temptation should become a test requirement rather than a conclusion.</w:t>
      </w:r>
    </w:p>
    <w:p>
      <w:pPr>
        <w:pStyle w:val="BodyText"/>
      </w:pPr>
      <w:r>
        <w:t xml:space="preserve">Jain and Wallace found in studied NLP models that attention weights often related weakly to gradient-based feature importance and that substantially different attention distributions could produce similar predictions. Serrano and Smith intervened on attention in trained classifiers and found that raw magnitude was not a fail-safe indicator of impact.</w:t>
      </w:r>
    </w:p>
    <w:p>
      <w:pPr>
        <w:pStyle w:val="BodyText"/>
      </w:pPr>
      <w:r>
        <w:t xml:space="preserve">Those studies have their own architectures, tasks, and definitions. They do not imply that every attention visualization is useless. They do establish that explanation requires more than displaying normalized coefficients.</w:t>
      </w:r>
    </w:p>
    <w:p>
      <w:pPr>
        <w:pStyle w:val="BodyText"/>
      </w:pPr>
      <w:r>
        <w:t xml:space="preserve">Chapter 10 therefore uses precise language:</w:t>
      </w:r>
    </w:p>
    <w:p>
      <w:pPr>
        <w:numPr>
          <w:ilvl w:val="0"/>
          <w:numId w:val="1007"/>
        </w:numPr>
        <w:pStyle w:val="Compact"/>
      </w:pPr>
      <w:r>
        <w:t xml:space="preserve">weights report the coefficients produced by one attention operation</w:t>
      </w:r>
    </w:p>
    <w:p>
      <w:pPr>
        <w:numPr>
          <w:ilvl w:val="0"/>
          <w:numId w:val="1007"/>
        </w:numPr>
        <w:pStyle w:val="Compact"/>
      </w:pPr>
      <w:r>
        <w:t xml:space="preserve">contributions combine those coefficients with value vectors</w:t>
      </w:r>
    </w:p>
    <w:p>
      <w:pPr>
        <w:numPr>
          <w:ilvl w:val="0"/>
          <w:numId w:val="1007"/>
        </w:numPr>
        <w:pStyle w:val="Compact"/>
      </w:pPr>
      <w:r>
        <w:t xml:space="preserve">causal influence requires an intervention or another declared causal test</w:t>
      </w:r>
    </w:p>
    <w:p>
      <w:pPr>
        <w:numPr>
          <w:ilvl w:val="0"/>
          <w:numId w:val="1007"/>
        </w:numPr>
        <w:pStyle w:val="Compact"/>
      </w:pPr>
      <w:r>
        <w:t xml:space="preserve">semantic interpretation requires task- and representation-grounded evidence</w:t>
      </w:r>
    </w:p>
    <w:p>
      <w:pPr>
        <w:pStyle w:val="FirstParagraph"/>
      </w:pPr>
      <w:r>
        <w:t xml:space="preserve">The probe performs the value intervention needed for its arithmetic claim. It does not analyze a trained model’s causal behavior.</w:t>
      </w:r>
    </w:p>
    <w:p>
      <w:pPr>
        <w:pStyle w:val="Heading2"/>
      </w:pPr>
      <w:bookmarkStart w:id="178" w:name="chapter-10-what-the-probe-establishes"/>
      <w:r>
        <w:t xml:space="preserve">What the Probe Establishes</w:t>
      </w:r>
      <w:bookmarkEnd w:id="178"/>
    </w:p>
    <w:p>
      <w:pPr>
        <w:pStyle w:val="FirstParagraph"/>
      </w:pPr>
      <w:r>
        <w:t xml:space="preserve">The standard-library probe computes complete full and causal score matrices, normalized weights, weighted value contributions, and outputs for five two-dimensional positions. Every admitted row sums to one. Every causal future position has weight zero. Every output equals the sum of its recorded contributions.</w:t>
      </w:r>
    </w:p>
    <w:p>
      <w:pPr>
        <w:pStyle w:val="BodyText"/>
      </w:pPr>
      <w:r>
        <w:t xml:space="preserve">The value-only control preserves the complete score and weight matrices exactly. For every query row, the output difference equals the unchanged first weight times the declared value perturbation within</w:t>
      </w:r>
      <w:r>
        <w:t xml:space="preserve"> </w:t>
      </w:r>
      <m:oMath>
        <m:sSup>
          <m:e>
            <m:r>
              <m:t>10</m:t>
            </m:r>
          </m:e>
          <m:sup>
            <m:r>
              <m:t>−</m:t>
            </m:r>
            <m:r>
              <m:t>12</m:t>
            </m:r>
          </m:sup>
        </m:sSup>
      </m:oMath>
      <w:r>
        <w:t xml:space="preserve">.</w:t>
      </w:r>
    </w:p>
    <w:p>
      <w:pPr>
        <w:pStyle w:val="BodyText"/>
      </w:pPr>
      <w:r>
        <w:t xml:space="preserve">The probe does not train attention, implement multiple heads, measure runtime, establish task performance, or infer semantic and causal importance. Its strength is the isolated interface: query-key computation determines coefficients; values determine what those coefficients combine.</w:t>
      </w:r>
    </w:p>
    <w:p>
      <w:pPr>
        <w:pStyle w:val="Heading2"/>
      </w:pPr>
      <w:bookmarkStart w:id="179" w:name="X2f8f8afe554c277d01736113f87a57e74bec495"/>
      <w:r>
        <w:t xml:space="preserve">Attention Ready for Architecture</w:t>
      </w:r>
      <w:bookmarkEnd w:id="179"/>
    </w:p>
    <w:p>
      <w:pPr>
        <w:pStyle w:val="FirstParagraph"/>
      </w:pPr>
      <w:r>
        <w:t xml:space="preserve">Chapter 9 exposed an ordered recurrent path. This chapter has changed that path and separated score, weight, value, contribution, mask, and output. Attention is now an inspectable operator.</w:t>
      </w:r>
    </w:p>
    <w:p>
      <w:pPr>
        <w:pStyle w:val="BodyText"/>
      </w:pPr>
      <w:r>
        <w:t xml:space="preserve">It is not yet a block architecture. Chapter 11 adds the missing assembly: input embeddings, positional information, learned projections, multiple heads, residual paths, normalization, and feed-forward transformations. The next question is not whether attention works alone. It is how these components constrain and sustain one another inside a bounded Transformer block.</w:t>
      </w:r>
    </w:p>
    <w:p>
      <w:pPr>
        <w:pStyle w:val="Heading2"/>
      </w:pPr>
      <w:bookmarkStart w:id="180" w:name="chapter-10-sources-and-evidence"/>
      <w:r>
        <w:t xml:space="preserve">Sources and Evidence</w:t>
      </w:r>
      <w:bookmarkEnd w:id="180"/>
    </w:p>
    <w:p>
      <w:pPr>
        <w:pStyle w:val="FirstParagraph"/>
      </w:pPr>
      <w:r>
        <w:t xml:space="preserve">The chapter’s bounded claims about learned alignment, scaled dot-product attention, masking, path length, and interpretation limits are documented in the</w:t>
      </w:r>
      <w:r>
        <w:t xml:space="preserve"> </w:t>
      </w:r>
      <w:hyperlink r:id="rId181">
        <w:r>
          <w:rPr>
            <w:rStyle w:val="Hyperlink"/>
          </w:rPr>
          <w:t xml:space="preserve">Chapter 10 source ledger</w:t>
        </w:r>
      </w:hyperlink>
      <w:r>
        <w:t xml:space="preserve">. Exact vectors, scores, weights, contributions, controls, and outputs are recorded in the</w:t>
      </w:r>
      <w:r>
        <w:t xml:space="preserve"> </w:t>
      </w:r>
      <w:hyperlink r:id="rId182">
        <w:r>
          <w:rPr>
            <w:rStyle w:val="Hyperlink"/>
          </w:rPr>
          <w:t xml:space="preserve">attention-path probe</w:t>
        </w:r>
      </w:hyperlink>
      <w:r>
        <w:t xml:space="preserve">, with its</w:t>
      </w:r>
      <w:r>
        <w:t xml:space="preserve"> </w:t>
      </w:r>
      <w:hyperlink r:id="rId183">
        <w:r>
          <w:rPr>
            <w:rStyle w:val="Hyperlink"/>
          </w:rPr>
          <w:t xml:space="preserve">Python implementation</w:t>
        </w:r>
      </w:hyperlink>
      <w:r>
        <w:t xml:space="preserve">. Visual provenance and accessibility details are recorded with</w:t>
      </w:r>
      <w:r>
        <w:t xml:space="preserve"> </w:t>
      </w:r>
      <w:hyperlink r:id="rId184">
        <w:r>
          <w:rPr>
            <w:rStyle w:val="Hyperlink"/>
          </w:rPr>
          <w:t xml:space="preserve">Attention Opens Direct Paths</w:t>
        </w:r>
      </w:hyperlink>
      <w:r>
        <w:t xml:space="preserve">.</w:t>
      </w:r>
    </w:p>
    <w:p>
      <w:pPr>
        <w:pStyle w:val="Heading1"/>
      </w:pPr>
      <w:bookmarkStart w:id="185" w:name="chapter-11"/>
      <w:r>
        <w:t xml:space="preserve">Chapter 11 — The Transformer</w:t>
      </w:r>
      <w:bookmarkEnd w:id="185"/>
    </w:p>
    <w:p>
      <w:pPr>
        <w:pStyle w:val="FirstParagraph"/>
      </w:pPr>
      <w:r>
        <w:t xml:space="preserve">Chapter 10 isolated one operation: scaled dot-product attention. That operation changed dependency paths and exposed direct value contribution edges. It did not, by itself, produce a Transformer.</w:t>
      </w:r>
    </w:p>
    <w:p>
      <w:pPr>
        <w:pStyle w:val="BodyText"/>
      </w:pPr>
      <w:r>
        <w:t xml:space="preserve">The distinction matters. A Transformer block is not a single equation. It is a composition of interfaces with declared dimensions and handoff rules. Incoming representations are combined with positional information. Those rows are projected into queries, keys, and values. Attention is computed per head, head outputs are concatenated and projected, and the result is composed with the input path by residual-plus-normalization structure. A positionwise feed-forward stage follows, then a second residual-plus-normalization interface.</w:t>
      </w:r>
    </w:p>
    <w:p>
      <w:pPr>
        <w:pStyle w:val="BodyText"/>
      </w:pPr>
      <w:r>
        <w:t xml:space="preserve">This chapter assembles those components in one fixed, fully inspectable fixture. Every matrix is declared. Every row is deterministic. No parameter is trained. The goal is architectural clarity, not benchmark performance and not semantic evaluation.</w:t>
      </w:r>
    </w:p>
    <w:p>
      <w:pPr>
        <w:pStyle w:val="Heading2"/>
      </w:pPr>
      <w:bookmarkStart w:id="186" w:name="X3a72c8ad132b55b1974abb72e326c71e5cb91bf"/>
      <w:r>
        <w:t xml:space="preserve">Attention Is a Component, Not the Whole</w:t>
      </w:r>
      <w:bookmarkEnd w:id="186"/>
    </w:p>
    <w:p>
      <w:pPr>
        <w:pStyle w:val="FirstParagraph"/>
      </w:pPr>
      <w:r>
        <w:t xml:space="preserve">Vaswani and colleagues introduced the Transformer as an architecture whose central sequence mechanism is attention. Their model used scaled dot-product attention, multiple heads, output projection, residual pathways, layer normalization, and positionwise feed-forward transformations in repeated stacks.</w:t>
      </w:r>
    </w:p>
    <w:p>
      <w:pPr>
        <w:pStyle w:val="BodyText"/>
      </w:pPr>
      <w:r>
        <w:t xml:space="preserve">That sentence already implies a boundary: attention alone is not the Transformer.</w:t>
      </w:r>
    </w:p>
    <w:p>
      <w:pPr>
        <w:pStyle w:val="BodyText"/>
      </w:pPr>
      <w:r>
        <w:t xml:space="preserve">If we keep only the attention operator and remove the surrounding interfaces, we lose:</w:t>
      </w:r>
    </w:p>
    <w:p>
      <w:pPr>
        <w:numPr>
          <w:ilvl w:val="0"/>
          <w:numId w:val="1008"/>
        </w:numPr>
        <w:pStyle w:val="Compact"/>
      </w:pPr>
      <w:r>
        <w:t xml:space="preserve">explicit positional entry into each block input row</w:t>
      </w:r>
    </w:p>
    <w:p>
      <w:pPr>
        <w:numPr>
          <w:ilvl w:val="0"/>
          <w:numId w:val="1008"/>
        </w:numPr>
        <w:pStyle w:val="Compact"/>
      </w:pPr>
      <w:r>
        <w:t xml:space="preserve">multi-head parallel representation subspaces</w:t>
      </w:r>
    </w:p>
    <w:p>
      <w:pPr>
        <w:numPr>
          <w:ilvl w:val="0"/>
          <w:numId w:val="1008"/>
        </w:numPr>
        <w:pStyle w:val="Compact"/>
      </w:pPr>
      <w:r>
        <w:t xml:space="preserve">residual identity pathways that preserve and route information</w:t>
      </w:r>
    </w:p>
    <w:p>
      <w:pPr>
        <w:numPr>
          <w:ilvl w:val="0"/>
          <w:numId w:val="1008"/>
        </w:numPr>
        <w:pStyle w:val="Compact"/>
      </w:pPr>
      <w:r>
        <w:t xml:space="preserve">normalization interfaces stabilizing row scale under a declared rule</w:t>
      </w:r>
    </w:p>
    <w:p>
      <w:pPr>
        <w:numPr>
          <w:ilvl w:val="0"/>
          <w:numId w:val="1008"/>
        </w:numPr>
        <w:pStyle w:val="Compact"/>
      </w:pPr>
      <w:r>
        <w:t xml:space="preserve">pointwise nonlinear transformation after attention mixing</w:t>
      </w:r>
    </w:p>
    <w:p>
      <w:pPr>
        <w:pStyle w:val="FirstParagraph"/>
      </w:pPr>
      <w:r>
        <w:t xml:space="preserve">So Chapter 11 asks a narrower question than</w:t>
      </w:r>
      <w:r>
        <w:t xml:space="preserve"> </w:t>
      </w:r>
      <w:r>
        <w:t xml:space="preserve">“</w:t>
      </w:r>
      <w:r>
        <w:t xml:space="preserve">does attention work?</w:t>
      </w:r>
      <w:r>
        <w:t xml:space="preserve">”</w:t>
      </w:r>
      <w:r>
        <w:t xml:space="preserve"> </w:t>
      </w:r>
      <w:r>
        <w:t xml:space="preserve">The question is: what exactly must be assembled around attention before the block matches Transformer structure?</w:t>
      </w:r>
    </w:p>
    <w:p>
      <w:pPr>
        <w:pStyle w:val="Heading2"/>
      </w:pPr>
      <w:bookmarkStart w:id="187" w:name="X6395ae818d0dfbb7174116218f2aaa5d8b10ec4"/>
      <w:r>
        <w:t xml:space="preserve">Fixed Fixture and Declared Shapes</w:t>
      </w:r>
      <w:bookmarkEnd w:id="187"/>
    </w:p>
    <w:p>
      <w:pPr>
        <w:pStyle w:val="FirstParagraph"/>
      </w:pPr>
      <w:r>
        <w:t xml:space="preserve">The probe declares four positions, model dimension</w:t>
      </w:r>
      <w:r>
        <w:t xml:space="preserve"> </w:t>
      </w:r>
      <m:oMath>
        <m:sSub>
          <m:e>
            <m:r>
              <m:t>d</m:t>
            </m:r>
          </m:e>
          <m:sub>
            <m:r>
              <m:t>m</m:t>
            </m:r>
            <m:r>
              <m:t>o</m:t>
            </m:r>
            <m:r>
              <m:t>d</m:t>
            </m:r>
            <m:r>
              <m:t>e</m:t>
            </m:r>
            <m:r>
              <m:t>l</m:t>
            </m:r>
          </m:sub>
        </m:sSub>
        <m:r>
          <m:t>=</m:t>
        </m:r>
        <m:r>
          <m:t>4</m:t>
        </m:r>
      </m:oMath>
      <w:r>
        <w:t xml:space="preserve">, two heads, per-head dimension</w:t>
      </w:r>
      <w:r>
        <w:t xml:space="preserve"> </w:t>
      </w:r>
      <m:oMath>
        <m:sSub>
          <m:e>
            <m:r>
              <m:t>d</m:t>
            </m:r>
          </m:e>
          <m:sub>
            <m:r>
              <m:t>h</m:t>
            </m:r>
          </m:sub>
        </m:sSub>
        <m:r>
          <m:t>=</m:t>
        </m:r>
        <m:r>
          <m:t>2</m:t>
        </m:r>
      </m:oMath>
      <w:r>
        <w:t xml:space="preserve">, and feed-forward hidden width 6. Input token rows and positional rows are fixed small vectors:</w:t>
      </w:r>
    </w:p>
    <w:p>
      <w:pPr>
        <w:pStyle w:val="BodyText"/>
      </w:pPr>
      <m:oMathPara>
        <m:oMathParaPr>
          <m:jc m:val="center"/>
        </m:oMathParaPr>
        <m:oMath>
          <m:sSub>
            <m:e>
              <m:r>
                <m:t>H</m:t>
              </m:r>
            </m:e>
            <m:sub>
              <m:r>
                <m:t>0</m:t>
              </m:r>
            </m:sub>
          </m:sSub>
          <m:r>
            <m:t>=</m:t>
          </m:r>
          <m:r>
            <m:t>X</m:t>
          </m:r>
          <m:r>
            <m:t>+</m:t>
          </m:r>
          <m:r>
            <m:t>P</m:t>
          </m:r>
          <m:r>
            <m:t>.</m:t>
          </m:r>
        </m:oMath>
      </m:oMathPara>
    </w:p>
    <w:p>
      <w:pPr>
        <w:pStyle w:val="FirstParagraph"/>
      </w:pPr>
      <w:r>
        <w:t xml:space="preserve">For each row in</w:t>
      </w:r>
      <w:r>
        <w:t xml:space="preserve"> </w:t>
      </w:r>
      <m:oMath>
        <m:sSub>
          <m:e>
            <m:r>
              <m:t>H</m:t>
            </m:r>
          </m:e>
          <m:sub>
            <m:r>
              <m:t>0</m:t>
            </m:r>
          </m:sub>
        </m:sSub>
      </m:oMath>
      <w:r>
        <w:t xml:space="preserve">, fixed matrices produce</w:t>
      </w:r>
    </w:p>
    <w:p>
      <w:pPr>
        <w:pStyle w:val="BodyText"/>
      </w:pPr>
      <m:oMathPara>
        <m:oMathParaPr>
          <m:jc m:val="center"/>
        </m:oMathParaPr>
        <m:oMath>
          <m:r>
            <m:t>Q</m:t>
          </m:r>
          <m:r>
            <m:t>=</m:t>
          </m:r>
          <m:sSub>
            <m:e>
              <m:r>
                <m:t>H</m:t>
              </m:r>
            </m:e>
            <m:sub>
              <m:r>
                <m:t>0</m:t>
              </m:r>
            </m:sub>
          </m:sSub>
          <m:sSub>
            <m:e>
              <m:r>
                <m:t>W</m:t>
              </m:r>
            </m:e>
            <m:sub>
              <m:r>
                <m:t>Q</m:t>
              </m:r>
            </m:sub>
          </m:sSub>
          <m:r>
            <m:t>,</m:t>
          </m:r>
          <m:r>
            <m:t> </m:t>
          </m:r>
          <m:r>
            <m:t>K</m:t>
          </m:r>
          <m:r>
            <m:t>=</m:t>
          </m:r>
          <m:sSub>
            <m:e>
              <m:r>
                <m:t>H</m:t>
              </m:r>
            </m:e>
            <m:sub>
              <m:r>
                <m:t>0</m:t>
              </m:r>
            </m:sub>
          </m:sSub>
          <m:sSub>
            <m:e>
              <m:r>
                <m:t>W</m:t>
              </m:r>
            </m:e>
            <m:sub>
              <m:r>
                <m:t>K</m:t>
              </m:r>
            </m:sub>
          </m:sSub>
          <m:r>
            <m:t>,</m:t>
          </m:r>
          <m:r>
            <m:t> </m:t>
          </m:r>
          <m:r>
            <m:t>V</m:t>
          </m:r>
          <m:r>
            <m:t>=</m:t>
          </m:r>
          <m:sSub>
            <m:e>
              <m:r>
                <m:t>H</m:t>
              </m:r>
            </m:e>
            <m:sub>
              <m:r>
                <m:t>0</m:t>
              </m:r>
            </m:sub>
          </m:sSub>
          <m:sSub>
            <m:e>
              <m:r>
                <m:t>W</m:t>
              </m:r>
            </m:e>
            <m:sub>
              <m:r>
                <m:t>V</m:t>
              </m:r>
            </m:sub>
          </m:sSub>
          <m:r>
            <m:t>.</m:t>
          </m:r>
        </m:oMath>
      </m:oMathPara>
    </w:p>
    <w:p>
      <w:pPr>
        <w:pStyle w:val="FirstParagraph"/>
      </w:pPr>
      <w:r>
        <w:t xml:space="preserve">Each projected row is split into two head slices of length two. For head</w:t>
      </w:r>
      <w:r>
        <w:t xml:space="preserve"> </w:t>
      </w:r>
      <m:oMath>
        <m:r>
          <m:t>h</m:t>
        </m:r>
      </m:oMath>
      <w:r>
        <w:t xml:space="preserve"> </w:t>
      </w:r>
      <w:r>
        <w:t xml:space="preserve">at query row</w:t>
      </w:r>
      <w:r>
        <w:t xml:space="preserve"> </w:t>
      </w:r>
      <m:oMath>
        <m:r>
          <m:t>i</m:t>
        </m:r>
      </m:oMath>
      <w:r>
        <w:t xml:space="preserve">:</w:t>
      </w:r>
    </w:p>
    <w:p>
      <w:pPr>
        <w:pStyle w:val="BodyText"/>
      </w:pPr>
      <m:oMathPara>
        <m:oMathParaPr>
          <m:jc m:val="center"/>
        </m:oMathParaPr>
        <m:oMath>
          <m:sSubSup>
            <m:e>
              <m:r>
                <m:t>s</m:t>
              </m:r>
            </m:e>
            <m:sub>
              <m:r>
                <m:t>i</m:t>
              </m:r>
              <m:r>
                <m:t>j</m:t>
              </m:r>
            </m:sub>
            <m:sup>
              <m:r>
                <m:t>(</m:t>
              </m:r>
              <m:r>
                <m:t>h</m:t>
              </m:r>
              <m:r>
                <m:t>)</m:t>
              </m:r>
            </m:sup>
          </m:sSubSup>
          <m:r>
            <m:t>=</m:t>
          </m:r>
          <m:f>
            <m:fPr>
              <m:type m:val="bar"/>
            </m:fPr>
            <m:num>
              <m:sSubSup>
                <m:e>
                  <m:r>
                    <m:t>q</m:t>
                  </m:r>
                </m:e>
                <m:sub>
                  <m:r>
                    <m:t>i</m:t>
                  </m:r>
                </m:sub>
                <m:sup>
                  <m:r>
                    <m:t>(</m:t>
                  </m:r>
                  <m:r>
                    <m:t>h</m:t>
                  </m:r>
                  <m:r>
                    <m:t>)</m:t>
                  </m:r>
                </m:sup>
              </m:sSubSup>
              <m:r>
                <m:t>⋅</m:t>
              </m:r>
              <m:sSubSup>
                <m:e>
                  <m:r>
                    <m:t>k</m:t>
                  </m:r>
                </m:e>
                <m:sub>
                  <m:r>
                    <m:t>j</m:t>
                  </m:r>
                </m:sub>
                <m:sup>
                  <m:r>
                    <m:t>(</m:t>
                  </m:r>
                  <m:r>
                    <m:t>h</m:t>
                  </m:r>
                  <m:r>
                    <m:t>)</m:t>
                  </m:r>
                </m:sup>
              </m:sSubSup>
            </m:num>
            <m:den>
              <m:rad>
                <m:radPr>
                  <m:degHide m:val="1"/>
                </m:radPr>
                <m:deg/>
                <m:e>
                  <m:sSub>
                    <m:e>
                      <m:r>
                        <m:t>d</m:t>
                      </m:r>
                    </m:e>
                    <m:sub>
                      <m:r>
                        <m:t>h</m:t>
                      </m:r>
                    </m:sub>
                  </m:sSub>
                </m:e>
              </m:rad>
            </m:den>
          </m:f>
          <m:r>
            <m:t>,</m:t>
          </m:r>
          <m:r>
            <m:t>  </m:t>
          </m:r>
          <m:sSubSup>
            <m:e>
              <m:r>
                <m:t>α</m:t>
              </m:r>
            </m:e>
            <m:sub>
              <m:r>
                <m:t>i</m:t>
              </m:r>
              <m:r>
                <m:t>j</m:t>
              </m:r>
            </m:sub>
            <m:sup>
              <m:r>
                <m:t>(</m:t>
              </m:r>
              <m:r>
                <m:t>h</m:t>
              </m:r>
              <m:r>
                <m:t>)</m:t>
              </m:r>
            </m:sup>
          </m:sSubSup>
          <m:r>
            <m:t>=</m:t>
          </m:r>
          <m:r>
            <m:rPr>
              <m:nor/>
              <m:sty m:val="p"/>
            </m:rPr>
            <m:t>softmax</m:t>
          </m:r>
          <m:r>
            <m:t>(</m:t>
          </m:r>
          <m:sSubSup>
            <m:e>
              <m:r>
                <m:t>s</m:t>
              </m:r>
            </m:e>
            <m:sub>
              <m:r>
                <m:t>i</m:t>
              </m:r>
              <m:r>
                <m:t>⋅</m:t>
              </m:r>
            </m:sub>
            <m:sup>
              <m:r>
                <m:t>(</m:t>
              </m:r>
              <m:r>
                <m:t>h</m:t>
              </m:r>
              <m:r>
                <m:t>)</m:t>
              </m:r>
            </m:sup>
          </m:sSubSup>
          <m:sSub>
            <m:e>
              <m:r>
                <m:t>)</m:t>
              </m:r>
            </m:e>
            <m:sub>
              <m:r>
                <m:t>j</m:t>
              </m:r>
            </m:sub>
          </m:sSub>
          <m:r>
            <m:t>.</m:t>
          </m:r>
        </m:oMath>
      </m:oMathPara>
    </w:p>
    <w:p>
      <w:pPr>
        <w:pStyle w:val="FirstParagraph"/>
      </w:pPr>
      <w:r>
        <w:t xml:space="preserve">Head output row:</w:t>
      </w:r>
    </w:p>
    <w:p>
      <w:pPr>
        <w:pStyle w:val="BodyText"/>
      </w:pPr>
      <m:oMathPara>
        <m:oMathParaPr>
          <m:jc m:val="center"/>
        </m:oMathParaPr>
        <m:oMath>
          <m:sSubSup>
            <m:e>
              <m:r>
                <m:t>z</m:t>
              </m:r>
            </m:e>
            <m:sub>
              <m:r>
                <m:t>i</m:t>
              </m:r>
            </m:sub>
            <m:sup>
              <m:r>
                <m:t>(</m:t>
              </m:r>
              <m:r>
                <m:t>h</m:t>
              </m:r>
              <m:r>
                <m:t>)</m:t>
              </m:r>
            </m:sup>
          </m:sSubSup>
          <m:r>
            <m:t>=</m:t>
          </m:r>
          <m:nary>
            <m:naryPr>
              <m:chr m:val="∑"/>
              <m:limLoc m:val="undOvr"/>
              <m:subHide m:val="0"/>
              <m:supHide m:val="1"/>
            </m:naryPr>
            <m:sub>
              <m:r>
                <m:t>j</m:t>
              </m:r>
            </m:sub>
            <m:sup>
              <m:r>
                <m:t>​</m:t>
              </m:r>
            </m:sup>
            <m:e>
              <m:sSubSup>
                <m:e>
                  <m:r>
                    <m:t>α</m:t>
                  </m:r>
                </m:e>
                <m:sub>
                  <m:r>
                    <m:t>i</m:t>
                  </m:r>
                  <m:r>
                    <m:t>j</m:t>
                  </m:r>
                </m:sub>
                <m:sup>
                  <m:r>
                    <m:t>(</m:t>
                  </m:r>
                  <m:r>
                    <m:t>h</m:t>
                  </m:r>
                  <m:r>
                    <m:t>)</m:t>
                  </m:r>
                </m:sup>
              </m:sSubSup>
            </m:e>
          </m:nary>
          <m:sSubSup>
            <m:e>
              <m:r>
                <m:t>v</m:t>
              </m:r>
            </m:e>
            <m:sub>
              <m:r>
                <m:t>j</m:t>
              </m:r>
            </m:sub>
            <m:sup>
              <m:r>
                <m:t>(</m:t>
              </m:r>
              <m:r>
                <m:t>h</m:t>
              </m:r>
              <m:r>
                <m:t>)</m:t>
              </m:r>
            </m:sup>
          </m:sSubSup>
          <m:r>
            <m:t>.</m:t>
          </m:r>
        </m:oMath>
      </m:oMathPara>
    </w:p>
    <w:p>
      <w:pPr>
        <w:pStyle w:val="FirstParagraph"/>
      </w:pPr>
      <w:r>
        <w:t xml:space="preserve">Then:</w:t>
      </w:r>
    </w:p>
    <w:p>
      <w:pPr>
        <w:pStyle w:val="BodyText"/>
      </w:pPr>
      <m:oMathPara>
        <m:oMathParaPr>
          <m:jc m:val="center"/>
        </m:oMathParaPr>
        <m:oMath>
          <m:r>
            <m:t>Z</m:t>
          </m:r>
          <m:r>
            <m:t>=</m:t>
          </m:r>
          <m:r>
            <m:rPr>
              <m:nor/>
              <m:sty m:val="p"/>
            </m:rPr>
            <m:t>Concat</m:t>
          </m:r>
          <m:r>
            <m:t>(</m:t>
          </m:r>
          <m:sSup>
            <m:e>
              <m:r>
                <m:t>z</m:t>
              </m:r>
            </m:e>
            <m:sup>
              <m:r>
                <m:t>(</m:t>
              </m:r>
              <m:r>
                <m:t>1</m:t>
              </m:r>
              <m:r>
                <m:t>)</m:t>
              </m:r>
            </m:sup>
          </m:sSup>
          <m:r>
            <m:t>,</m:t>
          </m:r>
          <m:sSup>
            <m:e>
              <m:r>
                <m:t>z</m:t>
              </m:r>
            </m:e>
            <m:sup>
              <m:r>
                <m:t>(</m:t>
              </m:r>
              <m:r>
                <m:t>2</m:t>
              </m:r>
              <m:r>
                <m:t>)</m:t>
              </m:r>
            </m:sup>
          </m:sSup>
          <m:r>
            <m:t>)</m:t>
          </m:r>
          <m:sSub>
            <m:e>
              <m:r>
                <m:t>W</m:t>
              </m:r>
            </m:e>
            <m:sub>
              <m:r>
                <m:t>O</m:t>
              </m:r>
            </m:sub>
          </m:sSub>
          <m:r>
            <m:t>.</m:t>
          </m:r>
        </m:oMath>
      </m:oMathPara>
    </w:p>
    <w:p>
      <w:pPr>
        <w:pStyle w:val="FirstParagraph"/>
      </w:pPr>
      <w:r>
        <w:t xml:space="preserve">No randomness appears anywhere in the fixture. Rerunning the probe reproduces identical outputs.</w:t>
      </w:r>
    </w:p>
    <w:p>
      <w:pPr>
        <w:pStyle w:val="Heading2"/>
      </w:pPr>
      <w:bookmarkStart w:id="188" w:name="chapter-11-two-heads-distinct-rows"/>
      <w:r>
        <w:t xml:space="preserve">Two Heads, Distinct Rows</w:t>
      </w:r>
      <w:bookmarkEnd w:id="188"/>
    </w:p>
    <w:p>
      <w:pPr>
        <w:pStyle w:val="FirstParagraph"/>
      </w:pPr>
      <w:r>
        <w:t xml:space="preserve">The architecture calls for multiple heads because one head is only one projected compatibility-and-mixture channel. The probe verifies that head rows are normalized and distinct.</w:t>
      </w:r>
    </w:p>
    <w:p>
      <w:pPr>
        <w:pStyle w:val="BodyText"/>
      </w:pPr>
      <w:r>
        <w:t xml:space="preserve">For query row 4:</w:t>
      </w:r>
    </w:p>
    <w:p>
      <w:pPr>
        <w:numPr>
          <w:ilvl w:val="0"/>
          <w:numId w:val="1009"/>
        </w:numPr>
        <w:pStyle w:val="Compact"/>
      </w:pPr>
      <w:r>
        <w:t xml:space="preserve">head 1 weights:</w:t>
      </w:r>
      <w:r>
        <w:t xml:space="preserve"> </w:t>
      </w:r>
      <m:oMath>
        <m:r>
          <m:t>(</m:t>
        </m:r>
        <m:r>
          <m:t>0.231425</m:t>
        </m:r>
        <m:r>
          <m:t>,</m:t>
        </m:r>
        <m:r>
          <m:t>0.224919</m:t>
        </m:r>
        <m:r>
          <m:t>,</m:t>
        </m:r>
        <m:r>
          <m:t>0.236720</m:t>
        </m:r>
        <m:r>
          <m:t>,</m:t>
        </m:r>
        <m:r>
          <m:t>0.306937</m:t>
        </m:r>
        <m:r>
          <m:t>)</m:t>
        </m:r>
      </m:oMath>
    </w:p>
    <w:p>
      <w:pPr>
        <w:numPr>
          <w:ilvl w:val="0"/>
          <w:numId w:val="1009"/>
        </w:numPr>
        <w:pStyle w:val="Compact"/>
      </w:pPr>
      <w:r>
        <w:t xml:space="preserve">head 2 weights:</w:t>
      </w:r>
      <w:r>
        <w:t xml:space="preserve"> </w:t>
      </w:r>
      <m:oMath>
        <m:r>
          <m:t>(</m:t>
        </m:r>
        <m:r>
          <m:t>0.316628</m:t>
        </m:r>
        <m:r>
          <m:t>,</m:t>
        </m:r>
        <m:r>
          <m:t>0.297562</m:t>
        </m:r>
        <m:r>
          <m:t>,</m:t>
        </m:r>
        <m:r>
          <m:t>0.194005</m:t>
        </m:r>
        <m:r>
          <m:t>,</m:t>
        </m:r>
        <m:r>
          <m:t>0.191805</m:t>
        </m:r>
        <m:r>
          <m:t>)</m:t>
        </m:r>
      </m:oMath>
    </w:p>
    <w:p>
      <w:pPr>
        <w:pStyle w:val="FirstParagraph"/>
      </w:pPr>
      <w:r>
        <w:t xml:space="preserve">Both rows sum to one within tolerance, and they are not identical. That matters because</w:t>
      </w:r>
      <w:r>
        <w:t xml:space="preserve"> </w:t>
      </w:r>
      <w:r>
        <w:t xml:space="preserve">“</w:t>
      </w:r>
      <w:r>
        <w:t xml:space="preserve">multi-head</w:t>
      </w:r>
      <w:r>
        <w:t xml:space="preserve">”</w:t>
      </w:r>
      <w:r>
        <w:t xml:space="preserve"> </w:t>
      </w:r>
      <w:r>
        <w:t xml:space="preserve">is not satisfied by duplicating one row twice. Distinct heads expose different mixtures under shared input rows and shared fixture dimensions.</w:t>
      </w:r>
    </w:p>
    <w:p>
      <w:pPr>
        <w:pStyle w:val="BodyText"/>
      </w:pPr>
      <w:r>
        <w:t xml:space="preserve">Distinctness here remains arithmetic, not semantic. We do not infer linguistic role labels, attention</w:t>
      </w:r>
      <w:r>
        <w:t xml:space="preserve"> </w:t>
      </w:r>
      <w:r>
        <w:t xml:space="preserve">“</w:t>
      </w:r>
      <w:r>
        <w:t xml:space="preserve">meanings,</w:t>
      </w:r>
      <w:r>
        <w:t xml:space="preserve">”</w:t>
      </w:r>
      <w:r>
        <w:t xml:space="preserve"> </w:t>
      </w:r>
      <w:r>
        <w:t xml:space="preserve">or causal explanations from these coefficients.</w:t>
      </w:r>
    </w:p>
    <w:p>
      <w:pPr>
        <w:pStyle w:val="Heading2"/>
      </w:pPr>
      <w:bookmarkStart w:id="189" w:name="X250a9fc3468c306e21d6f770a2729b5c21c33a5"/>
      <w:r>
        <w:t xml:space="preserve">Output Projection and First Residual Interface</w:t>
      </w:r>
      <w:bookmarkEnd w:id="189"/>
    </w:p>
    <w:p>
      <w:pPr>
        <w:pStyle w:val="FirstParagraph"/>
      </w:pPr>
      <w:r>
        <w:t xml:space="preserve">After concatenation, the output projection returns to model dimension. For query row 4, projected attention is approximately</w:t>
      </w:r>
    </w:p>
    <w:p>
      <w:pPr>
        <w:pStyle w:val="BodyText"/>
      </w:pPr>
      <m:oMathPara>
        <m:oMathParaPr>
          <m:jc m:val="center"/>
        </m:oMathParaPr>
        <m:oMath>
          <m:sSub>
            <m:e>
              <m:r>
                <m:t>Z</m:t>
              </m:r>
            </m:e>
            <m:sub>
              <m:r>
                <m:t>4</m:t>
              </m:r>
            </m:sub>
          </m:sSub>
          <m:r>
            <m:t>=</m:t>
          </m:r>
          <m:r>
            <m:t>(</m:t>
          </m:r>
          <m:r>
            <m:t>0.162918</m:t>
          </m:r>
          <m:r>
            <m:t>,</m:t>
          </m:r>
          <m:r>
            <m:t>−</m:t>
          </m:r>
          <m:r>
            <m:t>0.060338</m:t>
          </m:r>
          <m:r>
            <m:t>,</m:t>
          </m:r>
          <m:r>
            <m:t>0.457843</m:t>
          </m:r>
          <m:r>
            <m:t>,</m:t>
          </m:r>
          <m:r>
            <m:t>−</m:t>
          </m:r>
          <m:r>
            <m:t>0.006945</m:t>
          </m:r>
          <m:r>
            <m:t>)</m:t>
          </m:r>
          <m:r>
            <m:t>.</m:t>
          </m:r>
        </m:oMath>
      </m:oMathPara>
    </w:p>
    <w:p>
      <w:pPr>
        <w:pStyle w:val="FirstParagraph"/>
      </w:pPr>
      <w:r>
        <w:t xml:space="preserve">The first residual interface composes this branch output with the entry path:</w:t>
      </w:r>
    </w:p>
    <w:p>
      <w:pPr>
        <w:pStyle w:val="BodyText"/>
      </w:pPr>
      <m:oMathPara>
        <m:oMathParaPr>
          <m:jc m:val="center"/>
        </m:oMathParaPr>
        <m:oMath>
          <m:sSub>
            <m:e>
              <m:r>
                <m:t>R</m:t>
              </m:r>
            </m:e>
            <m:sub>
              <m:r>
                <m:t>1</m:t>
              </m:r>
            </m:sub>
          </m:sSub>
          <m:r>
            <m:t>=</m:t>
          </m:r>
          <m:sSub>
            <m:e>
              <m:r>
                <m:t>H</m:t>
              </m:r>
            </m:e>
            <m:sub>
              <m:r>
                <m:t>0</m:t>
              </m:r>
            </m:sub>
          </m:sSub>
          <m:r>
            <m:t>+</m:t>
          </m:r>
          <m:r>
            <m:t>Z</m:t>
          </m:r>
          <m:r>
            <m:t>.</m:t>
          </m:r>
        </m:oMath>
      </m:oMathPara>
    </w:p>
    <w:p>
      <w:pPr>
        <w:pStyle w:val="FirstParagraph"/>
      </w:pPr>
      <w:r>
        <w:t xml:space="preserve">The probe verifies this equation row-by-row exactly for recorded values.</w:t>
      </w:r>
    </w:p>
    <w:p>
      <w:pPr>
        <w:pStyle w:val="BodyText"/>
      </w:pPr>
      <w:r>
        <w:t xml:space="preserve">Then layer normalization is applied using the declared formula</w:t>
      </w:r>
    </w:p>
    <w:p>
      <w:pPr>
        <w:pStyle w:val="BodyText"/>
      </w:pPr>
      <m:oMathPara>
        <m:oMathParaPr>
          <m:jc m:val="center"/>
        </m:oMathParaPr>
        <m:oMath>
          <m:r>
            <m:rPr>
              <m:nor/>
              <m:sty m:val="p"/>
            </m:rPr>
            <m:t>LN</m:t>
          </m:r>
          <m:r>
            <m:t>(</m:t>
          </m:r>
          <m:r>
            <m:t>x</m:t>
          </m:r>
          <m:r>
            <m:t>)</m:t>
          </m:r>
          <m:r>
            <m:t>=</m:t>
          </m:r>
          <m:f>
            <m:fPr>
              <m:type m:val="bar"/>
            </m:fPr>
            <m:num>
              <m:r>
                <m:t>x</m:t>
              </m:r>
              <m:r>
                <m:t>−</m:t>
              </m:r>
              <m:r>
                <m:rPr>
                  <m:nor/>
                  <m:sty m:val="p"/>
                </m:rPr>
                <m:t>mean</m:t>
              </m:r>
              <m:r>
                <m:t>(</m:t>
              </m:r>
              <m:r>
                <m:t>x</m:t>
              </m:r>
              <m:r>
                <m:t>)</m:t>
              </m:r>
            </m:num>
            <m:den>
              <m:rad>
                <m:radPr>
                  <m:degHide m:val="1"/>
                </m:radPr>
                <m:deg/>
                <m:e>
                  <m:r>
                    <m:rPr>
                      <m:nor/>
                      <m:sty m:val="p"/>
                    </m:rPr>
                    <m:t>var</m:t>
                  </m:r>
                  <m:r>
                    <m:t>(</m:t>
                  </m:r>
                  <m:r>
                    <m:t>x</m:t>
                  </m:r>
                  <m:r>
                    <m:t>)</m:t>
                  </m:r>
                  <m:r>
                    <m:t>+</m:t>
                  </m:r>
                  <m:r>
                    <m:t>ε</m:t>
                  </m:r>
                </m:e>
              </m:rad>
            </m:den>
          </m:f>
          <m:r>
            <m:t>,</m:t>
          </m:r>
          <m:r>
            <m:t> </m:t>
          </m:r>
          <m:r>
            <m:t>ε</m:t>
          </m:r>
          <m:r>
            <m:t>=</m:t>
          </m:r>
          <m:sSup>
            <m:e>
              <m:r>
                <m:t>10</m:t>
              </m:r>
            </m:e>
            <m:sup>
              <m:r>
                <m:t>−</m:t>
              </m:r>
              <m:r>
                <m:t>9</m:t>
              </m:r>
            </m:sup>
          </m:sSup>
          <m:r>
            <m:t>.</m:t>
          </m:r>
        </m:oMath>
      </m:oMathPara>
    </w:p>
    <w:p>
      <w:pPr>
        <w:pStyle w:val="FirstParagraph"/>
      </w:pPr>
      <w:r>
        <w:t xml:space="preserve">Under that formula, recorded row means are near zero and row variances near one at the first normalization output. The check is local and explicit: it validates the declared normalization arithmetic for this fixture. It does not assert training behavior or optimization dynamics.</w:t>
      </w:r>
    </w:p>
    <w:p>
      <w:pPr>
        <w:pStyle w:val="Heading2"/>
      </w:pPr>
      <w:bookmarkStart w:id="190" w:name="X6bee991af437dad8c6807a2c60602cffa48667d"/>
      <w:r>
        <w:t xml:space="preserve">Positionwise Feed-Forward and Second Residual Interface</w:t>
      </w:r>
      <w:bookmarkEnd w:id="190"/>
    </w:p>
    <w:p>
      <w:pPr>
        <w:pStyle w:val="FirstParagraph"/>
      </w:pPr>
      <w:r>
        <w:t xml:space="preserve">Attention mixes information across positions through query-key weighting. The positionwise feed-forward stage plays a different role: it transforms each row through a learned nonlinear map applied independently per position.</w:t>
      </w:r>
    </w:p>
    <w:p>
      <w:pPr>
        <w:pStyle w:val="BodyText"/>
      </w:pPr>
      <w:r>
        <w:t xml:space="preserve">In the fixture:</w:t>
      </w:r>
    </w:p>
    <w:p>
      <w:pPr>
        <w:pStyle w:val="BodyText"/>
      </w:pPr>
      <m:oMathPara>
        <m:oMathParaPr>
          <m:jc m:val="center"/>
        </m:oMathParaPr>
        <m:oMath>
          <m:sSub>
            <m:e>
              <m:r>
                <m:t>F</m:t>
              </m:r>
            </m:e>
            <m:sub>
              <m:r>
                <m:t>1</m:t>
              </m:r>
            </m:sub>
          </m:sSub>
          <m:r>
            <m:t>=</m:t>
          </m:r>
          <m:r>
            <m:rPr>
              <m:nor/>
              <m:sty m:val="p"/>
            </m:rPr>
            <m:t>ReLU</m:t>
          </m:r>
          <m:r>
            <m:t>(</m:t>
          </m:r>
          <m:sSub>
            <m:e>
              <m:r>
                <m:t>N</m:t>
              </m:r>
            </m:e>
            <m:sub>
              <m:r>
                <m:t>1</m:t>
              </m:r>
            </m:sub>
          </m:sSub>
          <m:sSub>
            <m:e>
              <m:r>
                <m:t>W</m:t>
              </m:r>
            </m:e>
            <m:sub>
              <m:r>
                <m:t>1</m:t>
              </m:r>
            </m:sub>
          </m:sSub>
          <m:r>
            <m:t>+</m:t>
          </m:r>
          <m:sSub>
            <m:e>
              <m:r>
                <m:t>b</m:t>
              </m:r>
            </m:e>
            <m:sub>
              <m:r>
                <m:t>1</m:t>
              </m:r>
            </m:sub>
          </m:sSub>
          <m:r>
            <m:t>)</m:t>
          </m:r>
          <m:r>
            <m:t>,</m:t>
          </m:r>
          <m:r>
            <m:t>  </m:t>
          </m:r>
          <m:sSub>
            <m:e>
              <m:r>
                <m:t>F</m:t>
              </m:r>
            </m:e>
            <m:sub>
              <m:r>
                <m:t>2</m:t>
              </m:r>
            </m:sub>
          </m:sSub>
          <m:r>
            <m:t>=</m:t>
          </m:r>
          <m:sSub>
            <m:e>
              <m:r>
                <m:t>F</m:t>
              </m:r>
            </m:e>
            <m:sub>
              <m:r>
                <m:t>1</m:t>
              </m:r>
            </m:sub>
          </m:sSub>
          <m:sSub>
            <m:e>
              <m:r>
                <m:t>W</m:t>
              </m:r>
            </m:e>
            <m:sub>
              <m:r>
                <m:t>2</m:t>
              </m:r>
            </m:sub>
          </m:sSub>
          <m:r>
            <m:t>+</m:t>
          </m:r>
          <m:sSub>
            <m:e>
              <m:r>
                <m:t>b</m:t>
              </m:r>
            </m:e>
            <m:sub>
              <m:r>
                <m:t>2</m:t>
              </m:r>
            </m:sub>
          </m:sSub>
          <m:r>
            <m:t>.</m:t>
          </m:r>
        </m:oMath>
      </m:oMathPara>
    </w:p>
    <w:p>
      <w:pPr>
        <w:pStyle w:val="FirstParagraph"/>
      </w:pPr>
      <w:r>
        <w:t xml:space="preserve">Then:</w:t>
      </w:r>
    </w:p>
    <w:p>
      <w:pPr>
        <w:pStyle w:val="BodyText"/>
      </w:pPr>
      <m:oMathPara>
        <m:oMathParaPr>
          <m:jc m:val="center"/>
        </m:oMathParaPr>
        <m:oMath>
          <m:sSub>
            <m:e>
              <m:r>
                <m:t>R</m:t>
              </m:r>
            </m:e>
            <m:sub>
              <m:r>
                <m:t>2</m:t>
              </m:r>
            </m:sub>
          </m:sSub>
          <m:r>
            <m:t>=</m:t>
          </m:r>
          <m:sSub>
            <m:e>
              <m:r>
                <m:t>N</m:t>
              </m:r>
            </m:e>
            <m:sub>
              <m:r>
                <m:t>1</m:t>
              </m:r>
            </m:sub>
          </m:sSub>
          <m:r>
            <m:t>+</m:t>
          </m:r>
          <m:sSub>
            <m:e>
              <m:r>
                <m:t>F</m:t>
              </m:r>
            </m:e>
            <m:sub>
              <m:r>
                <m:t>2</m:t>
              </m:r>
            </m:sub>
          </m:sSub>
          <m:r>
            <m:t>,</m:t>
          </m:r>
          <m:r>
            <m:t>  </m:t>
          </m:r>
          <m:sSub>
            <m:e>
              <m:r>
                <m:t>N</m:t>
              </m:r>
            </m:e>
            <m:sub>
              <m:r>
                <m:t>2</m:t>
              </m:r>
            </m:sub>
          </m:sSub>
          <m:r>
            <m:t>=</m:t>
          </m:r>
          <m:r>
            <m:rPr>
              <m:nor/>
              <m:sty m:val="p"/>
            </m:rPr>
            <m:t>LN</m:t>
          </m:r>
          <m:r>
            <m:t>(</m:t>
          </m:r>
          <m:sSub>
            <m:e>
              <m:r>
                <m:t>R</m:t>
              </m:r>
            </m:e>
            <m:sub>
              <m:r>
                <m:t>2</m:t>
              </m:r>
            </m:sub>
          </m:sSub>
          <m:r>
            <m:t>)</m:t>
          </m:r>
          <m:r>
            <m:t>.</m:t>
          </m:r>
        </m:oMath>
      </m:oMathPara>
    </w:p>
    <w:p>
      <w:pPr>
        <w:pStyle w:val="FirstParagraph"/>
      </w:pPr>
      <w:r>
        <w:t xml:space="preserve">For query row 4, final normalized output is approximately</w:t>
      </w:r>
    </w:p>
    <w:p>
      <w:pPr>
        <w:pStyle w:val="BodyText"/>
      </w:pPr>
      <m:oMathPara>
        <m:oMathParaPr>
          <m:jc m:val="center"/>
        </m:oMathParaPr>
        <m:oMath>
          <m:sSub>
            <m:e>
              <m:r>
                <m:t>N</m:t>
              </m:r>
            </m:e>
            <m:sub>
              <m:r>
                <m:t>2</m:t>
              </m:r>
              <m:r>
                <m:t>,</m:t>
              </m:r>
              <m:r>
                <m:t>4</m:t>
              </m:r>
            </m:sub>
          </m:sSub>
          <m:r>
            <m:t>=</m:t>
          </m:r>
          <m:r>
            <m:t>(</m:t>
          </m:r>
          <m:r>
            <m:t>0.255460</m:t>
          </m:r>
          <m:r>
            <m:t>,</m:t>
          </m:r>
          <m:r>
            <m:t>−</m:t>
          </m:r>
          <m:r>
            <m:t>1.698430</m:t>
          </m:r>
          <m:r>
            <m:t>,</m:t>
          </m:r>
          <m:r>
            <m:t>0.654426</m:t>
          </m:r>
          <m:r>
            <m:t>,</m:t>
          </m:r>
          <m:r>
            <m:t>0.788544</m:t>
          </m:r>
          <m:r>
            <m:t>)</m:t>
          </m:r>
          <m:r>
            <m:t>.</m:t>
          </m:r>
        </m:oMath>
      </m:oMathPara>
    </w:p>
    <w:p>
      <w:pPr>
        <w:pStyle w:val="FirstParagraph"/>
      </w:pPr>
      <w:r>
        <w:t xml:space="preserve">As with the first interface, the second residual equation is validated row-by-row, and final normalization rows satisfy near-zero mean and near-unit variance under the same declared formula.</w:t>
      </w:r>
    </w:p>
    <w:p>
      <w:pPr>
        <w:pStyle w:val="BodyText"/>
      </w:pPr>
      <w:r>
        <w:t xml:space="preserve">This separation of interfaces is one of the chapter’s main exits:</w:t>
      </w:r>
    </w:p>
    <w:p>
      <w:pPr>
        <w:numPr>
          <w:ilvl w:val="0"/>
          <w:numId w:val="1010"/>
        </w:numPr>
        <w:pStyle w:val="Compact"/>
      </w:pPr>
      <w:r>
        <w:t xml:space="preserve">attention branch output is not final block output</w:t>
      </w:r>
    </w:p>
    <w:p>
      <w:pPr>
        <w:numPr>
          <w:ilvl w:val="0"/>
          <w:numId w:val="1010"/>
        </w:numPr>
        <w:pStyle w:val="Compact"/>
      </w:pPr>
      <w:r>
        <w:t xml:space="preserve">residual composition is not normalization</w:t>
      </w:r>
    </w:p>
    <w:p>
      <w:pPr>
        <w:numPr>
          <w:ilvl w:val="0"/>
          <w:numId w:val="1010"/>
        </w:numPr>
        <w:pStyle w:val="Compact"/>
      </w:pPr>
      <w:r>
        <w:t xml:space="preserve">normalization is not feed-forward transformation</w:t>
      </w:r>
    </w:p>
    <w:p>
      <w:pPr>
        <w:pStyle w:val="FirstParagraph"/>
      </w:pPr>
      <w:r>
        <w:t xml:space="preserve">Each stage has a distinct contract.</w:t>
      </w:r>
    </w:p>
    <w:p>
      <w:pPr>
        <w:pStyle w:val="CaptionedFigure"/>
      </w:pPr>
      <w:r>
        <w:drawing>
          <wp:inline>
            <wp:extent cx="5334000" cy="3378200"/>
            <wp:effectExtent b="0" l="0" r="0" t="0"/>
            <wp:docPr descr="Transformer Architectural Elevation" title="" id="1" name="Picture"/>
            <a:graphic>
              <a:graphicData uri="http://schemas.openxmlformats.org/drawingml/2006/picture">
                <pic:pic>
                  <pic:nvPicPr>
                    <pic:cNvPr descr="../visuals/chapter_11_transformer_architectural_elevation.svg" id="0" name="Picture"/>
                    <pic:cNvPicPr>
                      <a:picLocks noChangeArrowheads="1" noChangeAspect="1"/>
                    </pic:cNvPicPr>
                  </pic:nvPicPr>
                  <pic:blipFill>
                    <a:blip r:embed="rId191"/>
                    <a:stretch>
                      <a:fillRect/>
                    </a:stretch>
                  </pic:blipFill>
                  <pic:spPr bwMode="auto">
                    <a:xfrm>
                      <a:off x="0" y="0"/>
                      <a:ext cx="5334000" cy="3378200"/>
                    </a:xfrm>
                    <a:prstGeom prst="rect">
                      <a:avLst/>
                    </a:prstGeom>
                    <a:noFill/>
                    <a:ln w="9525">
                      <a:noFill/>
                      <a:headEnd/>
                      <a:tailEnd/>
                    </a:ln>
                  </pic:spPr>
                </pic:pic>
              </a:graphicData>
            </a:graphic>
          </wp:inline>
        </w:drawing>
      </w:r>
    </w:p>
    <w:p>
      <w:pPr>
        <w:pStyle w:val="ImageCaption"/>
      </w:pPr>
      <w:r>
        <w:t xml:space="preserve">Transformer Architectural Elevation</w:t>
      </w:r>
    </w:p>
    <w:p>
      <w:pPr>
        <w:pStyle w:val="BodyText"/>
      </w:pPr>
      <w:r>
        <w:rPr>
          <w:i/>
        </w:rPr>
        <w:t xml:space="preserve">The block assembles representation plus position, multi-head attention, concatenation/output projection, two residual-plus-normalization interfaces, and a positionwise feed-forward stage. A no-attention control changes final outputs, showing that attention contributes inside the assembly. This is a fixed deterministic fixture, not a trained production model.</w:t>
      </w:r>
    </w:p>
    <w:p>
      <w:pPr>
        <w:pStyle w:val="Heading2"/>
      </w:pPr>
      <w:bookmarkStart w:id="192" w:name="Xcb038a719b7d8fe335d9671e1605bc0745a6c61"/>
      <w:r>
        <w:t xml:space="preserve">Control: Remove Projected Attention</w:t>
      </w:r>
      <w:bookmarkEnd w:id="192"/>
    </w:p>
    <w:p>
      <w:pPr>
        <w:pStyle w:val="FirstParagraph"/>
      </w:pPr>
      <w:r>
        <w:t xml:space="preserve">A component interface should have a falsifiable control. The probe runs one: set projected multi-head output</w:t>
      </w:r>
      <w:r>
        <w:t xml:space="preserve"> </w:t>
      </w:r>
      <m:oMath>
        <m:r>
          <m:t>Z</m:t>
        </m:r>
      </m:oMath>
      <w:r>
        <w:t xml:space="preserve"> </w:t>
      </w:r>
      <w:r>
        <w:t xml:space="preserve">to zero before the first residual, while keeping all input rows, positional rows, and fixed matrices otherwise unchanged.</w:t>
      </w:r>
    </w:p>
    <w:p>
      <w:pPr>
        <w:pStyle w:val="BodyText"/>
      </w:pPr>
      <w:r>
        <w:t xml:space="preserve">This is not</w:t>
      </w:r>
      <w:r>
        <w:t xml:space="preserve"> </w:t>
      </w:r>
      <w:r>
        <w:t xml:space="preserve">“</w:t>
      </w:r>
      <w:r>
        <w:t xml:space="preserve">remove everything attention-adjacent.</w:t>
      </w:r>
      <w:r>
        <w:t xml:space="preserve">”</w:t>
      </w:r>
      <w:r>
        <w:t xml:space="preserve"> </w:t>
      </w:r>
      <w:r>
        <w:t xml:space="preserve">It removes one declared contribution at one interface point, then re-runs the same downstream computations.</w:t>
      </w:r>
    </w:p>
    <w:p>
      <w:pPr>
        <w:pStyle w:val="BodyText"/>
      </w:pPr>
      <w:r>
        <w:t xml:space="preserve">Observed change norms in final output rows are:</w:t>
      </w:r>
    </w:p>
    <w:p>
      <w:pPr>
        <w:pStyle w:val="BodyText"/>
      </w:pPr>
      <m:oMathPara>
        <m:oMathParaPr>
          <m:jc m:val="center"/>
        </m:oMathParaPr>
        <m:oMath>
          <m:r>
            <m:t>(</m:t>
          </m:r>
          <m:r>
            <m:t>0.905029</m:t>
          </m:r>
          <m:r>
            <m:t>,</m:t>
          </m:r>
          <m:r>
            <m:t>1.337468</m:t>
          </m:r>
          <m:r>
            <m:t>,</m:t>
          </m:r>
          <m:r>
            <m:t>0.464690</m:t>
          </m:r>
          <m:r>
            <m:t>,</m:t>
          </m:r>
          <m:r>
            <m:t>0.254784</m:t>
          </m:r>
          <m:r>
            <m:t>)</m:t>
          </m:r>
          <m:r>
            <m:t>.</m:t>
          </m:r>
        </m:oMath>
      </m:oMathPara>
    </w:p>
    <w:p>
      <w:pPr>
        <w:pStyle w:val="FirstParagraph"/>
      </w:pPr>
      <w:r>
        <w:t xml:space="preserve">For row 4 specifically, full-minus-control difference is approximately</w:t>
      </w:r>
    </w:p>
    <w:p>
      <w:pPr>
        <w:pStyle w:val="BodyText"/>
      </w:pPr>
      <m:oMathPara>
        <m:oMathParaPr>
          <m:jc m:val="center"/>
        </m:oMathParaPr>
        <m:oMath>
          <m:r>
            <m:t>(</m:t>
          </m:r>
          <m:r>
            <m:t>0.011855</m:t>
          </m:r>
          <m:r>
            <m:t>,</m:t>
          </m:r>
          <m:r>
            <m:t>−</m:t>
          </m:r>
          <m:r>
            <m:t>0.025612</m:t>
          </m:r>
          <m:r>
            <m:t>,</m:t>
          </m:r>
          <m:r>
            <m:t>0.185797</m:t>
          </m:r>
          <m:r>
            <m:t>,</m:t>
          </m:r>
          <m:r>
            <m:t>−</m:t>
          </m:r>
          <m:r>
            <m:t>0.172041</m:t>
          </m:r>
          <m:r>
            <m:t>)</m:t>
          </m:r>
          <m:r>
            <m:t>.</m:t>
          </m:r>
        </m:oMath>
      </m:oMathPara>
    </w:p>
    <w:p>
      <w:pPr>
        <w:pStyle w:val="FirstParagraph"/>
      </w:pPr>
      <w:r>
        <w:t xml:space="preserve">So in this fixture, removing projected multi-head attention measurably changes the final block output at every position.</w:t>
      </w:r>
    </w:p>
    <w:p>
      <w:pPr>
        <w:pStyle w:val="BodyText"/>
      </w:pPr>
      <w:r>
        <w:t xml:space="preserve">What this does not show:</w:t>
      </w:r>
    </w:p>
    <w:p>
      <w:pPr>
        <w:numPr>
          <w:ilvl w:val="0"/>
          <w:numId w:val="1011"/>
        </w:numPr>
        <w:pStyle w:val="Compact"/>
      </w:pPr>
      <w:r>
        <w:t xml:space="preserve">it does not prove global causal semantics in trained models</w:t>
      </w:r>
    </w:p>
    <w:p>
      <w:pPr>
        <w:numPr>
          <w:ilvl w:val="0"/>
          <w:numId w:val="1011"/>
        </w:numPr>
        <w:pStyle w:val="Compact"/>
      </w:pPr>
      <w:r>
        <w:t xml:space="preserve">it does not prove which head is</w:t>
      </w:r>
      <w:r>
        <w:t xml:space="preserve"> </w:t>
      </w:r>
      <w:r>
        <w:t xml:space="preserve">“</w:t>
      </w:r>
      <w:r>
        <w:t xml:space="preserve">most important</w:t>
      </w:r>
      <w:r>
        <w:t xml:space="preserve">”</w:t>
      </w:r>
      <w:r>
        <w:t xml:space="preserve"> </w:t>
      </w:r>
      <w:r>
        <w:t xml:space="preserve">in general</w:t>
      </w:r>
    </w:p>
    <w:p>
      <w:pPr>
        <w:numPr>
          <w:ilvl w:val="0"/>
          <w:numId w:val="1011"/>
        </w:numPr>
        <w:pStyle w:val="Compact"/>
      </w:pPr>
      <w:r>
        <w:t xml:space="preserve">it does not show downstream task-quality effect</w:t>
      </w:r>
    </w:p>
    <w:p>
      <w:pPr>
        <w:numPr>
          <w:ilvl w:val="0"/>
          <w:numId w:val="1011"/>
        </w:numPr>
        <w:pStyle w:val="Compact"/>
      </w:pPr>
      <w:r>
        <w:t xml:space="preserve">it does not benchmark execution behavior</w:t>
      </w:r>
    </w:p>
    <w:p>
      <w:pPr>
        <w:pStyle w:val="FirstParagraph"/>
      </w:pPr>
      <w:r>
        <w:t xml:space="preserve">The control is an architectural contribution test inside one deterministic block.</w:t>
      </w:r>
    </w:p>
    <w:p>
      <w:pPr>
        <w:pStyle w:val="Heading2"/>
      </w:pPr>
      <w:bookmarkStart w:id="193" w:name="X97c1393ddf3f8da670f60db09f01b3619b8f082"/>
      <w:r>
        <w:t xml:space="preserve">Encoder-Block Boundary in This Chapter</w:t>
      </w:r>
      <w:bookmarkEnd w:id="193"/>
    </w:p>
    <w:p>
      <w:pPr>
        <w:pStyle w:val="FirstParagraph"/>
      </w:pPr>
      <w:r>
        <w:t xml:space="preserve">The fixture here is intentionally an encoder-style block slice, not a full encoder-decoder stack. There is no cross-attention sublayer, no causal decoder mask, no vocabulary projection head, and no decoding strategy. Keeping that boundary visible prevents two common category errors.</w:t>
      </w:r>
    </w:p>
    <w:p>
      <w:pPr>
        <w:pStyle w:val="BodyText"/>
      </w:pPr>
      <w:r>
        <w:t xml:space="preserve">First, it avoids claiming that one block output is already a generated language result. Second, it avoids importing runtime claims from full-system implementations that include batching, cache management, kernel fusion, and decoding control flow.</w:t>
      </w:r>
    </w:p>
    <w:p>
      <w:pPr>
        <w:pStyle w:val="BodyText"/>
      </w:pPr>
      <w:r>
        <w:t xml:space="preserve">Within this narrower boundary, the chapter can test what it owns: tensor interfaces, residual equations, normalization properties, and component contribution controls. That is enough to establish architectural assembly without pretending to establish full-system behavior.</w:t>
      </w:r>
    </w:p>
    <w:p>
      <w:pPr>
        <w:pStyle w:val="Heading2"/>
      </w:pPr>
      <w:bookmarkStart w:id="194" w:name="Xde3985f9e508ec6cad5e272729ad7f84c2b9110"/>
      <w:r>
        <w:t xml:space="preserve">What This Chapter Does Not Claim</w:t>
      </w:r>
      <w:bookmarkEnd w:id="194"/>
    </w:p>
    <w:p>
      <w:pPr>
        <w:pStyle w:val="FirstParagraph"/>
      </w:pPr>
      <w:r>
        <w:t xml:space="preserve">The fixed fixture is deliberately narrow. It does not train anything and does not pretend to be production-equivalent.</w:t>
      </w:r>
    </w:p>
    <w:p>
      <w:pPr>
        <w:pStyle w:val="BodyText"/>
      </w:pPr>
      <w:r>
        <w:t xml:space="preserve">The chapter does not:</w:t>
      </w:r>
    </w:p>
    <w:p>
      <w:pPr>
        <w:numPr>
          <w:ilvl w:val="0"/>
          <w:numId w:val="1012"/>
        </w:numPr>
        <w:pStyle w:val="Compact"/>
      </w:pPr>
      <w:r>
        <w:t xml:space="preserve">run optimizer updates</w:t>
      </w:r>
    </w:p>
    <w:p>
      <w:pPr>
        <w:numPr>
          <w:ilvl w:val="0"/>
          <w:numId w:val="1012"/>
        </w:numPr>
        <w:pStyle w:val="Compact"/>
      </w:pPr>
      <w:r>
        <w:t xml:space="preserve">evaluate loss on a corpus</w:t>
      </w:r>
    </w:p>
    <w:p>
      <w:pPr>
        <w:numPr>
          <w:ilvl w:val="0"/>
          <w:numId w:val="1012"/>
        </w:numPr>
        <w:pStyle w:val="Compact"/>
      </w:pPr>
      <w:r>
        <w:t xml:space="preserve">perform tokenization, generation, or decoding pipelines</w:t>
      </w:r>
    </w:p>
    <w:p>
      <w:pPr>
        <w:numPr>
          <w:ilvl w:val="0"/>
          <w:numId w:val="1012"/>
        </w:numPr>
        <w:pStyle w:val="Compact"/>
      </w:pPr>
      <w:r>
        <w:t xml:space="preserve">trace complete end-to-end token-through-machine execution</w:t>
      </w:r>
    </w:p>
    <w:p>
      <w:pPr>
        <w:numPr>
          <w:ilvl w:val="0"/>
          <w:numId w:val="1012"/>
        </w:numPr>
        <w:pStyle w:val="Compact"/>
      </w:pPr>
      <w:r>
        <w:t xml:space="preserve">establish architecture limits or safety boundaries</w:t>
      </w:r>
    </w:p>
    <w:p>
      <w:pPr>
        <w:pStyle w:val="FirstParagraph"/>
      </w:pPr>
      <w:r>
        <w:t xml:space="preserve">Those boundaries are structural, not evasive. Chapter 11 owns block assembly. Later chapters own implementation path and limits claims at their designated interfaces.</w:t>
      </w:r>
    </w:p>
    <w:p>
      <w:pPr>
        <w:pStyle w:val="Heading2"/>
      </w:pPr>
      <w:bookmarkStart w:id="195" w:name="X38e9db9ddfa5f346ed5940add97b5768c074929"/>
      <w:r>
        <w:t xml:space="preserve">Historical and Technical Anchors</w:t>
      </w:r>
      <w:bookmarkEnd w:id="195"/>
    </w:p>
    <w:p>
      <w:pPr>
        <w:pStyle w:val="FirstParagraph"/>
      </w:pPr>
      <w:r>
        <w:t xml:space="preserve">Three source anchors bound wording in this chapter.</w:t>
      </w:r>
    </w:p>
    <w:p>
      <w:pPr>
        <w:numPr>
          <w:ilvl w:val="0"/>
          <w:numId w:val="1013"/>
        </w:numPr>
        <w:pStyle w:val="Compact"/>
      </w:pPr>
      <w:r>
        <w:t xml:space="preserve">Vaswani et al. define the Transformer block components and their arrangement, including multi-head attention, residual composition, normalization, and feed-forward stages.</w:t>
      </w:r>
    </w:p>
    <w:p>
      <w:pPr>
        <w:numPr>
          <w:ilvl w:val="0"/>
          <w:numId w:val="1013"/>
        </w:numPr>
        <w:pStyle w:val="Compact"/>
      </w:pPr>
      <w:r>
        <w:t xml:space="preserve">Ba, Kiros, and Hinton define layer normalization as per-example hidden-unit normalization with explicit mean and variance terms.</w:t>
      </w:r>
    </w:p>
    <w:p>
      <w:pPr>
        <w:numPr>
          <w:ilvl w:val="0"/>
          <w:numId w:val="1013"/>
        </w:numPr>
        <w:pStyle w:val="Compact"/>
      </w:pPr>
      <w:r>
        <w:t xml:space="preserve">He et al. establish residual pathway principles for deep architectures: transformed branches can be composed with identity paths to support depth-wise information flow.</w:t>
      </w:r>
    </w:p>
    <w:p>
      <w:pPr>
        <w:pStyle w:val="FirstParagraph"/>
      </w:pPr>
      <w:r>
        <w:t xml:space="preserve">The chapter inherits these as architecture references and verifies fixture arithmetic directly in the probe. It does not transfer benchmark conclusions from those papers into this small deterministic setup.</w:t>
      </w:r>
    </w:p>
    <w:p>
      <w:pPr>
        <w:pStyle w:val="Heading2"/>
      </w:pPr>
      <w:bookmarkStart w:id="196" w:name="X925d9203261d546b8417f0c6f5e768a7e4e5244"/>
      <w:r>
        <w:t xml:space="preserve">Interface Clarity Before Scale</w:t>
      </w:r>
      <w:bookmarkEnd w:id="196"/>
    </w:p>
    <w:p>
      <w:pPr>
        <w:pStyle w:val="FirstParagraph"/>
      </w:pPr>
      <w:r>
        <w:t xml:space="preserve">At larger model sizes, confusion often begins at interfaces:</w:t>
      </w:r>
    </w:p>
    <w:p>
      <w:pPr>
        <w:numPr>
          <w:ilvl w:val="0"/>
          <w:numId w:val="1014"/>
        </w:numPr>
        <w:pStyle w:val="Compact"/>
      </w:pPr>
      <w:r>
        <w:t xml:space="preserve">shape mismatches across projections and heads</w:t>
      </w:r>
    </w:p>
    <w:p>
      <w:pPr>
        <w:numPr>
          <w:ilvl w:val="0"/>
          <w:numId w:val="1014"/>
        </w:numPr>
        <w:pStyle w:val="Compact"/>
      </w:pPr>
      <w:r>
        <w:t xml:space="preserve">ambiguous ordering of residual and normalization steps</w:t>
      </w:r>
    </w:p>
    <w:p>
      <w:pPr>
        <w:numPr>
          <w:ilvl w:val="0"/>
          <w:numId w:val="1014"/>
        </w:numPr>
        <w:pStyle w:val="Compact"/>
      </w:pPr>
      <w:r>
        <w:t xml:space="preserve">conflating attention-row inspection with full block behavior</w:t>
      </w:r>
    </w:p>
    <w:p>
      <w:pPr>
        <w:numPr>
          <w:ilvl w:val="0"/>
          <w:numId w:val="1014"/>
        </w:numPr>
        <w:pStyle w:val="Compact"/>
      </w:pPr>
      <w:r>
        <w:t xml:space="preserve">treating a partial trace as end-to-end explanation</w:t>
      </w:r>
    </w:p>
    <w:p>
      <w:pPr>
        <w:pStyle w:val="FirstParagraph"/>
      </w:pPr>
      <w:r>
        <w:t xml:space="preserve">This chapter’s small fixture is useful because every intermediate row stays inspectable. The same reasoning scales conceptually: a Transformer is a constrained composition, and each boundary can be tested.</w:t>
      </w:r>
    </w:p>
    <w:p>
      <w:pPr>
        <w:pStyle w:val="BodyText"/>
      </w:pPr>
      <w:r>
        <w:t xml:space="preserve">Chapter 10 taught that attention changes dependency paths. Chapter 11 adds the architectural rule: changed path is one sublayer inside a larger machine.</w:t>
      </w:r>
    </w:p>
    <w:p>
      <w:pPr>
        <w:pStyle w:val="Heading2"/>
      </w:pPr>
      <w:bookmarkStart w:id="197" w:name="chapter-11-what-the-probe-establishes"/>
      <w:r>
        <w:t xml:space="preserve">What the Probe Establishes</w:t>
      </w:r>
      <w:bookmarkEnd w:id="197"/>
    </w:p>
    <w:p>
      <w:pPr>
        <w:pStyle w:val="FirstParagraph"/>
      </w:pPr>
      <w:r>
        <w:t xml:space="preserve">The dependency-free Python probe verifies:</w:t>
      </w:r>
    </w:p>
    <w:p>
      <w:pPr>
        <w:numPr>
          <w:ilvl w:val="0"/>
          <w:numId w:val="1015"/>
        </w:numPr>
        <w:pStyle w:val="Compact"/>
      </w:pPr>
      <w:r>
        <w:t xml:space="preserve">declared dimensions across all intermediate tensors</w:t>
      </w:r>
    </w:p>
    <w:p>
      <w:pPr>
        <w:numPr>
          <w:ilvl w:val="0"/>
          <w:numId w:val="1015"/>
        </w:numPr>
        <w:pStyle w:val="Compact"/>
      </w:pPr>
      <w:r>
        <w:t xml:space="preserve">row normalization in both heads</w:t>
      </w:r>
    </w:p>
    <w:p>
      <w:pPr>
        <w:numPr>
          <w:ilvl w:val="0"/>
          <w:numId w:val="1015"/>
        </w:numPr>
        <w:pStyle w:val="Compact"/>
      </w:pPr>
      <w:r>
        <w:t xml:space="preserve">head distinction</w:t>
      </w:r>
    </w:p>
    <w:p>
      <w:pPr>
        <w:numPr>
          <w:ilvl w:val="0"/>
          <w:numId w:val="1015"/>
        </w:numPr>
        <w:pStyle w:val="Compact"/>
      </w:pPr>
      <w:r>
        <w:t xml:space="preserve">first and second residual equations</w:t>
      </w:r>
    </w:p>
    <w:p>
      <w:pPr>
        <w:numPr>
          <w:ilvl w:val="0"/>
          <w:numId w:val="1015"/>
        </w:numPr>
        <w:pStyle w:val="Compact"/>
      </w:pPr>
      <w:r>
        <w:t xml:space="preserve">normalization mean/variance properties under the explicit formula</w:t>
      </w:r>
    </w:p>
    <w:p>
      <w:pPr>
        <w:numPr>
          <w:ilvl w:val="0"/>
          <w:numId w:val="1015"/>
        </w:numPr>
        <w:pStyle w:val="Compact"/>
      </w:pPr>
      <w:r>
        <w:t xml:space="preserve">deterministic rerun equality</w:t>
      </w:r>
    </w:p>
    <w:p>
      <w:pPr>
        <w:numPr>
          <w:ilvl w:val="0"/>
          <w:numId w:val="1015"/>
        </w:numPr>
        <w:pStyle w:val="Compact"/>
      </w:pPr>
      <w:r>
        <w:t xml:space="preserve">nonzero final-output change under no-attention control</w:t>
      </w:r>
    </w:p>
    <w:p>
      <w:pPr>
        <w:pStyle w:val="FirstParagraph"/>
      </w:pPr>
      <w:r>
        <w:t xml:space="preserve">All gates pass. The evidence supports the chapter’s bounded claim: attention becomes Transformer architecture only when assembled with the surrounding interfaces.</w:t>
      </w:r>
    </w:p>
    <w:p>
      <w:pPr>
        <w:pStyle w:val="Heading2"/>
      </w:pPr>
      <w:bookmarkStart w:id="198" w:name="chapter-11-transition-to-chapter-12"/>
      <w:r>
        <w:t xml:space="preserve">Transition to Chapter 12</w:t>
      </w:r>
      <w:bookmarkEnd w:id="198"/>
    </w:p>
    <w:p>
      <w:pPr>
        <w:pStyle w:val="FirstParagraph"/>
      </w:pPr>
      <w:r>
        <w:t xml:space="preserve">Chapter 11 finishes the core architectural assembly of one Transformer block. The next chapter turns that assembly toward implementation-facing practice: how architecture becomes a concrete build target in tools and workflows without erasing the boundaries established here.</w:t>
      </w:r>
    </w:p>
    <w:p>
      <w:pPr>
        <w:pStyle w:val="Heading2"/>
      </w:pPr>
      <w:bookmarkStart w:id="199" w:name="chapter-11-sources-and-evidence"/>
      <w:r>
        <w:t xml:space="preserve">Sources and Evidence</w:t>
      </w:r>
      <w:bookmarkEnd w:id="199"/>
    </w:p>
    <w:p>
      <w:pPr>
        <w:pStyle w:val="FirstParagraph"/>
      </w:pPr>
      <w:r>
        <w:t xml:space="preserve">Bounded historical and technical claims are documented in the</w:t>
      </w:r>
      <w:r>
        <w:t xml:space="preserve"> </w:t>
      </w:r>
      <w:hyperlink r:id="rId200">
        <w:r>
          <w:rPr>
            <w:rStyle w:val="Hyperlink"/>
          </w:rPr>
          <w:t xml:space="preserve">Chapter 11 source ledger</w:t>
        </w:r>
      </w:hyperlink>
      <w:r>
        <w:t xml:space="preserve">. Exact vectors, matrices, head rows, residual checks, normalization checks, controls, and final outputs are recorded in the</w:t>
      </w:r>
      <w:r>
        <w:t xml:space="preserve"> </w:t>
      </w:r>
      <w:hyperlink r:id="rId201">
        <w:r>
          <w:rPr>
            <w:rStyle w:val="Hyperlink"/>
          </w:rPr>
          <w:t xml:space="preserve">transformer-block probe</w:t>
        </w:r>
      </w:hyperlink>
      <w:r>
        <w:t xml:space="preserve">, with the</w:t>
      </w:r>
      <w:r>
        <w:t xml:space="preserve"> </w:t>
      </w:r>
      <w:hyperlink r:id="rId202">
        <w:r>
          <w:rPr>
            <w:rStyle w:val="Hyperlink"/>
          </w:rPr>
          <w:t xml:space="preserve">Python implementation</w:t>
        </w:r>
      </w:hyperlink>
      <w:r>
        <w:t xml:space="preserve">. Visual provenance and accessibility details are recorded with</w:t>
      </w:r>
      <w:r>
        <w:t xml:space="preserve"> </w:t>
      </w:r>
      <w:hyperlink r:id="rId203">
        <w:r>
          <w:rPr>
            <w:rStyle w:val="Hyperlink"/>
          </w:rPr>
          <w:t xml:space="preserve">Transformer Architectural Elevation</w:t>
        </w:r>
      </w:hyperlink>
      <w:r>
        <w:t xml:space="preserve">.</w:t>
      </w:r>
    </w:p>
    <w:p>
      <w:pPr>
        <w:pStyle w:val="Heading1"/>
      </w:pPr>
      <w:bookmarkStart w:id="204" w:name="chapter-12"/>
      <w:r>
        <w:t xml:space="preserve">Chapter 12 — From Paper to Tool</w:t>
      </w:r>
      <w:bookmarkEnd w:id="204"/>
    </w:p>
    <w:p>
      <w:pPr>
        <w:pStyle w:val="FirstParagraph"/>
      </w:pPr>
      <w:r>
        <w:t xml:space="preserve">Chapter 11 ended with an assembled Transformer block. Its dimensions, projections, attention heads, residual paths, normalization rules, and feed-forward stage formed an explicit architecture contract. Yet even a perfectly specified block cannot receive an application request by itself.</w:t>
      </w:r>
    </w:p>
    <w:p>
      <w:pPr>
        <w:pStyle w:val="BodyText"/>
      </w:pPr>
      <w:r>
        <w:t xml:space="preserve">A paper does not register executable operations. A matrix diagram does not say how parameters are serialized. A package on disk is not an in-memory object. An object cannot execute unless its runtime supplies the required capabilities. And an internal tensor row is not automatically a public request or response.</w:t>
      </w:r>
    </w:p>
    <w:p>
      <w:pPr>
        <w:pStyle w:val="BodyText"/>
      </w:pPr>
      <w:r>
        <w:t xml:space="preserve">Those distinctions define the last step in the programming lineage: not how to make the architecture larger, but how to preserve its contracts until a caller can use it.</w:t>
      </w:r>
    </w:p>
    <w:p>
      <w:pPr>
        <w:pStyle w:val="Heading2"/>
      </w:pPr>
      <w:bookmarkStart w:id="205" w:name="Xb6fa295e6e972b46a299fa42fd7ad81d948832b"/>
      <w:r>
        <w:t xml:space="preserve">The Architecture Is an Implementation Target</w:t>
      </w:r>
      <w:bookmarkEnd w:id="205"/>
    </w:p>
    <w:p>
      <w:pPr>
        <w:pStyle w:val="FirstParagraph"/>
      </w:pPr>
      <w:r>
        <w:t xml:space="preserve">An architecture specification describes relationships that an implementation must preserve. In the Chapter 11 block, model dimension constrained projection shapes; head count constrained how rows were split and recombined; residual additions required equal dimensions; normalization and feed-forward stages had declared ordering.</w:t>
      </w:r>
    </w:p>
    <w:p>
      <w:pPr>
        <w:pStyle w:val="BodyText"/>
      </w:pPr>
      <w:r>
        <w:t xml:space="preserve">These statements are necessary, but they remain specifications. They do not choose a programming language, allocate values, expose operator functions, select a runtime, or define a wire-level request. Treating the paper and the tool as the same object hides every failure that can occur between them.</w:t>
      </w:r>
    </w:p>
    <w:p>
      <w:pPr>
        <w:pStyle w:val="BodyText"/>
      </w:pPr>
      <w:r>
        <w:t xml:space="preserve">The Chapter 12 fixture makes that separation literal. Its architecture is deliberately smaller than a Transformer so the handoffs remain visible. The specification names</w:t>
      </w:r>
      <w:r>
        <w:t xml:space="preserve"> </w:t>
      </w:r>
      <w:r>
        <w:rPr>
          <w:rStyle w:val="VerbatimChar"/>
        </w:rPr>
        <w:t xml:space="preserve">book2.affine-row</w:t>
      </w:r>
      <w:r>
        <w:t xml:space="preserve"> </w:t>
      </w:r>
      <w:r>
        <w:t xml:space="preserve">version</w:t>
      </w:r>
      <w:r>
        <w:t xml:space="preserve"> </w:t>
      </w:r>
      <w:r>
        <w:rPr>
          <w:rStyle w:val="VerbatimChar"/>
        </w:rPr>
        <w:t xml:space="preserve">1.0</w:t>
      </w:r>
      <w:r>
        <w:t xml:space="preserve">, declares an</w:t>
      </w:r>
      <w:r>
        <w:t xml:space="preserve"> </w:t>
      </w:r>
      <w:r>
        <w:rPr>
          <w:rStyle w:val="VerbatimChar"/>
        </w:rPr>
        <w:t xml:space="preserve">affine_row</w:t>
      </w:r>
      <w:r>
        <w:t xml:space="preserve"> </w:t>
      </w:r>
      <w:r>
        <w:t xml:space="preserve">operation, and fixes input dimension 3 and output dimension 2. This is enough structure to test packaging and callability without pretending to run a language model.</w:t>
      </w:r>
    </w:p>
    <w:p>
      <w:pPr>
        <w:pStyle w:val="BodyText"/>
      </w:pPr>
      <w:r>
        <w:t xml:space="preserve">The operation computes</w:t>
      </w:r>
    </w:p>
    <w:p>
      <w:pPr>
        <w:pStyle w:val="BodyText"/>
      </w:pPr>
      <m:oMathPara>
        <m:oMathParaPr>
          <m:jc m:val="center"/>
        </m:oMathParaPr>
        <m:oMath>
          <m:sSub>
            <m:e>
              <m:r>
                <m:t>y</m:t>
              </m:r>
            </m:e>
            <m:sub>
              <m:r>
                <m:t>j</m:t>
              </m:r>
            </m:sub>
          </m:sSub>
          <m:r>
            <m:t>=</m:t>
          </m:r>
          <m:nary>
            <m:naryPr>
              <m:chr m:val="∑"/>
              <m:limLoc m:val="undOvr"/>
              <m:subHide m:val="0"/>
              <m:supHide m:val="1"/>
            </m:naryPr>
            <m:sub>
              <m:r>
                <m:t>i</m:t>
              </m:r>
            </m:sub>
            <m:sup>
              <m:r>
                <m:t>​</m:t>
              </m:r>
            </m:sup>
            <m:e>
              <m:sSub>
                <m:e>
                  <m:r>
                    <m:t>x</m:t>
                  </m:r>
                </m:e>
                <m:sub>
                  <m:r>
                    <m:t>i</m:t>
                  </m:r>
                </m:sub>
              </m:sSub>
            </m:e>
          </m:nary>
          <m:sSub>
            <m:e>
              <m:r>
                <m:t>W</m:t>
              </m:r>
            </m:e>
            <m:sub>
              <m:r>
                <m:t>j</m:t>
              </m:r>
              <m:r>
                <m:t>i</m:t>
              </m:r>
            </m:sub>
          </m:sSub>
          <m:r>
            <m:t>+</m:t>
          </m:r>
          <m:sSub>
            <m:e>
              <m:r>
                <m:t>b</m:t>
              </m:r>
            </m:e>
            <m:sub>
              <m:r>
                <m:t>j</m:t>
              </m:r>
            </m:sub>
          </m:sSub>
          <m:r>
            <m:t>.</m:t>
          </m:r>
        </m:oMath>
      </m:oMathPara>
    </w:p>
    <w:p>
      <w:pPr>
        <w:pStyle w:val="FirstParagraph"/>
      </w:pPr>
      <w:r>
        <w:t xml:space="preserve">That equation is still not executable until some framework-level component implements it.</w:t>
      </w:r>
    </w:p>
    <w:p>
      <w:pPr>
        <w:pStyle w:val="Heading2"/>
      </w:pPr>
      <w:bookmarkStart w:id="206" w:name="X7852f0fcb70c7b45dc8274075c6d923218acb5d"/>
      <w:r>
        <w:t xml:space="preserve">A Framework Supplies Operations, Not This Model</w:t>
      </w:r>
      <w:bookmarkEnd w:id="206"/>
    </w:p>
    <w:p>
      <w:pPr>
        <w:pStyle w:val="FirstParagraph"/>
      </w:pPr>
      <w:r>
        <w:t xml:space="preserve">The fixture’s framework boundary is an operation registry. It maps the name</w:t>
      </w:r>
      <w:r>
        <w:t xml:space="preserve"> </w:t>
      </w:r>
      <w:r>
        <w:rPr>
          <w:rStyle w:val="VerbatimChar"/>
        </w:rPr>
        <w:t xml:space="preserve">affine_row</w:t>
      </w:r>
      <w:r>
        <w:t xml:space="preserve"> </w:t>
      </w:r>
      <w:r>
        <w:t xml:space="preserve">to a standard-library Python function. The registry does not contain this model’s dimensions, weights, bias, request, or response. It supplies reusable operation behavior.</w:t>
      </w:r>
    </w:p>
    <w:p>
      <w:pPr>
        <w:pStyle w:val="BodyText"/>
      </w:pPr>
      <w:r>
        <w:t xml:space="preserve">This distinction prevents a common collapse.</w:t>
      </w:r>
      <w:r>
        <w:t xml:space="preserve"> </w:t>
      </w:r>
      <w:r>
        <w:t xml:space="preserve">“</w:t>
      </w:r>
      <w:r>
        <w:t xml:space="preserve">The framework supports an operation</w:t>
      </w:r>
      <w:r>
        <w:t xml:space="preserve">”</w:t>
      </w:r>
      <w:r>
        <w:t xml:space="preserve"> </w:t>
      </w:r>
      <w:r>
        <w:t xml:space="preserve">does not mean</w:t>
      </w:r>
      <w:r>
        <w:t xml:space="preserve"> </w:t>
      </w:r>
      <w:r>
        <w:t xml:space="preserve">“</w:t>
      </w:r>
      <w:r>
        <w:t xml:space="preserve">the model package is valid.</w:t>
      </w:r>
      <w:r>
        <w:t xml:space="preserve">”</w:t>
      </w:r>
      <w:r>
        <w:t xml:space="preserve"> </w:t>
      </w:r>
      <w:r>
        <w:t xml:space="preserve">Conversely, a package may name an operation that its selected framework does not provide. The loader therefore asks the registry whether the declared operation exists before constructing anything.</w:t>
      </w:r>
    </w:p>
    <w:p>
      <w:pPr>
        <w:pStyle w:val="BodyText"/>
      </w:pPr>
      <w:r>
        <w:t xml:space="preserve">A production framework would contain many more operations and execution paths. This one-entry registry establishes only the local contract: an implementation can be resolved by the exact name declared in the architecture.</w:t>
      </w:r>
    </w:p>
    <w:p>
      <w:pPr>
        <w:pStyle w:val="Heading2"/>
      </w:pPr>
      <w:bookmarkStart w:id="207" w:name="X241e83cee811deb5f6331e6837a96f0f6f5a3e1"/>
      <w:r>
        <w:t xml:space="preserve">A Package Binds Metadata to Parameters</w:t>
      </w:r>
      <w:bookmarkEnd w:id="207"/>
    </w:p>
    <w:p>
      <w:pPr>
        <w:pStyle w:val="FirstParagraph"/>
      </w:pPr>
      <w:r>
        <w:t xml:space="preserve">The serialized model package is structured JSON with four top-level sections.</w:t>
      </w:r>
    </w:p>
    <w:p>
      <w:pPr>
        <w:pStyle w:val="BodyText"/>
      </w:pPr>
      <w:r>
        <w:t xml:space="preserve">The manifest names the fixture format and its required runtime capability. The architecture records identity, version, operation, and dimensions. The parameter section carries two weight rows and a two-value bias. The interface section names the request and response schemas.</w:t>
      </w:r>
    </w:p>
    <w:p>
      <w:pPr>
        <w:pStyle w:val="BodyText"/>
      </w:pPr>
      <w:r>
        <w:t xml:space="preserve">Canonical JSON serialization sorts object keys and uses compact separators. For this fixed package, the result is 381 bytes. Its SHA-256 is</w:t>
      </w:r>
    </w:p>
    <w:p>
      <w:pPr>
        <w:pStyle w:val="BodyText"/>
      </w:pPr>
      <w:r>
        <w:rPr>
          <w:rStyle w:val="VerbatimChar"/>
        </w:rPr>
        <w:t xml:space="preserve">886c2466502250a0cbb654622dd47237cc433e28cb3ed333be3cf07fa6f74107</w:t>
      </w:r>
      <w:r>
        <w:t xml:space="preserve">.</w:t>
      </w:r>
    </w:p>
    <w:p>
      <w:pPr>
        <w:pStyle w:val="BodyText"/>
      </w:pPr>
      <w:r>
        <w:t xml:space="preserve">The digest identifies these exact serialized bytes reproducibly. It does not prove that the package is trustworthy or correct. Correctness still depends on semantic validation: dimensions must agree with payload shapes, operations must exist, runtime capabilities must be available, and interface schemas must be recognized.</w:t>
      </w:r>
    </w:p>
    <w:p>
      <w:pPr>
        <w:pStyle w:val="BodyText"/>
      </w:pPr>
      <w:r>
        <w:t xml:space="preserve">Official ONNX documentation provides a useful bounded comparison. A real model format can distinguish metadata, graph and operator structure, tensor type and shape information, and serialized tensor data. The fixture is not ONNX and claims no compatibility with it. The comparison supports only the general lesson that a model package binds several kinds of contract-bearing information rather than storing an undifferentiated block of</w:t>
      </w:r>
      <w:r>
        <w:t xml:space="preserve"> </w:t>
      </w:r>
      <w:r>
        <w:t xml:space="preserve">“</w:t>
      </w:r>
      <w:r>
        <w:t xml:space="preserve">the model.</w:t>
      </w:r>
      <w:r>
        <w:t xml:space="preserve">”</w:t>
      </w:r>
    </w:p>
    <w:p>
      <w:pPr>
        <w:pStyle w:val="Heading2"/>
      </w:pPr>
      <w:bookmarkStart w:id="208" w:name="chapter-12-parsing-is-not-validation"/>
      <w:r>
        <w:t xml:space="preserve">Parsing Is Not Validation</w:t>
      </w:r>
      <w:bookmarkEnd w:id="208"/>
    </w:p>
    <w:p>
      <w:pPr>
        <w:pStyle w:val="FirstParagraph"/>
      </w:pPr>
      <w:r>
        <w:t xml:space="preserve">The loader first calls</w:t>
      </w:r>
      <w:r>
        <w:t xml:space="preserve"> </w:t>
      </w:r>
      <w:r>
        <w:rPr>
          <w:rStyle w:val="VerbatimChar"/>
        </w:rPr>
        <w:t xml:space="preserve">json.loads</w:t>
      </w:r>
      <w:r>
        <w:t xml:space="preserve">. Structured parsing matters because it recovers objects, arrays, strings, and numbers according to JSON syntax. No search for textual fragments decides whether a field exists or a dimension matches.</w:t>
      </w:r>
    </w:p>
    <w:p>
      <w:pPr>
        <w:pStyle w:val="BodyText"/>
      </w:pPr>
      <w:r>
        <w:t xml:space="preserve">But syntactic success is only the first gate. A document can be valid JSON and still be an invalid model package. The fixture loader checks, in order:</w:t>
      </w:r>
    </w:p>
    <w:p>
      <w:pPr>
        <w:numPr>
          <w:ilvl w:val="0"/>
          <w:numId w:val="1016"/>
        </w:numPr>
        <w:pStyle w:val="Compact"/>
      </w:pPr>
      <w:r>
        <w:t xml:space="preserve">required top-level fields</w:t>
      </w:r>
    </w:p>
    <w:p>
      <w:pPr>
        <w:numPr>
          <w:ilvl w:val="0"/>
          <w:numId w:val="1016"/>
        </w:numPr>
        <w:pStyle w:val="Compact"/>
      </w:pPr>
      <w:r>
        <w:t xml:space="preserve">architecture fields and declared dimensions</w:t>
      </w:r>
    </w:p>
    <w:p>
      <w:pPr>
        <w:numPr>
          <w:ilvl w:val="0"/>
          <w:numId w:val="1016"/>
        </w:numPr>
        <w:pStyle w:val="Compact"/>
      </w:pPr>
      <w:r>
        <w:t xml:space="preserve">weight-row and bias lengths</w:t>
      </w:r>
    </w:p>
    <w:p>
      <w:pPr>
        <w:numPr>
          <w:ilvl w:val="0"/>
          <w:numId w:val="1016"/>
        </w:numPr>
        <w:pStyle w:val="Compact"/>
      </w:pPr>
      <w:r>
        <w:t xml:space="preserve">framework operation availability</w:t>
      </w:r>
    </w:p>
    <w:p>
      <w:pPr>
        <w:numPr>
          <w:ilvl w:val="0"/>
          <w:numId w:val="1016"/>
        </w:numPr>
        <w:pStyle w:val="Compact"/>
      </w:pPr>
      <w:r>
        <w:t xml:space="preserve">required runtime capability</w:t>
      </w:r>
    </w:p>
    <w:p>
      <w:pPr>
        <w:numPr>
          <w:ilvl w:val="0"/>
          <w:numId w:val="1016"/>
        </w:numPr>
        <w:pStyle w:val="Compact"/>
      </w:pPr>
      <w:r>
        <w:t xml:space="preserve">request and response schema declarations</w:t>
      </w:r>
    </w:p>
    <w:p>
      <w:pPr>
        <w:pStyle w:val="FirstParagraph"/>
      </w:pPr>
      <w:r>
        <w:t xml:space="preserve">Only a complete pass returns</w:t>
      </w:r>
      <w:r>
        <w:t xml:space="preserve"> </w:t>
      </w:r>
      <w:r>
        <w:rPr>
          <w:rStyle w:val="VerbatimChar"/>
        </w:rPr>
        <w:t xml:space="preserve">PACKAGE_VALID</w:t>
      </w:r>
      <w:r>
        <w:t xml:space="preserve">. Only then does the loader create an immutable architecture specification, convert parameter arrays into internal tuples, resolve the operation, and construct a callable tool.</w:t>
      </w:r>
    </w:p>
    <w:p>
      <w:pPr>
        <w:pStyle w:val="BodyText"/>
      </w:pPr>
      <w:r>
        <w:t xml:space="preserve">That order is a security and reliability habit even though this chapter does not make a security claim: validate assumptions before allowing later stages to rely on them.</w:t>
      </w:r>
    </w:p>
    <w:p>
      <w:pPr>
        <w:pStyle w:val="Heading2"/>
      </w:pPr>
      <w:bookmarkStart w:id="209" w:name="X8a7e68bbb7b7e5afbac982ec71af91cd731699c"/>
      <w:r>
        <w:t xml:space="preserve">Runtime Selection Is a Separate Contract</w:t>
      </w:r>
      <w:bookmarkEnd w:id="209"/>
    </w:p>
    <w:p>
      <w:pPr>
        <w:pStyle w:val="FirstParagraph"/>
      </w:pPr>
      <w:r>
        <w:t xml:space="preserve">The architecture says what operation and dimensions are required. It does not say that every runtime can provide them. The fixture selects a named CPython standard-library runtime with two declared capabilities:</w:t>
      </w:r>
      <w:r>
        <w:t xml:space="preserve"> </w:t>
      </w:r>
      <w:r>
        <w:rPr>
          <w:rStyle w:val="VerbatimChar"/>
        </w:rPr>
        <w:t xml:space="preserve">float64_arithmetic</w:t>
      </w:r>
      <w:r>
        <w:t xml:space="preserve"> </w:t>
      </w:r>
      <w:r>
        <w:t xml:space="preserve">and</w:t>
      </w:r>
      <w:r>
        <w:t xml:space="preserve"> </w:t>
      </w:r>
      <w:r>
        <w:rPr>
          <w:rStyle w:val="VerbatimChar"/>
        </w:rPr>
        <w:t xml:space="preserve">structured_json</w:t>
      </w:r>
      <w:r>
        <w:t xml:space="preserve">.</w:t>
      </w:r>
    </w:p>
    <w:p>
      <w:pPr>
        <w:pStyle w:val="BodyText"/>
      </w:pPr>
      <w:r>
        <w:t xml:space="preserve">The package requires the arithmetic capability. The loader checks that requirement explicitly. This keeps runtime selection outside the architecture definition. A missing capability is neither a new architecture nor a malformed weight payload; it is its own validation result at its own boundary.</w:t>
      </w:r>
    </w:p>
    <w:p>
      <w:pPr>
        <w:pStyle w:val="BodyText"/>
      </w:pPr>
      <w:r>
        <w:t xml:space="preserve">The fixture does not measure latency, throughput, memory use, or hardware utilization. Runtime capability here means only that a named service required by the package is declared available.</w:t>
      </w:r>
    </w:p>
    <w:p>
      <w:pPr>
        <w:pStyle w:val="CaptionedFigure"/>
      </w:pPr>
      <w:r>
        <w:drawing>
          <wp:inline>
            <wp:extent cx="5334000" cy="3378200"/>
            <wp:effectExtent b="0" l="0" r="0" t="0"/>
            <wp:docPr descr="From Specification to Callable Tool" title="" id="1" name="Picture"/>
            <a:graphic>
              <a:graphicData uri="http://schemas.openxmlformats.org/drawingml/2006/picture">
                <pic:pic>
                  <pic:nvPicPr>
                    <pic:cNvPr descr="../visuals/chapter_12_specification_to_callable_tool.svg" id="0" name="Picture"/>
                    <pic:cNvPicPr>
                      <a:picLocks noChangeArrowheads="1" noChangeAspect="1"/>
                    </pic:cNvPicPr>
                  </pic:nvPicPr>
                  <pic:blipFill>
                    <a:blip r:embed="rId210"/>
                    <a:stretch>
                      <a:fillRect/>
                    </a:stretch>
                  </pic:blipFill>
                  <pic:spPr bwMode="auto">
                    <a:xfrm>
                      <a:off x="0" y="0"/>
                      <a:ext cx="5334000" cy="3378200"/>
                    </a:xfrm>
                    <a:prstGeom prst="rect">
                      <a:avLst/>
                    </a:prstGeom>
                    <a:noFill/>
                    <a:ln w="9525">
                      <a:noFill/>
                      <a:headEnd/>
                      <a:tailEnd/>
                    </a:ln>
                  </pic:spPr>
                </pic:pic>
              </a:graphicData>
            </a:graphic>
          </wp:inline>
        </w:drawing>
      </w:r>
    </w:p>
    <w:p>
      <w:pPr>
        <w:pStyle w:val="ImageCaption"/>
      </w:pPr>
      <w:r>
        <w:t xml:space="preserve">From Specification to Callable Tool</w:t>
      </w:r>
    </w:p>
    <w:p>
      <w:pPr>
        <w:pStyle w:val="BodyText"/>
      </w:pPr>
      <w:r>
        <w:rPr>
          <w:i/>
        </w:rPr>
        <w:t xml:space="preserve">The valid path preserves contracts from specification through framework, structured package, validating loader, selected runtime, and callable interface. The corrupt control changes one declared dimension while retaining the parameter payload, then stops before construction or invocation. Callability is produced by the chain, not by renaming the architecture.</w:t>
      </w:r>
    </w:p>
    <w:p>
      <w:pPr>
        <w:pStyle w:val="Heading2"/>
      </w:pPr>
      <w:bookmarkStart w:id="211" w:name="X7d712b0783ee9e4e1f7afa998f66a39af0d9c2c"/>
      <w:r>
        <w:t xml:space="preserve">The Callable Boundary Translates Requests</w:t>
      </w:r>
      <w:bookmarkEnd w:id="211"/>
    </w:p>
    <w:p>
      <w:pPr>
        <w:pStyle w:val="FirstParagraph"/>
      </w:pPr>
      <w:r>
        <w:t xml:space="preserve">After package validation and construction, a separate interface validator handles the request. The fixed request document declares schema</w:t>
      </w:r>
      <w:r>
        <w:t xml:space="preserve"> </w:t>
      </w:r>
      <w:r>
        <w:rPr>
          <w:rStyle w:val="VerbatimChar"/>
        </w:rPr>
        <w:t xml:space="preserve">vector.v1</w:t>
      </w:r>
      <w:r>
        <w:t xml:space="preserve"> </w:t>
      </w:r>
      <w:r>
        <w:t xml:space="preserve">and values</w:t>
      </w:r>
    </w:p>
    <w:p>
      <w:pPr>
        <w:pStyle w:val="BodyText"/>
      </w:pPr>
      <m:oMathPara>
        <m:oMathParaPr>
          <m:jc m:val="center"/>
        </m:oMathParaPr>
        <m:oMath>
          <m:r>
            <m:t>(</m:t>
          </m:r>
          <m:r>
            <m:t>2.0</m:t>
          </m:r>
          <m:r>
            <m:t>,</m:t>
          </m:r>
          <m:r>
            <m:t>−</m:t>
          </m:r>
          <m:r>
            <m:t>1.0</m:t>
          </m:r>
          <m:r>
            <m:t>,</m:t>
          </m:r>
          <m:r>
            <m:t>0.5</m:t>
          </m:r>
          <m:r>
            <m:t>)</m:t>
          </m:r>
          <m:r>
            <m:t>.</m:t>
          </m:r>
        </m:oMath>
      </m:oMathPara>
    </w:p>
    <w:p>
      <w:pPr>
        <w:pStyle w:val="FirstParagraph"/>
      </w:pPr>
      <w:r>
        <w:t xml:space="preserve">The interface checks the schema, verifies the input length against the constructed specification, rejects Boolean and nonnumeric values, and translates the JSON array into an internal immutable row. Package validation has already finished; request validation now protects a different boundary.</w:t>
      </w:r>
    </w:p>
    <w:p>
      <w:pPr>
        <w:pStyle w:val="BodyText"/>
      </w:pPr>
      <w:r>
        <w:t xml:space="preserve">With fixed weights</w:t>
      </w:r>
    </w:p>
    <w:p>
      <w:pPr>
        <w:pStyle w:val="BodyText"/>
      </w:pPr>
      <m:oMathPara>
        <m:oMathParaPr>
          <m:jc m:val="center"/>
        </m:oMathParaPr>
        <m:oMath>
          <m:r>
            <m:t>W</m:t>
          </m:r>
          <m:r>
            <m:t>=</m:t>
          </m:r>
          <m:d>
            <m:dPr>
              <m:begChr m:val="("/>
              <m:endChr m:val=")"/>
              <m:grow/>
            </m:dPr>
            <m:e>
              <m:m>
                <m:mPr>
                  <m:baseJc m:val="center"/>
                  <m:plcHide m:val="1"/>
                  <m:mcs>
                    <m:mc>
                      <m:mcPr>
                        <m:mcJc m:val="center"/>
                        <m:count m:val="1"/>
                      </m:mcPr>
                    </m:mc>
                    <m:mc>
                      <m:mcPr>
                        <m:mcJc m:val="center"/>
                        <m:count m:val="1"/>
                      </m:mcPr>
                    </m:mc>
                    <m:mc>
                      <m:mcPr>
                        <m:mcJc m:val="center"/>
                        <m:count m:val="1"/>
                      </m:mcPr>
                    </m:mc>
                  </m:mcs>
                </m:mPr>
                <m:mr>
                  <m:e>
                    <m:r>
                      <m:t>1</m:t>
                    </m:r>
                  </m:e>
                  <m:e>
                    <m:r>
                      <m:t>−</m:t>
                    </m:r>
                    <m:r>
                      <m:t>0.5</m:t>
                    </m:r>
                  </m:e>
                  <m:e>
                    <m:r>
                      <m:t>0.5</m:t>
                    </m:r>
                  </m:e>
                </m:mr>
                <m:mr>
                  <m:e>
                    <m:r>
                      <m:t>−</m:t>
                    </m:r>
                    <m:r>
                      <m:t>0.25</m:t>
                    </m:r>
                  </m:e>
                  <m:e>
                    <m:r>
                      <m:t>1</m:t>
                    </m:r>
                  </m:e>
                  <m:e>
                    <m:r>
                      <m:t>2</m:t>
                    </m:r>
                  </m:e>
                </m:mr>
              </m:m>
            </m:e>
          </m:d>
        </m:oMath>
      </m:oMathPara>
    </w:p>
    <w:p>
      <w:pPr>
        <w:pStyle w:val="FirstParagraph"/>
      </w:pPr>
      <w:r>
        <w:t xml:space="preserve">and bias</w:t>
      </w:r>
    </w:p>
    <w:p>
      <w:pPr>
        <w:pStyle w:val="BodyText"/>
      </w:pPr>
      <m:oMathPara>
        <m:oMathParaPr>
          <m:jc m:val="center"/>
        </m:oMathParaPr>
        <m:oMath>
          <m:r>
            <m:t>b</m:t>
          </m:r>
          <m:r>
            <m:t>=</m:t>
          </m:r>
          <m:r>
            <m:t>(</m:t>
          </m:r>
          <m:r>
            <m:t>0.5</m:t>
          </m:r>
          <m:r>
            <m:t>,</m:t>
          </m:r>
          <m:r>
            <m:t>−</m:t>
          </m:r>
          <m:r>
            <m:t>1</m:t>
          </m:r>
          <m:r>
            <m:t>)</m:t>
          </m:r>
          <m:r>
            <m:t>,</m:t>
          </m:r>
        </m:oMath>
      </m:oMathPara>
    </w:p>
    <w:p>
      <w:pPr>
        <w:pStyle w:val="FirstParagraph"/>
      </w:pPr>
      <w:r>
        <w:t xml:space="preserve">the registered operation produces the exact internal output</w:t>
      </w:r>
    </w:p>
    <w:p>
      <w:pPr>
        <w:pStyle w:val="BodyText"/>
      </w:pPr>
      <m:oMathPara>
        <m:oMathParaPr>
          <m:jc m:val="center"/>
        </m:oMathParaPr>
        <m:oMath>
          <m:r>
            <m:t>(</m:t>
          </m:r>
          <m:r>
            <m:t>3.25</m:t>
          </m:r>
          <m:r>
            <m:t>,</m:t>
          </m:r>
          <m:r>
            <m:t>−</m:t>
          </m:r>
          <m:r>
            <m:t>1.5</m:t>
          </m:r>
          <m:r>
            <m:t>)</m:t>
          </m:r>
          <m:r>
            <m:t>.</m:t>
          </m:r>
        </m:oMath>
      </m:oMathPara>
    </w:p>
    <w:p>
      <w:pPr>
        <w:pStyle w:val="FirstParagraph"/>
      </w:pPr>
      <w:r>
        <w:t xml:space="preserve">The callable then translates that row into response schema</w:t>
      </w:r>
      <w:r>
        <w:t xml:space="preserve"> </w:t>
      </w:r>
      <w:r>
        <w:rPr>
          <w:rStyle w:val="VerbatimChar"/>
        </w:rPr>
        <w:t xml:space="preserve">vector.v1</w:t>
      </w:r>
      <w:r>
        <w:t xml:space="preserve">. The declared response is not an internal tensor accidentally printed to a terminal; it is an object formed at the interface boundary.</w:t>
      </w:r>
    </w:p>
    <w:p>
      <w:pPr>
        <w:pStyle w:val="Heading2"/>
      </w:pPr>
      <w:bookmarkStart w:id="212" w:name="chapter-12-reload-must-preserve-behavior"/>
      <w:r>
        <w:t xml:space="preserve">Reload Must Preserve Behavior</w:t>
      </w:r>
      <w:bookmarkEnd w:id="212"/>
    </w:p>
    <w:p>
      <w:pPr>
        <w:pStyle w:val="FirstParagraph"/>
      </w:pPr>
      <w:r>
        <w:t xml:space="preserve">Serialization is useful partly because an artifact can leave memory and later be reconstructed. The probe loads the same canonical package a second time, validates it again, constructs a second callable object, and sends the same request.</w:t>
      </w:r>
    </w:p>
    <w:p>
      <w:pPr>
        <w:pStyle w:val="BodyText"/>
      </w:pPr>
      <w:r>
        <w:t xml:space="preserve">The second validation result equals the first. The request object, internal input row, internal output row, and response object are identical. The result is deterministic because the package, operation, runtime capabilities, and request are fixed and the operation contains no randomness.</w:t>
      </w:r>
    </w:p>
    <w:p>
      <w:pPr>
        <w:pStyle w:val="BodyText"/>
      </w:pPr>
      <w:r>
        <w:t xml:space="preserve">This proves reproducibility only for the fixture. It says nothing about nondeterministic kernels, parallel scheduling, cross-platform numerical variation, or production package migration.</w:t>
      </w:r>
    </w:p>
    <w:p>
      <w:pPr>
        <w:pStyle w:val="Heading2"/>
      </w:pPr>
      <w:bookmarkStart w:id="213" w:name="X053187ac9b2fe7b940acb3e87fc234e96cf009c"/>
      <w:r>
        <w:t xml:space="preserve">Corrupt One Contract, Stop Early</w:t>
      </w:r>
      <w:bookmarkEnd w:id="213"/>
    </w:p>
    <w:p>
      <w:pPr>
        <w:pStyle w:val="FirstParagraph"/>
      </w:pPr>
      <w:r>
        <w:t xml:space="preserve">A successful path is incomplete evidence unless a nearby failure can falsify the claimed gate. The control parses the valid package, changes only its declared input dimension from 3 to 4, and serializes it again. The weight and bias parameter payload remains unchanged under canonical serialization.</w:t>
      </w:r>
    </w:p>
    <w:p>
      <w:pPr>
        <w:pStyle w:val="BodyText"/>
      </w:pPr>
      <w:r>
        <w:t xml:space="preserve">The mismatch is now precise: architecture metadata requires weight rows of length 4, while the preserved payload still contains rows of length 3. The loader returns</w:t>
      </w:r>
    </w:p>
    <w:p>
      <w:pPr>
        <w:pStyle w:val="BodyText"/>
      </w:pPr>
      <w:r>
        <w:rPr>
          <w:rStyle w:val="VerbatimChar"/>
        </w:rPr>
        <w:t xml:space="preserve">PARAMETER_SHAPE_MISMATCH</w:t>
      </w:r>
      <w:r>
        <w:t xml:space="preserve">.</w:t>
      </w:r>
    </w:p>
    <w:p>
      <w:pPr>
        <w:pStyle w:val="BodyText"/>
      </w:pPr>
      <w:r>
        <w:t xml:space="preserve">More important than the label is where the failure occurs. The construction count does not increase. No callable object is returned. Invocation count for the corrupt path remains zero. The package is rejected before arithmetic can hide the contract error inside a later exception or misleading result.</w:t>
      </w:r>
    </w:p>
    <w:p>
      <w:pPr>
        <w:pStyle w:val="BodyText"/>
      </w:pPr>
      <w:r>
        <w:t xml:space="preserve">The control does not establish that all corruption is detectable or that ecosystem loaders are reliable. It verifies one dimension invariant in one local package format.</w:t>
      </w:r>
    </w:p>
    <w:p>
      <w:pPr>
        <w:pStyle w:val="Heading2"/>
      </w:pPr>
      <w:bookmarkStart w:id="214" w:name="chapter-12-what-became-callable"/>
      <w:r>
        <w:t xml:space="preserve">What Became Callable</w:t>
      </w:r>
      <w:bookmarkEnd w:id="214"/>
    </w:p>
    <w:p>
      <w:pPr>
        <w:pStyle w:val="FirstParagraph"/>
      </w:pPr>
      <w:r>
        <w:t xml:space="preserve">The probe leaves six interfaces separately inspectable:</w:t>
      </w:r>
    </w:p>
    <w:p>
      <w:pPr>
        <w:numPr>
          <w:ilvl w:val="0"/>
          <w:numId w:val="1017"/>
        </w:numPr>
        <w:pStyle w:val="Compact"/>
      </w:pPr>
      <w:r>
        <w:t xml:space="preserve">architecture specification: identity, version, operation, dimensions</w:t>
      </w:r>
    </w:p>
    <w:p>
      <w:pPr>
        <w:numPr>
          <w:ilvl w:val="0"/>
          <w:numId w:val="1017"/>
        </w:numPr>
        <w:pStyle w:val="Compact"/>
      </w:pPr>
      <w:r>
        <w:t xml:space="preserve">framework registry: available executable operation names</w:t>
      </w:r>
    </w:p>
    <w:p>
      <w:pPr>
        <w:numPr>
          <w:ilvl w:val="0"/>
          <w:numId w:val="1017"/>
        </w:numPr>
        <w:pStyle w:val="Compact"/>
      </w:pPr>
      <w:r>
        <w:t xml:space="preserve">serialized package: manifest, architecture, parameters, interface schema</w:t>
      </w:r>
    </w:p>
    <w:p>
      <w:pPr>
        <w:numPr>
          <w:ilvl w:val="0"/>
          <w:numId w:val="1017"/>
        </w:numPr>
        <w:pStyle w:val="Compact"/>
      </w:pPr>
      <w:r>
        <w:t xml:space="preserve">loader validation: explicit checks and result codes before construction</w:t>
      </w:r>
    </w:p>
    <w:p>
      <w:pPr>
        <w:numPr>
          <w:ilvl w:val="0"/>
          <w:numId w:val="1017"/>
        </w:numPr>
        <w:pStyle w:val="Compact"/>
      </w:pPr>
      <w:r>
        <w:t xml:space="preserve">runtime capabilities: selected services required for execution</w:t>
      </w:r>
    </w:p>
    <w:p>
      <w:pPr>
        <w:numPr>
          <w:ilvl w:val="0"/>
          <w:numId w:val="1017"/>
        </w:numPr>
        <w:pStyle w:val="Compact"/>
      </w:pPr>
      <w:r>
        <w:t xml:space="preserve">callable exchange: request validation, internal rows, and response construction</w:t>
      </w:r>
    </w:p>
    <w:p>
      <w:pPr>
        <w:pStyle w:val="FirstParagraph"/>
      </w:pPr>
      <w:r>
        <w:t xml:space="preserve">All embedded assertions pass. There are two successful constructions and two valid invocations. The valid response is exactly</w:t>
      </w:r>
      <w:r>
        <w:t xml:space="preserve"> </w:t>
      </w:r>
      <m:oMath>
        <m:r>
          <m:t>(</m:t>
        </m:r>
        <m:r>
          <m:t>3.25</m:t>
        </m:r>
        <m:r>
          <m:t>,</m:t>
        </m:r>
        <m:r>
          <m:t>−</m:t>
        </m:r>
        <m:r>
          <m:t>1.5</m:t>
        </m:r>
        <m:r>
          <m:t>)</m:t>
        </m:r>
      </m:oMath>
      <w:r>
        <w:t xml:space="preserve"> </w:t>
      </w:r>
      <w:r>
        <w:t xml:space="preserve">both times. The corrupted package preserves its parameter payload and produces zero constructions and zero invocations.</w:t>
      </w:r>
    </w:p>
    <w:p>
      <w:pPr>
        <w:pStyle w:val="Heading2"/>
      </w:pPr>
      <w:bookmarkStart w:id="215" w:name="chapter-12-the-boundary-of-the-tool"/>
      <w:r>
        <w:t xml:space="preserve">The Boundary of the Tool</w:t>
      </w:r>
      <w:bookmarkEnd w:id="215"/>
    </w:p>
    <w:p>
      <w:pPr>
        <w:pStyle w:val="FirstParagraph"/>
      </w:pPr>
      <w:r>
        <w:t xml:space="preserve">Nothing here claims production compatibility. The fixture is not a framework adapter, standard model format, benchmark, trained model, or quality evaluation. It does not download weights or compare ecosystems. It does not tokenize input, execute a Transformer stack, select a next token, or decode output.</w:t>
      </w:r>
    </w:p>
    <w:p>
      <w:pPr>
        <w:pStyle w:val="BodyText"/>
      </w:pPr>
      <w:r>
        <w:t xml:space="preserve">Those exclusions preserve the book’s architecture. Chapter 15 owns the complete token-through-machine execution path. Chapter 16 owns the limits analysis. This chapter owns the narrower transition from a declared computational object to a validated callable software object.</w:t>
      </w:r>
    </w:p>
    <w:p>
      <w:pPr>
        <w:pStyle w:val="BodyText"/>
      </w:pPr>
      <w:r>
        <w:t xml:space="preserve">The programming lineage is now complete enough to meet the other lineages. Chapter 13 can compare AI, mathematics, and programming at their actual interfaces: representations and operations, specifications and constraints, packages and runtimes. It need not pretend that a paper, an implementation, and a running tool are synonyms.</w:t>
      </w:r>
    </w:p>
    <w:p>
      <w:pPr>
        <w:pStyle w:val="Heading2"/>
      </w:pPr>
      <w:bookmarkStart w:id="216" w:name="chapter-12-sources-and-evidence"/>
      <w:r>
        <w:t xml:space="preserve">Sources and Evidence</w:t>
      </w:r>
      <w:bookmarkEnd w:id="216"/>
    </w:p>
    <w:p>
      <w:pPr>
        <w:pStyle w:val="FirstParagraph"/>
      </w:pPr>
      <w:r>
        <w:t xml:space="preserve">Bounded claims and official documentation are recorded in the</w:t>
      </w:r>
      <w:r>
        <w:t xml:space="preserve"> </w:t>
      </w:r>
      <w:hyperlink r:id="rId217">
        <w:r>
          <w:rPr>
            <w:rStyle w:val="Hyperlink"/>
          </w:rPr>
          <w:t xml:space="preserve">Chapter 12 source ledger</w:t>
        </w:r>
      </w:hyperlink>
      <w:r>
        <w:t xml:space="preserve">. Exact package bytes, digest, validation records, request and response values, reload equality, and corruption counters are documented in the</w:t>
      </w:r>
      <w:r>
        <w:t xml:space="preserve"> </w:t>
      </w:r>
      <w:hyperlink r:id="rId218">
        <w:r>
          <w:rPr>
            <w:rStyle w:val="Hyperlink"/>
          </w:rPr>
          <w:t xml:space="preserve">callable-tool probe</w:t>
        </w:r>
      </w:hyperlink>
      <w:r>
        <w:t xml:space="preserve">, with the</w:t>
      </w:r>
      <w:r>
        <w:t xml:space="preserve"> </w:t>
      </w:r>
      <w:hyperlink r:id="rId219">
        <w:r>
          <w:rPr>
            <w:rStyle w:val="Hyperlink"/>
          </w:rPr>
          <w:t xml:space="preserve">Python implementation</w:t>
        </w:r>
      </w:hyperlink>
      <w:r>
        <w:t xml:space="preserve">. Visual provenance, checksum, accessibility text, and production checks are recorded with</w:t>
      </w:r>
      <w:r>
        <w:t xml:space="preserve"> </w:t>
      </w:r>
      <w:hyperlink r:id="rId220">
        <w:r>
          <w:rPr>
            <w:rStyle w:val="Hyperlink"/>
          </w:rPr>
          <w:t xml:space="preserve">From Specification to Callable Tool</w:t>
        </w:r>
      </w:hyperlink>
      <w:r>
        <w:t xml:space="preserve">.</w:t>
      </w:r>
    </w:p>
    <w:p>
      <w:pPr>
        <w:pStyle w:val="Heading1"/>
      </w:pPr>
      <w:bookmarkStart w:id="221" w:name="chapter-13"/>
      <w:r>
        <w:t xml:space="preserve">Chapter 13 — Where the Journeys Meet</w:t>
      </w:r>
      <w:bookmarkEnd w:id="221"/>
    </w:p>
    <w:p>
      <w:pPr>
        <w:pStyle w:val="FirstParagraph"/>
      </w:pPr>
      <w:r>
        <w:t xml:space="preserve">The first twelve chapters followed three lineages that developed at different rates and solved different problems. The AI lineage arrived with a Transformer architecture: an ordered relation among representation, attention, projection, residual, normalization, and feed-forward interfaces. The mathematical lineage arrived with numerical representations whose transformations and comparisons have to be declared. The programming lineage arrived with implementation, package, runtime, validation, and callable contracts.</w:t>
      </w:r>
    </w:p>
    <w:p>
      <w:pPr>
        <w:pStyle w:val="BodyText"/>
      </w:pPr>
      <w:r>
        <w:t xml:space="preserve">Now they meet. But meeting is not merging.</w:t>
      </w:r>
    </w:p>
    <w:p>
      <w:pPr>
        <w:pStyle w:val="BodyText"/>
      </w:pPr>
      <w:r>
        <w:t xml:space="preserve">That distinction controls this chapter. A mathematical transformation is not an attention head because both can be described with the word</w:t>
      </w:r>
      <w:r>
        <w:t xml:space="preserve"> </w:t>
      </w:r>
      <w:r>
        <w:rPr>
          <w:i/>
        </w:rPr>
        <w:t xml:space="preserve">transform</w:t>
      </w:r>
      <w:r>
        <w:t xml:space="preserve">. A published architecture is not an executable tool because both describe operations. A dependency edge is not evidence that two disciplines have become the same object. The three lineages become operational together only where their exports satisfy named destination requirements.</w:t>
      </w:r>
    </w:p>
    <w:p>
      <w:pPr>
        <w:pStyle w:val="Heading2"/>
      </w:pPr>
      <w:bookmarkStart w:id="222" w:name="chapter-13-convergence-begins-with-edges"/>
      <w:r>
        <w:t xml:space="preserve">Convergence Begins with Edges</w:t>
      </w:r>
      <w:bookmarkEnd w:id="222"/>
    </w:p>
    <w:p>
      <w:pPr>
        <w:pStyle w:val="FirstParagraph"/>
      </w:pPr>
      <w:r>
        <w:t xml:space="preserve">The repository dependency graph names exactly three incoming edges:</w:t>
      </w:r>
    </w:p>
    <w:p>
      <w:pPr>
        <w:pStyle w:val="SourceCode"/>
      </w:pPr>
      <w:r>
        <w:rPr>
          <w:rStyle w:val="VerbatimChar"/>
        </w:rPr>
        <w:t xml:space="preserve">ai.transformer -&gt; convergence.alignment</w:t>
      </w:r>
      <w:r>
        <w:br/>
      </w:r>
      <w:r>
        <w:rPr>
          <w:rStyle w:val="VerbatimChar"/>
        </w:rPr>
        <w:t xml:space="preserve">math.geometry -&gt; convergence.alignment</w:t>
      </w:r>
      <w:r>
        <w:br/>
      </w:r>
      <w:r>
        <w:rPr>
          <w:rStyle w:val="VerbatimChar"/>
        </w:rPr>
        <w:t xml:space="preserve">programming.tools -&gt; convergence.alignment</w:t>
      </w:r>
    </w:p>
    <w:p>
      <w:pPr>
        <w:pStyle w:val="FirstParagraph"/>
      </w:pPr>
      <w:r>
        <w:t xml:space="preserve">These are not decorative arrows. Each edge authorizes a particular source module to offer a capability at the convergence boundary. The destination,</w:t>
      </w:r>
      <w:r>
        <w:t xml:space="preserve"> </w:t>
      </w:r>
      <w:r>
        <w:rPr>
          <w:rStyle w:val="VerbatimChar"/>
        </w:rPr>
        <w:t xml:space="preserve">convergence.alignment</w:t>
      </w:r>
      <w:r>
        <w:t xml:space="preserve">, owns three corresponding requirements. It needs ordered architectural relations from AI, declared representation and transformation rules from mathematics, and validated callable implementation contracts from programming.</w:t>
      </w:r>
    </w:p>
    <w:p>
      <w:pPr>
        <w:pStyle w:val="BodyText"/>
      </w:pPr>
      <w:r>
        <w:t xml:space="preserve">An edge alone is still insufficient. If</w:t>
      </w:r>
      <w:r>
        <w:t xml:space="preserve"> </w:t>
      </w:r>
      <w:r>
        <w:rPr>
          <w:rStyle w:val="VerbatimChar"/>
        </w:rPr>
        <w:t xml:space="preserve">math.geometry</w:t>
      </w:r>
      <w:r>
        <w:t xml:space="preserve"> </w:t>
      </w:r>
      <w:r>
        <w:t xml:space="preserve">is connected to convergence but presents itself as the Transformer architecture merely because its vocabulary contains</w:t>
      </w:r>
      <w:r>
        <w:t xml:space="preserve"> </w:t>
      </w:r>
      <w:r>
        <w:rPr>
          <w:i/>
        </w:rPr>
        <w:t xml:space="preserve">transform</w:t>
      </w:r>
      <w:r>
        <w:t xml:space="preserve">, the graph has not made that claim true. The capability and interface identifiers must agree too.</w:t>
      </w:r>
    </w:p>
    <w:p>
      <w:pPr>
        <w:pStyle w:val="BodyText"/>
      </w:pPr>
      <w:r>
        <w:t xml:space="preserve">The Chapter 13 probe therefore represents every handoff as structured data. It does not search prose. It does not test whether one label contains another. Acceptance compares an exact typed triple:</w:t>
      </w:r>
    </w:p>
    <w:p>
      <w:pPr>
        <w:pStyle w:val="SourceCode"/>
      </w:pPr>
      <w:r>
        <w:rPr>
          <w:rStyle w:val="VerbatimChar"/>
        </w:rPr>
        <w:t xml:space="preserve">(source_module, capability_id, interface_id)</w:t>
      </w:r>
    </w:p>
    <w:p>
      <w:pPr>
        <w:pStyle w:val="FirstParagraph"/>
      </w:pPr>
      <w:r>
        <w:t xml:space="preserve">This small rule keeps the chapter honest. Conceptual resemblance may help a reader reason across fields, but operational compatibility requires a declared contract.</w:t>
      </w:r>
    </w:p>
    <w:p>
      <w:pPr>
        <w:pStyle w:val="Heading2"/>
      </w:pPr>
      <w:bookmarkStart w:id="223" w:name="chapter-13-what-ai-exports"/>
      <w:r>
        <w:t xml:space="preserve">What AI Exports</w:t>
      </w:r>
      <w:bookmarkEnd w:id="223"/>
    </w:p>
    <w:p>
      <w:pPr>
        <w:pStyle w:val="FirstParagraph"/>
      </w:pPr>
      <w:r>
        <w:t xml:space="preserve">Chapter 11 established that attention alone is not the Transformer. The architecture orders several component relations: input representations receive position; projections create query, key, and value channels; multiple heads are composed; output projection returns to model dimension; residual and normalization interfaces constrain handoffs; and positionwise feed-forward work follows.</w:t>
      </w:r>
    </w:p>
    <w:p>
      <w:pPr>
        <w:pStyle w:val="BodyText"/>
      </w:pPr>
      <w:r>
        <w:t xml:space="preserve">Chapter 13 does not reopen that block or inspect a whole model at several scales. It receives the earlier result as the capability</w:t>
      </w:r>
      <w:r>
        <w:t xml:space="preserve"> </w:t>
      </w:r>
      <w:r>
        <w:rPr>
          <w:rStyle w:val="VerbatimChar"/>
        </w:rPr>
        <w:t xml:space="preserve">component_architecture.ordered_relations</w:t>
      </w:r>
      <w:r>
        <w:t xml:space="preserve"> </w:t>
      </w:r>
      <w:r>
        <w:t xml:space="preserve">through interface</w:t>
      </w:r>
      <w:r>
        <w:t xml:space="preserve"> </w:t>
      </w:r>
      <w:r>
        <w:rPr>
          <w:rStyle w:val="VerbatimChar"/>
        </w:rPr>
        <w:t xml:space="preserve">alignment.architecture.v1</w:t>
      </w:r>
      <w:r>
        <w:t xml:space="preserve">.</w:t>
      </w:r>
    </w:p>
    <w:p>
      <w:pPr>
        <w:pStyle w:val="BodyText"/>
      </w:pPr>
      <w:r>
        <w:t xml:space="preserve">That wording matters. AI exports an architectural role and an ordering among components. It does not export every matrix theorem used by the components, and it does not export the software services required to load and invoke them. The architecture is one lineage’s contribution to alignment, not a container that erases the other two.</w:t>
      </w:r>
    </w:p>
    <w:p>
      <w:pPr>
        <w:pStyle w:val="Heading2"/>
      </w:pPr>
      <w:bookmarkStart w:id="224" w:name="chapter-13-what-mathematics-exports"/>
      <w:r>
        <w:t xml:space="preserve">What Mathematics Exports</w:t>
      </w:r>
      <w:bookmarkEnd w:id="224"/>
    </w:p>
    <w:p>
      <w:pPr>
        <w:pStyle w:val="FirstParagraph"/>
      </w:pPr>
      <w:r>
        <w:t xml:space="preserve">The mathematical journey supplied coordinates, matrices, probability distributions, derivatives, tensors, and geometric comparison. By Chapter 8, learned representations could be discussed as points and neighborhoods only under declared choices: which representation is used, which transformation acts on it, and which comparison rule gives distance or similarity operational meaning.</w:t>
      </w:r>
    </w:p>
    <w:p>
      <w:pPr>
        <w:pStyle w:val="BodyText"/>
      </w:pPr>
      <w:r>
        <w:t xml:space="preserve">The convergence fixture summarizes that contribution as</w:t>
      </w:r>
      <w:r>
        <w:t xml:space="preserve"> </w:t>
      </w:r>
      <w:r>
        <w:rPr>
          <w:rStyle w:val="VerbatimChar"/>
        </w:rPr>
        <w:t xml:space="preserve">representation.declared_transform_compare</w:t>
      </w:r>
      <w:r>
        <w:t xml:space="preserve"> </w:t>
      </w:r>
      <w:r>
        <w:t xml:space="preserve">through</w:t>
      </w:r>
      <w:r>
        <w:t xml:space="preserve"> </w:t>
      </w:r>
      <w:r>
        <w:rPr>
          <w:rStyle w:val="VerbatimChar"/>
        </w:rPr>
        <w:t xml:space="preserve">alignment.geometry.v1</w:t>
      </w:r>
      <w:r>
        <w:t xml:space="preserve">. The compact identifier does not claim that all the mathematics in earlier chapters reduces to geometry. It names the specific export needed here: numerical objects and the rules under which they may be transformed and compared.</w:t>
      </w:r>
    </w:p>
    <w:p>
      <w:pPr>
        <w:pStyle w:val="BodyText"/>
      </w:pPr>
      <w:r>
        <w:t xml:space="preserve">This interface also prevents a frequent category error. A matrix transformation may implement part of a Transformer component, but mathematical operation and architectural role remain different descriptions. The same multiplication can appear in a projection, a feed-forward stage, or another system entirely. Its algebra does not choose its role in an architecture.</w:t>
      </w:r>
    </w:p>
    <w:p>
      <w:pPr>
        <w:pStyle w:val="Heading2"/>
      </w:pPr>
      <w:bookmarkStart w:id="225" w:name="chapter-13-what-programming-exports"/>
      <w:r>
        <w:t xml:space="preserve">What Programming Exports</w:t>
      </w:r>
      <w:bookmarkEnd w:id="225"/>
    </w:p>
    <w:p>
      <w:pPr>
        <w:pStyle w:val="FirstParagraph"/>
      </w:pPr>
      <w:r>
        <w:t xml:space="preserve">Chapter 12 followed a specification until it became callable. Framework operations, package fields, loader checks, runtime capabilities, and request and response schemas remained separately inspectable. That chain showed why a correctly drawn architecture cannot execute itself.</w:t>
      </w:r>
    </w:p>
    <w:p>
      <w:pPr>
        <w:pStyle w:val="BodyText"/>
      </w:pPr>
      <w:r>
        <w:t xml:space="preserve">The programming export is</w:t>
      </w:r>
      <w:r>
        <w:t xml:space="preserve"> </w:t>
      </w:r>
      <w:r>
        <w:rPr>
          <w:rStyle w:val="VerbatimChar"/>
        </w:rPr>
        <w:t xml:space="preserve">implementation.validated_callable_contracts</w:t>
      </w:r>
      <w:r>
        <w:t xml:space="preserve"> </w:t>
      </w:r>
      <w:r>
        <w:t xml:space="preserve">through</w:t>
      </w:r>
      <w:r>
        <w:t xml:space="preserve"> </w:t>
      </w:r>
      <w:r>
        <w:rPr>
          <w:rStyle w:val="VerbatimChar"/>
        </w:rPr>
        <w:t xml:space="preserve">alignment.implementation.v1</w:t>
      </w:r>
      <w:r>
        <w:t xml:space="preserve">. It carries the requirement that implementation behavior, serialized fields, selected runtime services, and invocation schemas agree before a caller can use the object.</w:t>
      </w:r>
    </w:p>
    <w:p>
      <w:pPr>
        <w:pStyle w:val="BodyText"/>
      </w:pPr>
      <w:r>
        <w:t xml:space="preserve">Programming does not replace the architecture by making it executable. Nor does it define the mathematics by storing arrays. It binds declared behavior to machine representations and exposes validated interfaces. The resulting tool can realize architectural and mathematical requirements while preserving where those requirements came from.</w:t>
      </w:r>
    </w:p>
    <w:p>
      <w:pPr>
        <w:pStyle w:val="Heading2"/>
      </w:pPr>
      <w:bookmarkStart w:id="226" w:name="X17ed994d1f67a43d6602beea95a4e967c393a4d"/>
      <w:r>
        <w:t xml:space="preserve">Exact Matching Preserves Identity</w:t>
      </w:r>
      <w:bookmarkEnd w:id="226"/>
    </w:p>
    <w:p>
      <w:pPr>
        <w:pStyle w:val="FirstParagraph"/>
      </w:pPr>
      <w:r>
        <w:t xml:space="preserve">For the valid fixture, each destination requirement names one accepted source module, one capability identifier, and one interface identifier. Each of the three exports matches exactly once. No requirement is missing, and no requirement receives duplicate implementations.</w:t>
      </w:r>
    </w:p>
    <w:p>
      <w:pPr>
        <w:pStyle w:val="BodyText"/>
      </w:pPr>
      <w:r>
        <w:t xml:space="preserve">The accepted alignment record retains the lineage identifier and source module from every export:</w:t>
      </w:r>
    </w:p>
    <w:p>
      <w:pPr>
        <w:numPr>
          <w:ilvl w:val="0"/>
          <w:numId w:val="1018"/>
        </w:numPr>
        <w:pStyle w:val="Compact"/>
      </w:pPr>
      <w:r>
        <w:rPr>
          <w:rStyle w:val="VerbatimChar"/>
        </w:rPr>
        <w:t xml:space="preserve">ai</w:t>
      </w:r>
      <w:r>
        <w:t xml:space="preserve"> </w:t>
      </w:r>
      <w:r>
        <w:t xml:space="preserve">remains</w:t>
      </w:r>
      <w:r>
        <w:t xml:space="preserve"> </w:t>
      </w:r>
      <w:r>
        <w:rPr>
          <w:rStyle w:val="VerbatimChar"/>
        </w:rPr>
        <w:t xml:space="preserve">ai.transformer</w:t>
      </w:r>
    </w:p>
    <w:p>
      <w:pPr>
        <w:numPr>
          <w:ilvl w:val="0"/>
          <w:numId w:val="1018"/>
        </w:numPr>
        <w:pStyle w:val="Compact"/>
      </w:pPr>
      <w:r>
        <w:rPr>
          <w:rStyle w:val="VerbatimChar"/>
        </w:rPr>
        <w:t xml:space="preserve">mathematics</w:t>
      </w:r>
      <w:r>
        <w:t xml:space="preserve"> </w:t>
      </w:r>
      <w:r>
        <w:t xml:space="preserve">remains</w:t>
      </w:r>
      <w:r>
        <w:t xml:space="preserve"> </w:t>
      </w:r>
      <w:r>
        <w:rPr>
          <w:rStyle w:val="VerbatimChar"/>
        </w:rPr>
        <w:t xml:space="preserve">math.geometry</w:t>
      </w:r>
    </w:p>
    <w:p>
      <w:pPr>
        <w:numPr>
          <w:ilvl w:val="0"/>
          <w:numId w:val="1018"/>
        </w:numPr>
        <w:pStyle w:val="Compact"/>
      </w:pPr>
      <w:r>
        <w:rPr>
          <w:rStyle w:val="VerbatimChar"/>
        </w:rPr>
        <w:t xml:space="preserve">programming</w:t>
      </w:r>
      <w:r>
        <w:t xml:space="preserve"> </w:t>
      </w:r>
      <w:r>
        <w:t xml:space="preserve">remains</w:t>
      </w:r>
      <w:r>
        <w:t xml:space="preserve"> </w:t>
      </w:r>
      <w:r>
        <w:rPr>
          <w:rStyle w:val="VerbatimChar"/>
        </w:rPr>
        <w:t xml:space="preserve">programming.tools</w:t>
      </w:r>
    </w:p>
    <w:p>
      <w:pPr>
        <w:pStyle w:val="FirstParagraph"/>
      </w:pPr>
      <w:r>
        <w:t xml:space="preserve">This is interface compatibility without object identity. The records can participate in one assembly because their contracts agree with the destination. They do not become interchangeable records. If the source identity were discarded after matching, the assembly could no longer explain which lineage supplied a requirement or detect an invalid substitution later.</w:t>
      </w:r>
    </w:p>
    <w:p>
      <w:pPr>
        <w:pStyle w:val="BodyText"/>
      </w:pPr>
      <w:r>
        <w:t xml:space="preserve">Cardinality matters as much as type.</w:t>
      </w:r>
      <w:r>
        <w:t xml:space="preserve"> </w:t>
      </w:r>
      <w:r>
        <w:t xml:space="preserve">“</w:t>
      </w:r>
      <w:r>
        <w:t xml:space="preserve">All requirements have at least one match</w:t>
      </w:r>
      <w:r>
        <w:t xml:space="preserve">”</w:t>
      </w:r>
      <w:r>
        <w:t xml:space="preserve"> </w:t>
      </w:r>
      <w:r>
        <w:t xml:space="preserve">would permit two competing exports to satisfy one slot while hiding ambiguity. The probe instead requires every destination requirement to be satisfied exactly once. Complete alignment means three accepted records, zero unsatisfied requirements, and zero duplicate requirements.</w:t>
      </w:r>
    </w:p>
    <w:p>
      <w:pPr>
        <w:pStyle w:val="CaptionedFigure"/>
      </w:pPr>
      <w:r>
        <w:drawing>
          <wp:inline>
            <wp:extent cx="5334000" cy="3378200"/>
            <wp:effectExtent b="0" l="0" r="0" t="0"/>
            <wp:docPr descr="The Three-Lineage Interface" title="" id="1" name="Picture"/>
            <a:graphic>
              <a:graphicData uri="http://schemas.openxmlformats.org/drawingml/2006/picture">
                <pic:pic>
                  <pic:nvPicPr>
                    <pic:cNvPr descr="../visuals/chapter_13_three_lineage_interface.svg" id="0" name="Picture"/>
                    <pic:cNvPicPr>
                      <a:picLocks noChangeArrowheads="1" noChangeAspect="1"/>
                    </pic:cNvPicPr>
                  </pic:nvPicPr>
                  <pic:blipFill>
                    <a:blip r:embed="rId227"/>
                    <a:stretch>
                      <a:fillRect/>
                    </a:stretch>
                  </pic:blipFill>
                  <pic:spPr bwMode="auto">
                    <a:xfrm>
                      <a:off x="0" y="0"/>
                      <a:ext cx="5334000" cy="3378200"/>
                    </a:xfrm>
                    <a:prstGeom prst="rect">
                      <a:avLst/>
                    </a:prstGeom>
                    <a:noFill/>
                    <a:ln w="9525">
                      <a:noFill/>
                      <a:headEnd/>
                      <a:tailEnd/>
                    </a:ln>
                  </pic:spPr>
                </pic:pic>
              </a:graphicData>
            </a:graphic>
          </wp:inline>
        </w:drawing>
      </w:r>
    </w:p>
    <w:p>
      <w:pPr>
        <w:pStyle w:val="ImageCaption"/>
      </w:pPr>
      <w:r>
        <w:t xml:space="preserve">The Three-Lineage Interface</w:t>
      </w:r>
    </w:p>
    <w:p>
      <w:pPr>
        <w:pStyle w:val="BodyText"/>
      </w:pPr>
      <w:r>
        <w:rPr>
          <w:i/>
        </w:rPr>
        <w:t xml:space="preserve">Three distinct exports cross exact typed gates into one alignment record while retaining their source identities. The outgoing edge leads only to Chapter 14. The lower controls show that neither a missing lineage nor shared vocabulary can satisfy a typed requirement.</w:t>
      </w:r>
    </w:p>
    <w:p>
      <w:pPr>
        <w:pStyle w:val="Heading2"/>
      </w:pPr>
      <w:bookmarkStart w:id="228" w:name="chapter-13-control-one-remove-an-edge"/>
      <w:r>
        <w:t xml:space="preserve">Control One: Remove an Edge</w:t>
      </w:r>
      <w:bookmarkEnd w:id="228"/>
    </w:p>
    <w:p>
      <w:pPr>
        <w:pStyle w:val="FirstParagraph"/>
      </w:pPr>
      <w:r>
        <w:t xml:space="preserve">The first control removes</w:t>
      </w:r>
      <w:r>
        <w:t xml:space="preserve"> </w:t>
      </w:r>
      <w:r>
        <w:rPr>
          <w:rStyle w:val="VerbatimChar"/>
        </w:rPr>
        <w:t xml:space="preserve">programming.tools -&gt; convergence.alignment</w:t>
      </w:r>
      <w:r>
        <w:t xml:space="preserve"> </w:t>
      </w:r>
      <w:r>
        <w:t xml:space="preserve">while leaving the programming export record present. This isolates graph authorization from data availability. A record sitting nearby is not an incoming handoff unless the dependency graph admits its source.</w:t>
      </w:r>
    </w:p>
    <w:p>
      <w:pPr>
        <w:pStyle w:val="BodyText"/>
      </w:pPr>
      <w:r>
        <w:t xml:space="preserve">The architecture requirement remains satisfied by</w:t>
      </w:r>
      <w:r>
        <w:t xml:space="preserve"> </w:t>
      </w:r>
      <w:r>
        <w:rPr>
          <w:rStyle w:val="VerbatimChar"/>
        </w:rPr>
        <w:t xml:space="preserve">ai.transformer</w:t>
      </w:r>
      <w:r>
        <w:t xml:space="preserve">. The geometry requirement remains satisfied by</w:t>
      </w:r>
      <w:r>
        <w:t xml:space="preserve"> </w:t>
      </w:r>
      <w:r>
        <w:rPr>
          <w:rStyle w:val="VerbatimChar"/>
        </w:rPr>
        <w:t xml:space="preserve">math.geometry</w:t>
      </w:r>
      <w:r>
        <w:t xml:space="preserve">. The implementation requirement becomes explicitly unsatisfied:</w:t>
      </w:r>
    </w:p>
    <w:p>
      <w:pPr>
        <w:pStyle w:val="SourceCode"/>
      </w:pPr>
      <w:r>
        <w:rPr>
          <w:rStyle w:val="VerbatimChar"/>
        </w:rPr>
        <w:t xml:space="preserve">requirement.implementation</w:t>
      </w:r>
    </w:p>
    <w:p>
      <w:pPr>
        <w:pStyle w:val="FirstParagraph"/>
      </w:pPr>
      <w:r>
        <w:t xml:space="preserve">Exactly one failure appears. That precision is useful. The control does not report that</w:t>
      </w:r>
      <w:r>
        <w:t xml:space="preserve"> </w:t>
      </w:r>
      <w:r>
        <w:t xml:space="preserve">“</w:t>
      </w:r>
      <w:r>
        <w:t xml:space="preserve">convergence failed</w:t>
      </w:r>
      <w:r>
        <w:t xml:space="preserve">”</w:t>
      </w:r>
      <w:r>
        <w:t xml:space="preserve"> </w:t>
      </w:r>
      <w:r>
        <w:t xml:space="preserve">as an undifferentiated condition; it identifies the missing implementation contract and leaves the other accepted identities intact.</w:t>
      </w:r>
    </w:p>
    <w:p>
      <w:pPr>
        <w:pStyle w:val="BodyText"/>
      </w:pPr>
      <w:r>
        <w:t xml:space="preserve">The result also prevents implementation from being treated as an optional final polish. Without the programming edge, mathematical and architectural descriptions still exist, but the alignment required for one executable technical object is incomplete.</w:t>
      </w:r>
    </w:p>
    <w:p>
      <w:pPr>
        <w:pStyle w:val="Heading2"/>
      </w:pPr>
      <w:bookmarkStart w:id="229" w:name="Xbdbacacd6710ff2cb31d7f0311923e3ffc7b809"/>
      <w:r>
        <w:t xml:space="preserve">Control Two: Reject a Familiar Word</w:t>
      </w:r>
      <w:bookmarkEnd w:id="229"/>
    </w:p>
    <w:p>
      <w:pPr>
        <w:pStyle w:val="FirstParagraph"/>
      </w:pPr>
      <w:r>
        <w:t xml:space="preserve">The second control introduces a mathematical candidate whose vocabulary includes</w:t>
      </w:r>
      <w:r>
        <w:t xml:space="preserve"> </w:t>
      </w:r>
      <w:r>
        <w:rPr>
          <w:i/>
        </w:rPr>
        <w:t xml:space="preserve">transform</w:t>
      </w:r>
      <w:r>
        <w:t xml:space="preserve"> </w:t>
      </w:r>
      <w:r>
        <w:t xml:space="preserve">and</w:t>
      </w:r>
      <w:r>
        <w:t xml:space="preserve"> </w:t>
      </w:r>
      <w:r>
        <w:rPr>
          <w:i/>
        </w:rPr>
        <w:t xml:space="preserve">architecture</w:t>
      </w:r>
      <w:r>
        <w:t xml:space="preserve">. It comes from</w:t>
      </w:r>
      <w:r>
        <w:t xml:space="preserve"> </w:t>
      </w:r>
      <w:r>
        <w:rPr>
          <w:rStyle w:val="VerbatimChar"/>
        </w:rPr>
        <w:t xml:space="preserve">math.geometry</w:t>
      </w:r>
      <w:r>
        <w:t xml:space="preserve">, declares capability</w:t>
      </w:r>
      <w:r>
        <w:t xml:space="preserve"> </w:t>
      </w:r>
      <w:r>
        <w:rPr>
          <w:rStyle w:val="VerbatimChar"/>
        </w:rPr>
        <w:t xml:space="preserve">representation.transform_label</w:t>
      </w:r>
      <w:r>
        <w:t xml:space="preserve">, and exposes the geometry interface. It then attempts to satisfy the architecture requirement.</w:t>
      </w:r>
    </w:p>
    <w:p>
      <w:pPr>
        <w:pStyle w:val="BodyText"/>
      </w:pPr>
      <w:r>
        <w:t xml:space="preserve">A substring matcher could be impressed by the shared word. The typed matcher is not. It reports a source-module mismatch, a capability-identifier mismatch, and an interface-identifier mismatch. The candidate is rejected with</w:t>
      </w:r>
      <w:r>
        <w:t xml:space="preserve"> </w:t>
      </w:r>
      <w:r>
        <w:rPr>
          <w:rStyle w:val="VerbatimChar"/>
        </w:rPr>
        <w:t xml:space="preserve">TYPED_CONTRACT_MISMATCH</w:t>
      </w:r>
      <w:r>
        <w:t xml:space="preserve">.</w:t>
      </w:r>
    </w:p>
    <w:p>
      <w:pPr>
        <w:pStyle w:val="BodyText"/>
      </w:pPr>
      <w:r>
        <w:t xml:space="preserve">This does not forbid analogy. Mathematical transformation is indispensable to the implemented Transformer, and common language can reveal useful correspondences. The narrower conclusion is that correspondence does not authorize substitution. Vocabulary can motivate a question; it cannot complete a software or dependency contract.</w:t>
      </w:r>
    </w:p>
    <w:p>
      <w:pPr>
        <w:pStyle w:val="Heading2"/>
      </w:pPr>
      <w:bookmarkStart w:id="230" w:name="chapter-13-one-aligned-technical-handoff"/>
      <w:r>
        <w:t xml:space="preserve">One Aligned Technical Handoff</w:t>
      </w:r>
      <w:bookmarkEnd w:id="230"/>
    </w:p>
    <w:p>
      <w:pPr>
        <w:pStyle w:val="FirstParagraph"/>
      </w:pPr>
      <w:r>
        <w:t xml:space="preserve">Once all three requirements are satisfied exactly once,</w:t>
      </w:r>
      <w:r>
        <w:t xml:space="preserve"> </w:t>
      </w:r>
      <w:r>
        <w:rPr>
          <w:rStyle w:val="VerbatimChar"/>
        </w:rPr>
        <w:t xml:space="preserve">convergence.alignment</w:t>
      </w:r>
      <w:r>
        <w:t xml:space="preserve"> </w:t>
      </w:r>
      <w:r>
        <w:t xml:space="preserve">can expose one outgoing edge:</w:t>
      </w:r>
    </w:p>
    <w:p>
      <w:pPr>
        <w:pStyle w:val="SourceCode"/>
      </w:pPr>
      <w:r>
        <w:rPr>
          <w:rStyle w:val="VerbatimChar"/>
        </w:rPr>
        <w:t xml:space="preserve">convergence.alignment -&gt; convergence.architecture</w:t>
      </w:r>
    </w:p>
    <w:p>
      <w:pPr>
        <w:pStyle w:val="FirstParagraph"/>
      </w:pPr>
      <w:r>
        <w:t xml:space="preserve">The handoff says that three validated interfaces are now available for inspection as one technical object. It does not perform that inspection here. Chapter 14 owns the change of scale from system to stack to block to operation. Stopping at the outgoing edge keeps alignment distinct from architecture analysis.</w:t>
      </w:r>
    </w:p>
    <w:p>
      <w:pPr>
        <w:pStyle w:val="BodyText"/>
      </w:pPr>
      <w:r>
        <w:t xml:space="preserve">The same boundary protects later chapters. Chapter 13 does not trace tokenization, model execution, next-token selection, or decoding; that is Chapter 15. It does not benchmark constraints or measure limits; that is Chapter 16. And it does not use technical convergence to settle questions about meaning, understanding, personhood, or humanity. Those philosophical questions belong beyond Book Two.</w:t>
      </w:r>
    </w:p>
    <w:p>
      <w:pPr>
        <w:pStyle w:val="Heading2"/>
      </w:pPr>
      <w:bookmarkStart w:id="231" w:name="chapter-13-what-the-probe-establishes"/>
      <w:r>
        <w:t xml:space="preserve">What the Probe Establishes</w:t>
      </w:r>
      <w:bookmarkEnd w:id="231"/>
    </w:p>
    <w:p>
      <w:pPr>
        <w:pStyle w:val="FirstParagraph"/>
      </w:pPr>
      <w:r>
        <w:t xml:space="preserve">The standard-library Python probe records structured lineage, edge, export, requirement, and accepted-match objects. Embedded assertions verify the exact canonical graph, three one-to-one matches, preserved source identities, the single unsatisfied requirement under edge removal, and the specific typed rejection despite shared vocabulary. A second computation produces equal valid and control records.</w:t>
      </w:r>
    </w:p>
    <w:p>
      <w:pPr>
        <w:pStyle w:val="BodyText"/>
      </w:pPr>
      <w:r>
        <w:t xml:space="preserve">This is deliberately modest evidence. It establishes the repository’s alignment contract, not a universal theory of interdisciplinary work. It shows how distinctions can survive assembly: AI contributes architectural relations, mathematics contributes declared numerical rules, and programming contributes executable contracts. Their joint operation depends on all three, while none acquires the identity of the others.</w:t>
      </w:r>
    </w:p>
    <w:p>
      <w:pPr>
        <w:pStyle w:val="BodyText"/>
      </w:pPr>
      <w:r>
        <w:t xml:space="preserve">That is where the journeys meet: not in a shared slogan, but at interfaces precise enough to accept the right handoff and reject the wrong one.</w:t>
      </w:r>
    </w:p>
    <w:p>
      <w:pPr>
        <w:pStyle w:val="Heading2"/>
      </w:pPr>
      <w:bookmarkStart w:id="232" w:name="chapter-13-sources-and-evidence"/>
      <w:r>
        <w:t xml:space="preserve">Sources and Evidence</w:t>
      </w:r>
      <w:bookmarkEnd w:id="232"/>
    </w:p>
    <w:p>
      <w:pPr>
        <w:pStyle w:val="FirstParagraph"/>
      </w:pPr>
      <w:r>
        <w:t xml:space="preserve">The canonical graph, inherited chapter evidence, bounded external references, and prohibited inferences are documented in the</w:t>
      </w:r>
      <w:r>
        <w:t xml:space="preserve"> </w:t>
      </w:r>
      <w:hyperlink r:id="rId233">
        <w:r>
          <w:rPr>
            <w:rStyle w:val="Hyperlink"/>
          </w:rPr>
          <w:t xml:space="preserve">Chapter 13 source ledger</w:t>
        </w:r>
      </w:hyperlink>
      <w:r>
        <w:t xml:space="preserve">. Exact records, controls, and validation results are documented in the</w:t>
      </w:r>
      <w:r>
        <w:t xml:space="preserve"> </w:t>
      </w:r>
      <w:hyperlink r:id="rId234">
        <w:r>
          <w:rPr>
            <w:rStyle w:val="Hyperlink"/>
          </w:rPr>
          <w:t xml:space="preserve">lineage-alignment probe</w:t>
        </w:r>
      </w:hyperlink>
      <w:r>
        <w:t xml:space="preserve">, with the</w:t>
      </w:r>
      <w:r>
        <w:t xml:space="preserve"> </w:t>
      </w:r>
      <w:hyperlink r:id="rId235">
        <w:r>
          <w:rPr>
            <w:rStyle w:val="Hyperlink"/>
          </w:rPr>
          <w:t xml:space="preserve">Python implementation</w:t>
        </w:r>
      </w:hyperlink>
      <w:r>
        <w:t xml:space="preserve">. Visual provenance, accessibility text, checksum, and production tests are recorded with</w:t>
      </w:r>
      <w:r>
        <w:t xml:space="preserve"> </w:t>
      </w:r>
      <w:hyperlink r:id="rId236">
        <w:r>
          <w:rPr>
            <w:rStyle w:val="Hyperlink"/>
          </w:rPr>
          <w:t xml:space="preserve">The Three-Lineage Interface</w:t>
        </w:r>
      </w:hyperlink>
      <w:r>
        <w:t xml:space="preserve">.</w:t>
      </w:r>
    </w:p>
    <w:p>
      <w:pPr>
        <w:pStyle w:val="Heading1"/>
      </w:pPr>
      <w:bookmarkStart w:id="237" w:name="chapter-14"/>
      <w:r>
        <w:t xml:space="preserve">Chapter 14 — Architecture in Full</w:t>
      </w:r>
      <w:bookmarkEnd w:id="237"/>
    </w:p>
    <w:p>
      <w:pPr>
        <w:pStyle w:val="FirstParagraph"/>
      </w:pPr>
      <w:r>
        <w:t xml:space="preserve">Chapter 13 brought three lineages to one interface. Architectural relations, mathematical rules, and programmed contracts could finally be named together without being declared identical. Yet even that alignment leaves a basic problem of scale. What exactly is the object under discussion when someone says</w:t>
      </w:r>
      <w:r>
        <w:t xml:space="preserve"> </w:t>
      </w:r>
      <w:r>
        <w:t xml:space="preserve">“</w:t>
      </w:r>
      <w:r>
        <w:t xml:space="preserve">the Transformer</w:t>
      </w:r>
      <w:r>
        <w:t xml:space="preserve">”</w:t>
      </w:r>
      <w:r>
        <w:t xml:space="preserve">?</w:t>
      </w:r>
    </w:p>
    <w:p>
      <w:pPr>
        <w:pStyle w:val="BodyText"/>
      </w:pPr>
      <w:r>
        <w:t xml:space="preserve">The answer may point to a complete system, a repeated stack, one block, or one operation inside that block. All four views can be legitimate. The error begins when a change in inspection scale is mistaken for a change in object identity, or when selected detail is promoted into an explanation of everything that contains it.</w:t>
      </w:r>
    </w:p>
    <w:p>
      <w:pPr>
        <w:pStyle w:val="BodyText"/>
      </w:pPr>
      <w:r>
        <w:t xml:space="preserve">This chapter fixes one architecture identity and inspects it at four scales. The object does not change. The selected scope and its visible interfaces do.</w:t>
      </w:r>
    </w:p>
    <w:p>
      <w:pPr>
        <w:pStyle w:val="Heading2"/>
      </w:pPr>
      <w:bookmarkStart w:id="238" w:name="chapter-14-one-identity-four-selections"/>
      <w:r>
        <w:t xml:space="preserve">One Identity, Four Selections</w:t>
      </w:r>
      <w:bookmarkEnd w:id="238"/>
    </w:p>
    <w:p>
      <w:pPr>
        <w:pStyle w:val="FirstParagraph"/>
      </w:pPr>
      <w:r>
        <w:t xml:space="preserve">The deterministic fixture names one architecture:</w:t>
      </w:r>
    </w:p>
    <w:p>
      <w:pPr>
        <w:pStyle w:val="SourceCode"/>
      </w:pPr>
      <w:r>
        <w:rPr>
          <w:rStyle w:val="VerbatimChar"/>
        </w:rPr>
        <w:t xml:space="preserve">book2.transformer.architecture.01</w:t>
      </w:r>
    </w:p>
    <w:p>
      <w:pPr>
        <w:pStyle w:val="FirstParagraph"/>
      </w:pPr>
      <w:r>
        <w:t xml:space="preserve">That identifier appears unchanged on the system, stack, block, and operation records. Each record also names a selected object. At system scale the selected object is</w:t>
      </w:r>
      <w:r>
        <w:t xml:space="preserve"> </w:t>
      </w:r>
      <w:r>
        <w:rPr>
          <w:rStyle w:val="VerbatimChar"/>
        </w:rPr>
        <w:t xml:space="preserve">architecture.01.system</w:t>
      </w:r>
      <w:r>
        <w:t xml:space="preserve">. At stack scale it is</w:t>
      </w:r>
      <w:r>
        <w:t xml:space="preserve"> </w:t>
      </w:r>
      <w:r>
        <w:rPr>
          <w:rStyle w:val="VerbatimChar"/>
        </w:rPr>
        <w:t xml:space="preserve">architecture.01.stack.main</w:t>
      </w:r>
      <w:r>
        <w:t xml:space="preserve">. At block scale it is the middle instance,</w:t>
      </w:r>
      <w:r>
        <w:t xml:space="preserve"> </w:t>
      </w:r>
      <w:r>
        <w:rPr>
          <w:rStyle w:val="VerbatimChar"/>
        </w:rPr>
        <w:t xml:space="preserve">architecture.01.stack.main.block.01</w:t>
      </w:r>
      <w:r>
        <w:t xml:space="preserve">. At operation scale it is that block’s attention operation.</w:t>
      </w:r>
    </w:p>
    <w:p>
      <w:pPr>
        <w:pStyle w:val="BodyText"/>
      </w:pPr>
      <w:r>
        <w:t xml:space="preserve">This is not four architectures linked by resemblance. It is one architecture viewed through four scopes. Preserving the identifier makes the claim testable: a record that silently substitutes another architecture cannot pass as a closer view of this one.</w:t>
      </w:r>
    </w:p>
    <w:p>
      <w:pPr>
        <w:pStyle w:val="BodyText"/>
      </w:pPr>
      <w:r>
        <w:t xml:space="preserve">The fixture also fixes its dimensions. Vocabulary size is 32,000, context length is 2,048, model dimension is 512, there are eight heads of dimension 64, feed-forward width is 2,048, and the stack contains three blocks. The checks require head dimensions to compose to model dimension and feed-forward width to equal four model dimensions. These values keep the structural contracts explicit. They are not measurements of speed, memory, quality, or usable capacity.</w:t>
      </w:r>
    </w:p>
    <w:p>
      <w:pPr>
        <w:pStyle w:val="Heading2"/>
      </w:pPr>
      <w:bookmarkStart w:id="239" w:name="X4906e011486c00f686663ef9a4bcaa98825794b"/>
      <w:r>
        <w:t xml:space="preserve">System Scale: The External Boundary</w:t>
      </w:r>
      <w:bookmarkEnd w:id="239"/>
    </w:p>
    <w:p>
      <w:pPr>
        <w:pStyle w:val="FirstParagraph"/>
      </w:pPr>
      <w:r>
        <w:t xml:space="preserve">At the widest scale, the architecture exposes only two owned interfaces:</w:t>
      </w:r>
      <w:r>
        <w:t xml:space="preserve"> </w:t>
      </w:r>
      <w:r>
        <w:rPr>
          <w:rStyle w:val="VerbatimChar"/>
        </w:rPr>
        <w:t xml:space="preserve">system.token_ids_in</w:t>
      </w:r>
      <w:r>
        <w:t xml:space="preserve"> </w:t>
      </w:r>
      <w:r>
        <w:t xml:space="preserve">and</w:t>
      </w:r>
      <w:r>
        <w:t xml:space="preserve"> </w:t>
      </w:r>
      <w:r>
        <w:rPr>
          <w:rStyle w:val="VerbatimChar"/>
        </w:rPr>
        <w:t xml:space="preserve">system.logits_out</w:t>
      </w:r>
      <w:r>
        <w:t xml:space="preserve">. Between them sits one repeated stack.</w:t>
      </w:r>
    </w:p>
    <w:p>
      <w:pPr>
        <w:pStyle w:val="BodyText"/>
      </w:pPr>
      <w:r>
        <w:t xml:space="preserve">That sparse view is deliberate. A system boundary should say what enters, what leaves, and which major object it contains. It should not pretend that every internal projection or normalization stage is a direct system interface. If all detail were flattened into one list, there would be no way to tell what an external caller must provide from what an internal component owns.</w:t>
      </w:r>
    </w:p>
    <w:p>
      <w:pPr>
        <w:pStyle w:val="BodyText"/>
      </w:pPr>
      <w:r>
        <w:t xml:space="preserve">The system view is also not a trace of a request. No token sequence is supplied, no logits are computed, and no output is decoded. The labels establish architectural ports only. Chapter 15 will own the movement of one representation through executable stages.</w:t>
      </w:r>
    </w:p>
    <w:p>
      <w:pPr>
        <w:pStyle w:val="Heading2"/>
      </w:pPr>
      <w:bookmarkStart w:id="240" w:name="X77ccdcb91722f48f305a5d6ad97c46b82a16a72"/>
      <w:r>
        <w:t xml:space="preserve">Stack Scale: Repetition Without Collapse</w:t>
      </w:r>
      <w:bookmarkEnd w:id="240"/>
    </w:p>
    <w:p>
      <w:pPr>
        <w:pStyle w:val="FirstParagraph"/>
      </w:pPr>
      <w:r>
        <w:t xml:space="preserve">Zooming to the stack exposes three block instances:</w:t>
      </w:r>
    </w:p>
    <w:p>
      <w:pPr>
        <w:pStyle w:val="SourceCode"/>
      </w:pPr>
      <w:r>
        <w:rPr>
          <w:rStyle w:val="VerbatimChar"/>
        </w:rPr>
        <w:t xml:space="preserve">architecture.01.stack.main.block.00</w:t>
      </w:r>
      <w:r>
        <w:br/>
      </w:r>
      <w:r>
        <w:rPr>
          <w:rStyle w:val="VerbatimChar"/>
        </w:rPr>
        <w:t xml:space="preserve">architecture.01.stack.main.block.01</w:t>
      </w:r>
      <w:r>
        <w:br/>
      </w:r>
      <w:r>
        <w:rPr>
          <w:rStyle w:val="VerbatimChar"/>
        </w:rPr>
        <w:t xml:space="preserve">architecture.01.stack.main.block.02</w:t>
      </w:r>
    </w:p>
    <w:p>
      <w:pPr>
        <w:pStyle w:val="FirstParagraph"/>
      </w:pPr>
      <w:r>
        <w:t xml:space="preserve">Their identifiers are distinct. Their structural positions are distinct. All three satisfy the shared contract</w:t>
      </w:r>
      <w:r>
        <w:t xml:space="preserve"> </w:t>
      </w:r>
      <w:r>
        <w:rPr>
          <w:rStyle w:val="VerbatimChar"/>
        </w:rPr>
        <w:t xml:space="preserve">transformer.block.v1</w:t>
      </w:r>
      <w:r>
        <w:t xml:space="preserve">.</w:t>
      </w:r>
    </w:p>
    <w:p>
      <w:pPr>
        <w:pStyle w:val="BodyText"/>
      </w:pPr>
      <w:r>
        <w:t xml:space="preserve">This distinction between instance identity and contract identity is essential. Repetition does not mean the architecture contains one block that is somehow in three places at once. It means three contained instances conform to one declared block interface. A defect or observation attached to block 01 therefore does not automatically become a record about block 00 or block 02, even though all three share a design.</w:t>
      </w:r>
    </w:p>
    <w:p>
      <w:pPr>
        <w:pStyle w:val="BodyText"/>
      </w:pPr>
      <w:r>
        <w:t xml:space="preserve">The stack owns hidden-row input and output boundaries plus the shared block contract. It does not own the system’s token-ID input, and it does not expose one head’s normalized row as a stack interface. Scale limits what is visible because ownership limits what belongs at that boundary.</w:t>
      </w:r>
    </w:p>
    <w:p>
      <w:pPr>
        <w:pStyle w:val="Heading2"/>
      </w:pPr>
      <w:bookmarkStart w:id="241" w:name="Xfe51faa73ce28c9e12205deeab2aefcbf0220f3"/>
      <w:r>
        <w:t xml:space="preserve">Block Scale: The Local Assembly</w:t>
      </w:r>
      <w:bookmarkEnd w:id="241"/>
    </w:p>
    <w:p>
      <w:pPr>
        <w:pStyle w:val="FirstParagraph"/>
      </w:pPr>
      <w:r>
        <w:t xml:space="preserve">The selected block is block 01. Its direct children are attention, first residual plus normalization, feed-forward, and second residual plus normalization. Its boundary exposes hidden rows entering and leaving the block.</w:t>
      </w:r>
    </w:p>
    <w:p>
      <w:pPr>
        <w:pStyle w:val="BodyText"/>
      </w:pPr>
      <w:r>
        <w:t xml:space="preserve">Chapter 11 established why these interfaces must remain distinct. Chapter 14 does not repeat its projection matrices, attention coefficients, residual equations, normalization statistics, or component-removal arithmetic. The inherited result is architectural: attention is one sublayer in a larger block assembly, and the surrounding interfaces cannot be discarded when naming the block.</w:t>
      </w:r>
    </w:p>
    <w:p>
      <w:pPr>
        <w:pStyle w:val="BodyText"/>
      </w:pPr>
      <w:r>
        <w:t xml:space="preserve">At this scale, the important fact is containment. The block contains an attention child and a feed-forward child. It also contains the two residual/normalization boundaries that organize their relation to the block path. The selected attention child is therefore neither a sibling of the complete system nor a replacement for the block. It has a parent with additional owned interfaces.</w:t>
      </w:r>
    </w:p>
    <w:p>
      <w:pPr>
        <w:pStyle w:val="Heading2"/>
      </w:pPr>
      <w:bookmarkStart w:id="242" w:name="Xe849076e9ee518dbb6dc3e178e864f371507bb0"/>
      <w:r>
        <w:t xml:space="preserve">Operation Scale: Attention as Selected Detail</w:t>
      </w:r>
      <w:bookmarkEnd w:id="242"/>
    </w:p>
    <w:p>
      <w:pPr>
        <w:pStyle w:val="FirstParagraph"/>
      </w:pPr>
      <w:r>
        <w:t xml:space="preserve">The final view selects the attention operation inside block 01. It exposes Q, K, and V projections; scaled-score formation; softmax-normalized rows; value combination; and output projection. Its hidden-row entry and exit remain operation-owned boundaries.</w:t>
      </w:r>
    </w:p>
    <w:p>
      <w:pPr>
        <w:pStyle w:val="BodyText"/>
      </w:pPr>
      <w:r>
        <w:t xml:space="preserve">This is the narrowest view, not the deepest explanation. More local detail can reveal how an operation is structured while hiding everything outside its scope. The operation view cannot show the feed-forward sublayer beside it, the other blocks in the stack, or the complete system boundary. Precision and completeness are different properties.</w:t>
      </w:r>
    </w:p>
    <w:p>
      <w:pPr>
        <w:pStyle w:val="BodyText"/>
      </w:pPr>
      <w:r>
        <w:t xml:space="preserve">That point matters especially for attention records. A normalized attention row can be exact about one head and one query position. It can still be radically incomplete as an account of the block or system. The row records selected numerical relation within one operation; it does not carry every interface through which the architecture receives input and produces output.</w:t>
      </w:r>
    </w:p>
    <w:p>
      <w:pPr>
        <w:pStyle w:val="CaptionedFigure"/>
      </w:pPr>
      <w:r>
        <w:drawing>
          <wp:inline>
            <wp:extent cx="5334000" cy="3378200"/>
            <wp:effectExtent b="0" l="0" r="0" t="0"/>
            <wp:docPr descr="One Architecture, Four Scales" title="" id="1" name="Picture"/>
            <a:graphic>
              <a:graphicData uri="http://schemas.openxmlformats.org/drawingml/2006/picture">
                <pic:pic>
                  <pic:nvPicPr>
                    <pic:cNvPr descr="../visuals/chapter_14_one_architecture_four_scales.svg" id="0" name="Picture"/>
                    <pic:cNvPicPr>
                      <a:picLocks noChangeArrowheads="1" noChangeAspect="1"/>
                    </pic:cNvPicPr>
                  </pic:nvPicPr>
                  <pic:blipFill>
                    <a:blip r:embed="rId243"/>
                    <a:stretch>
                      <a:fillRect/>
                    </a:stretch>
                  </pic:blipFill>
                  <pic:spPr bwMode="auto">
                    <a:xfrm>
                      <a:off x="0" y="0"/>
                      <a:ext cx="5334000" cy="3378200"/>
                    </a:xfrm>
                    <a:prstGeom prst="rect">
                      <a:avLst/>
                    </a:prstGeom>
                    <a:noFill/>
                    <a:ln w="9525">
                      <a:noFill/>
                      <a:headEnd/>
                      <a:tailEnd/>
                    </a:ln>
                  </pic:spPr>
                </pic:pic>
              </a:graphicData>
            </a:graphic>
          </wp:inline>
        </w:drawing>
      </w:r>
    </w:p>
    <w:p>
      <w:pPr>
        <w:pStyle w:val="ImageCaption"/>
      </w:pPr>
      <w:r>
        <w:t xml:space="preserve">One Architecture, Four Scales</w:t>
      </w:r>
    </w:p>
    <w:p>
      <w:pPr>
        <w:pStyle w:val="BodyText"/>
      </w:pPr>
      <w:r>
        <w:rPr>
          <w:i/>
        </w:rPr>
        <w:t xml:space="preserve">The same architecture ID appears at system, stack, block, and operation scales. Dashed connectors indicate containment and selected zoom, not runtime order. The subordinate control shows why one attention row cannot stand in for the whole system.</w:t>
      </w:r>
    </w:p>
    <w:p>
      <w:pPr>
        <w:pStyle w:val="Heading2"/>
      </w:pPr>
      <w:bookmarkStart w:id="244" w:name="Xe265c6d53c183ca3b3e43a1fd484a2609bfb108"/>
      <w:r>
        <w:t xml:space="preserve">Exact Containment, Not a Suggestive Nesting</w:t>
      </w:r>
      <w:bookmarkEnd w:id="244"/>
    </w:p>
    <w:p>
      <w:pPr>
        <w:pStyle w:val="FirstParagraph"/>
      </w:pPr>
      <w:r>
        <w:t xml:space="preserve">The probe does more than draw boxes inside boxes. It declares the exact parent-child edge set and compares it with an independently specified expected tuple.</w:t>
      </w:r>
    </w:p>
    <w:p>
      <w:pPr>
        <w:pStyle w:val="BodyText"/>
      </w:pPr>
      <w:r>
        <w:t xml:space="preserve">The system has exactly one stack child. The stack has exactly three block children. Selected block 01 has exactly four named children. Its attention child has exactly five named operation components. A graph traversal then verifies that no containment cycle exists.</w:t>
      </w:r>
    </w:p>
    <w:p>
      <w:pPr>
        <w:pStyle w:val="BodyText"/>
      </w:pPr>
      <w:r>
        <w:t xml:space="preserve">The selected path is exact:</w:t>
      </w:r>
    </w:p>
    <w:p>
      <w:pPr>
        <w:pStyle w:val="SourceCode"/>
      </w:pPr>
      <w:r>
        <w:rPr>
          <w:rStyle w:val="VerbatimChar"/>
        </w:rPr>
        <w:t xml:space="preserve">system contains stack</w:t>
      </w:r>
      <w:r>
        <w:br/>
      </w:r>
      <w:r>
        <w:rPr>
          <w:rStyle w:val="VerbatimChar"/>
        </w:rPr>
        <w:t xml:space="preserve">stack contains block 01</w:t>
      </w:r>
      <w:r>
        <w:br/>
      </w:r>
      <w:r>
        <w:rPr>
          <w:rStyle w:val="VerbatimChar"/>
        </w:rPr>
        <w:t xml:space="preserve">block 01 contains attention</w:t>
      </w:r>
    </w:p>
    <w:p>
      <w:pPr>
        <w:pStyle w:val="FirstParagraph"/>
      </w:pPr>
      <w:r>
        <w:t xml:space="preserve">No child can contain one of its ancestors. No unlisted edge can quietly make an attention component a direct child of the system. Exactness prevents a diagram’s visual proximity from becoming an accidental architectural claim.</w:t>
      </w:r>
    </w:p>
    <w:p>
      <w:pPr>
        <w:pStyle w:val="Heading2"/>
      </w:pPr>
      <w:bookmarkStart w:id="245" w:name="X1d6062dbc575e167cb43f5cd11c6bc7f4a72d4b"/>
      <w:r>
        <w:t xml:space="preserve">Containment Is Not Execution Order</w:t>
      </w:r>
      <w:bookmarkEnd w:id="245"/>
    </w:p>
    <w:p>
      <w:pPr>
        <w:pStyle w:val="FirstParagraph"/>
      </w:pPr>
      <w:r>
        <w:t xml:space="preserve">The four views are arranged from broad to narrow because that is a useful reading sequence. That arrangement must not be read as a runtime schedule.</w:t>
      </w:r>
    </w:p>
    <w:p>
      <w:pPr>
        <w:pStyle w:val="BodyText"/>
      </w:pPr>
      <w:r>
        <w:t xml:space="preserve">Containment answers</w:t>
      </w:r>
      <w:r>
        <w:t xml:space="preserve"> </w:t>
      </w:r>
      <w:r>
        <w:t xml:space="preserve">“</w:t>
      </w:r>
      <w:r>
        <w:t xml:space="preserve">which object owns this component?</w:t>
      </w:r>
      <w:r>
        <w:t xml:space="preserve">”</w:t>
      </w:r>
      <w:r>
        <w:t xml:space="preserve"> </w:t>
      </w:r>
      <w:r>
        <w:t xml:space="preserve">Execution order answers</w:t>
      </w:r>
      <w:r>
        <w:t xml:space="preserve"> </w:t>
      </w:r>
      <w:r>
        <w:t xml:space="preserve">“</w:t>
      </w:r>
      <w:r>
        <w:t xml:space="preserve">which operation acts next for a particular request?</w:t>
      </w:r>
      <w:r>
        <w:t xml:space="preserve">”</w:t>
      </w:r>
      <w:r>
        <w:t xml:space="preserve"> </w:t>
      </w:r>
      <w:r>
        <w:t xml:space="preserve">Those are different relations. The probe’s containment edges contain only parent and child identifiers. They include no execution field. The visual reinforces the distinction with dashed, unarrowed zoom connectors and a footer stating that left-to-right placement is not runtime order.</w:t>
      </w:r>
    </w:p>
    <w:p>
      <w:pPr>
        <w:pStyle w:val="BodyText"/>
      </w:pPr>
      <w:r>
        <w:t xml:space="preserve">This chapter can say that a stack contains positionally identified blocks without following a representation through them. It can say that a block contains several sublayers without recording activation values at their boundaries. The architectural declaration prepares an execution trace; it does not perform one.</w:t>
      </w:r>
    </w:p>
    <w:p>
      <w:pPr>
        <w:pStyle w:val="Heading2"/>
      </w:pPr>
      <w:bookmarkStart w:id="246" w:name="X08f262fd7d53fc2ec9f10621526b1e5189bcc9c"/>
      <w:r>
        <w:t xml:space="preserve">Control: One Attention Row Claims the System</w:t>
      </w:r>
      <w:bookmarkEnd w:id="246"/>
    </w:p>
    <w:p>
      <w:pPr>
        <w:pStyle w:val="FirstParagraph"/>
      </w:pPr>
      <w:r>
        <w:t xml:space="preserve">The control creates one record named</w:t>
      </w:r>
      <w:r>
        <w:t xml:space="preserve"> </w:t>
      </w:r>
      <w:r>
        <w:rPr>
          <w:rStyle w:val="VerbatimChar"/>
        </w:rPr>
        <w:t xml:space="preserve">attention.row.block.01.head.00.query.07</w:t>
      </w:r>
      <w:r>
        <w:t xml:space="preserve">. It preserves the architecture ID and exposes</w:t>
      </w:r>
      <w:r>
        <w:t xml:space="preserve"> </w:t>
      </w:r>
      <w:r>
        <w:rPr>
          <w:rStyle w:val="VerbatimChar"/>
        </w:rPr>
        <w:t xml:space="preserve">attention.normalized_rows</w:t>
      </w:r>
      <w:r>
        <w:t xml:space="preserve">. It then presents that operation record as a candidate for the whole-system view.</w:t>
      </w:r>
    </w:p>
    <w:p>
      <w:pPr>
        <w:pStyle w:val="BodyText"/>
      </w:pPr>
      <w:r>
        <w:t xml:space="preserve">Validation rejects it with:</w:t>
      </w:r>
    </w:p>
    <w:p>
      <w:pPr>
        <w:pStyle w:val="SourceCode"/>
      </w:pPr>
      <w:r>
        <w:rPr>
          <w:rStyle w:val="VerbatimChar"/>
        </w:rPr>
        <w:t xml:space="preserve">INCOMPLETE_SCOPE_MISSING_INTERFACES</w:t>
      </w:r>
    </w:p>
    <w:p>
      <w:pPr>
        <w:pStyle w:val="FirstParagraph"/>
      </w:pPr>
      <w:r>
        <w:t xml:space="preserve">Two failures are explicit. First, the candidate declares</w:t>
      </w:r>
      <w:r>
        <w:t xml:space="preserve"> </w:t>
      </w:r>
      <w:r>
        <w:rPr>
          <w:rStyle w:val="VerbatimChar"/>
        </w:rPr>
        <w:t xml:space="preserve">operation_record</w:t>
      </w:r>
      <w:r>
        <w:t xml:space="preserve"> </w:t>
      </w:r>
      <w:r>
        <w:t xml:space="preserve">scope rather than</w:t>
      </w:r>
      <w:r>
        <w:t xml:space="preserve"> </w:t>
      </w:r>
      <w:r>
        <w:rPr>
          <w:rStyle w:val="VerbatimChar"/>
        </w:rPr>
        <w:t xml:space="preserve">system</w:t>
      </w:r>
      <w:r>
        <w:t xml:space="preserve"> </w:t>
      </w:r>
      <w:r>
        <w:t xml:space="preserve">scope. Second, it lacks both required system interfaces: token IDs in and logits out.</w:t>
      </w:r>
    </w:p>
    <w:p>
      <w:pPr>
        <w:pStyle w:val="BodyText"/>
      </w:pPr>
      <w:r>
        <w:t xml:space="preserve">The rejection is stronger than saying</w:t>
      </w:r>
      <w:r>
        <w:t xml:space="preserve"> </w:t>
      </w:r>
      <w:r>
        <w:t xml:space="preserve">“</w:t>
      </w:r>
      <w:r>
        <w:t xml:space="preserve">attention is not everything.</w:t>
      </w:r>
      <w:r>
        <w:t xml:space="preserve">”</w:t>
      </w:r>
      <w:r>
        <w:t xml:space="preserve"> </w:t>
      </w:r>
      <w:r>
        <w:t xml:space="preserve">It states exactly what the candidate is and exactly which system requirements it cannot satisfy. Carrying the same architecture ID does not enlarge its scope. Being numerically complete as one row would not provide the missing interfaces.</w:t>
      </w:r>
    </w:p>
    <w:p>
      <w:pPr>
        <w:pStyle w:val="BodyText"/>
      </w:pPr>
      <w:r>
        <w:t xml:space="preserve">The control also places a boundary around interpretation. Nothing in the row establishes semantic meaning, causal explanation, model reasoning, or complete system behavior. The probe rejects scope substitution; it does not attempt to settle broader interpretability questions.</w:t>
      </w:r>
    </w:p>
    <w:p>
      <w:pPr>
        <w:pStyle w:val="Heading2"/>
      </w:pPr>
      <w:bookmarkStart w:id="247" w:name="chapter-14-what-the-four-views-establish"/>
      <w:r>
        <w:t xml:space="preserve">What the Four Views Establish</w:t>
      </w:r>
      <w:bookmarkEnd w:id="247"/>
    </w:p>
    <w:p>
      <w:pPr>
        <w:pStyle w:val="FirstParagraph"/>
      </w:pPr>
      <w:r>
        <w:t xml:space="preserve">The verified fixture supports a bounded set of conclusions. One architecture identity survives all four selections. Parent-child containment is exact and acyclic. Three repeated blocks have distinct instance IDs while sharing one contract. Fixed dimensions agree across head, model, and feed-forward declarations. Every visible interface belongs to one scale in the fixture. The attention-row control fails for explicit scope and interface reasons. A second construction serializes identically, and two command-line runs produce the same deterministic JSON.</w:t>
      </w:r>
    </w:p>
    <w:p>
      <w:pPr>
        <w:pStyle w:val="BodyText"/>
      </w:pPr>
      <w:r>
        <w:t xml:space="preserve">The evidence does not show how a request runs. It records no tokenization, intermediate activation, next-token selection, or decoding. It does not benchmark latency or throughput, and it does not measure context, compute, or data constraints. Those exclusions are ownership boundaries between chapters, just as the interface sets are ownership boundaries between scales.</w:t>
      </w:r>
    </w:p>
    <w:p>
      <w:pPr>
        <w:pStyle w:val="Heading2"/>
      </w:pPr>
      <w:bookmarkStart w:id="248" w:name="chapter-14-two-exact-handoffs"/>
      <w:r>
        <w:t xml:space="preserve">Two Exact Handoffs</w:t>
      </w:r>
      <w:bookmarkEnd w:id="248"/>
    </w:p>
    <w:p>
      <w:pPr>
        <w:pStyle w:val="FirstParagraph"/>
      </w:pPr>
      <w:r>
        <w:t xml:space="preserve">The architecture exposes exactly two outgoing dependency edges:</w:t>
      </w:r>
    </w:p>
    <w:p>
      <w:pPr>
        <w:pStyle w:val="SourceCode"/>
      </w:pPr>
      <w:r>
        <w:rPr>
          <w:rStyle w:val="VerbatimChar"/>
        </w:rPr>
        <w:t xml:space="preserve">convergence.architecture -&gt; convergence.execution</w:t>
      </w:r>
      <w:r>
        <w:br/>
      </w:r>
      <w:r>
        <w:rPr>
          <w:rStyle w:val="VerbatimChar"/>
        </w:rPr>
        <w:t xml:space="preserve">convergence.architecture -&gt; convergence.limits</w:t>
      </w:r>
    </w:p>
    <w:p>
      <w:pPr>
        <w:pStyle w:val="FirstParagraph"/>
      </w:pPr>
      <w:r>
        <w:t xml:space="preserve">The first gives Chapter 15 a declared object through which to trace one representation in execution order. The second gives Chapter 16 the same declared object whose constraint envelope can be measured. Neither later task is smuggled into this chapter.</w:t>
      </w:r>
    </w:p>
    <w:p>
      <w:pPr>
        <w:pStyle w:val="BodyText"/>
      </w:pPr>
      <w:r>
        <w:t xml:space="preserve">Architecture in full does not mean every possible fact about the system at once. It means the boundaries are complete enough that changing scale does not change identity, selected detail does not impersonate its container, and later investigations know exactly which object they inherit.</w:t>
      </w:r>
    </w:p>
    <w:p>
      <w:pPr>
        <w:pStyle w:val="Heading2"/>
      </w:pPr>
      <w:bookmarkStart w:id="249" w:name="chapter-14-sources-and-evidence"/>
      <w:r>
        <w:t xml:space="preserve">Sources and Evidence</w:t>
      </w:r>
      <w:bookmarkEnd w:id="249"/>
    </w:p>
    <w:p>
      <w:pPr>
        <w:pStyle w:val="FirstParagraph"/>
      </w:pPr>
      <w:r>
        <w:t xml:space="preserve">The bounded architecture claims and prohibited inferences are documented in the</w:t>
      </w:r>
      <w:r>
        <w:t xml:space="preserve"> </w:t>
      </w:r>
      <w:hyperlink r:id="rId250">
        <w:r>
          <w:rPr>
            <w:rStyle w:val="Hyperlink"/>
          </w:rPr>
          <w:t xml:space="preserve">Chapter 14 source ledger</w:t>
        </w:r>
      </w:hyperlink>
      <w:r>
        <w:t xml:space="preserve">. Exact records, containment checks, controls, deterministic checksum, and dependency edges are documented in the</w:t>
      </w:r>
      <w:r>
        <w:t xml:space="preserve"> </w:t>
      </w:r>
      <w:hyperlink r:id="rId251">
        <w:r>
          <w:rPr>
            <w:rStyle w:val="Hyperlink"/>
          </w:rPr>
          <w:t xml:space="preserve">four-scales probe</w:t>
        </w:r>
      </w:hyperlink>
      <w:r>
        <w:t xml:space="preserve">, with the</w:t>
      </w:r>
      <w:r>
        <w:t xml:space="preserve"> </w:t>
      </w:r>
      <w:hyperlink r:id="rId252">
        <w:r>
          <w:rPr>
            <w:rStyle w:val="Hyperlink"/>
          </w:rPr>
          <w:t xml:space="preserve">Python implementation</w:t>
        </w:r>
      </w:hyperlink>
      <w:r>
        <w:t xml:space="preserve">. Visual provenance, accessibility text, checksum, and production tests are recorded with</w:t>
      </w:r>
      <w:r>
        <w:t xml:space="preserve"> </w:t>
      </w:r>
      <w:hyperlink r:id="rId253">
        <w:r>
          <w:rPr>
            <w:rStyle w:val="Hyperlink"/>
          </w:rPr>
          <w:t xml:space="preserve">One Architecture, Four Scales</w:t>
        </w:r>
      </w:hyperlink>
      <w:r>
        <w:t xml:space="preserve">.</w:t>
      </w:r>
    </w:p>
    <w:p>
      <w:pPr>
        <w:pStyle w:val="Heading1"/>
      </w:pPr>
      <w:bookmarkStart w:id="254" w:name="chapter-15"/>
      <w:r>
        <w:t xml:space="preserve">Chapter 15 — A Token Through the Machine</w:t>
      </w:r>
      <w:bookmarkEnd w:id="254"/>
    </w:p>
    <w:p>
      <w:pPr>
        <w:pStyle w:val="FirstParagraph"/>
      </w:pPr>
      <w:r>
        <w:t xml:space="preserve">Chapter 14 held one architecture still and inspected its boundaries at four scales. System contained stack, stack contained blocks, and one block contained attention, residual pathways, normalization, and feed-forward computation. Those containment relations answered what owns what. They did not answer what happens next when a request arrives.</w:t>
      </w:r>
    </w:p>
    <w:p>
      <w:pPr>
        <w:pStyle w:val="BodyText"/>
      </w:pPr>
      <w:r>
        <w:t xml:space="preserve">Execution asks a different question. A representation must be accepted at one boundary, transformed, checked, and handed to the next operation. The order matters because later values do not exist before earlier operations produce them. This chapter follows one tiny request through that sequence. The aim is not to imitate the scale or behavior of a production language model. It is to make every handoff inspectable.</w:t>
      </w:r>
    </w:p>
    <w:p>
      <w:pPr>
        <w:pStyle w:val="Heading2"/>
      </w:pPr>
      <w:bookmarkStart w:id="255" w:name="chapter-15-a-fixture-small-enough-to-see"/>
      <w:r>
        <w:t xml:space="preserve">A Fixture Small Enough to See</w:t>
      </w:r>
      <w:bookmarkEnd w:id="255"/>
    </w:p>
    <w:p>
      <w:pPr>
        <w:pStyle w:val="FirstParagraph"/>
      </w:pPr>
      <w:r>
        <w:t xml:space="preserve">The request is fixed:</w:t>
      </w:r>
    </w:p>
    <w:p>
      <w:pPr>
        <w:pStyle w:val="SourceCode"/>
      </w:pPr>
      <w:r>
        <w:rPr>
          <w:rStyle w:val="VerbatimChar"/>
        </w:rPr>
        <w:t xml:space="preserve">small models run</w:t>
      </w:r>
    </w:p>
    <w:p>
      <w:pPr>
        <w:pStyle w:val="FirstParagraph"/>
      </w:pPr>
      <w:r>
        <w:t xml:space="preserve">The vocabulary is also fixed, in ID order:</w:t>
      </w:r>
    </w:p>
    <w:p>
      <w:pPr>
        <w:pStyle w:val="SourceCode"/>
      </w:pPr>
      <w:r>
        <w:rPr>
          <w:rStyle w:val="VerbatimChar"/>
        </w:rPr>
        <w:t xml:space="preserve">0 &lt;unk&gt;</w:t>
      </w:r>
      <w:r>
        <w:br/>
      </w:r>
      <w:r>
        <w:rPr>
          <w:rStyle w:val="VerbatimChar"/>
        </w:rPr>
        <w:t xml:space="preserve">1 small</w:t>
      </w:r>
      <w:r>
        <w:br/>
      </w:r>
      <w:r>
        <w:rPr>
          <w:rStyle w:val="VerbatimChar"/>
        </w:rPr>
        <w:t xml:space="preserve">2 models</w:t>
      </w:r>
      <w:r>
        <w:br/>
      </w:r>
      <w:r>
        <w:rPr>
          <w:rStyle w:val="VerbatimChar"/>
        </w:rPr>
        <w:t xml:space="preserve">3 run</w:t>
      </w:r>
      <w:r>
        <w:br/>
      </w:r>
      <w:r>
        <w:rPr>
          <w:rStyle w:val="VerbatimChar"/>
        </w:rPr>
        <w:t xml:space="preserve">4 clear</w:t>
      </w:r>
      <w:r>
        <w:br/>
      </w:r>
      <w:r>
        <w:rPr>
          <w:rStyle w:val="VerbatimChar"/>
        </w:rPr>
        <w:t xml:space="preserve">5 steps</w:t>
      </w:r>
    </w:p>
    <w:p>
      <w:pPr>
        <w:pStyle w:val="FirstParagraph"/>
      </w:pPr>
      <w:r>
        <w:t xml:space="preserve">Whitespace splitting after lowercase conversion produces three tokens. A token absent from this vocabulary would map to ID 0,</w:t>
      </w:r>
      <w:r>
        <w:t xml:space="preserve"> </w:t>
      </w:r>
      <w:r>
        <w:rPr>
          <w:rStyle w:val="VerbatimChar"/>
        </w:rPr>
        <w:t xml:space="preserve">&lt;unk&gt;</w:t>
      </w:r>
      <w:r>
        <w:t xml:space="preserve">. No unknown appears here, so lookup produces</w:t>
      </w:r>
      <w:r>
        <w:t xml:space="preserve"> </w:t>
      </w:r>
      <w:r>
        <w:rPr>
          <w:rStyle w:val="VerbatimChar"/>
        </w:rPr>
        <w:t xml:space="preserve">[1, 2, 3]</w:t>
      </w:r>
      <w:r>
        <w:t xml:space="preserve">.</w:t>
      </w:r>
    </w:p>
    <w:p>
      <w:pPr>
        <w:pStyle w:val="BodyText"/>
      </w:pPr>
      <w:r>
        <w:t xml:space="preserve">This first change already demonstrates why representation handoffs need contracts. Text is a scalar string for the trace record. Tokenization produces a length-three sequence of strings. Vocabulary lookup preserves sequence length but changes the contents to integer identifiers. The identifiers are not miniature words. They are addresses into fixed numerical rows.</w:t>
      </w:r>
    </w:p>
    <w:p>
      <w:pPr>
        <w:pStyle w:val="BodyText"/>
      </w:pPr>
      <w:r>
        <w:t xml:space="preserve">The fixture has three positions, model width four, feed-forward width five, and vocabulary size six. Each token ID selects one width-four embedding. Each sequence position selects one width-four positional row. Coordinatewise addition gives the block input:</w:t>
      </w:r>
    </w:p>
    <w:p>
      <w:pPr>
        <w:pStyle w:val="SourceCode"/>
      </w:pPr>
      <w:r>
        <w:rPr>
          <w:rStyle w:val="VerbatimChar"/>
        </w:rPr>
        <w:t xml:space="preserve">[[ 0.2, 0.0,  0.4, 0.4],</w:t>
      </w:r>
      <w:r>
        <w:br/>
      </w:r>
      <w:r>
        <w:rPr>
          <w:rStyle w:val="VerbatimChar"/>
        </w:rPr>
        <w:t xml:space="preserve"> [-0.2, 0.5,  0.2,-0.2],</w:t>
      </w:r>
      <w:r>
        <w:br/>
      </w:r>
      <w:r>
        <w:rPr>
          <w:rStyle w:val="VerbatimChar"/>
        </w:rPr>
        <w:t xml:space="preserve"> [ 0.4, 0.1, -0.1, 0.1]]</w:t>
      </w:r>
    </w:p>
    <w:p>
      <w:pPr>
        <w:pStyle w:val="FirstParagraph"/>
      </w:pPr>
      <w:r>
        <w:t xml:space="preserve">The shape has changed from</w:t>
      </w:r>
      <w:r>
        <w:t xml:space="preserve"> </w:t>
      </w:r>
      <w:r>
        <w:rPr>
          <w:rStyle w:val="VerbatimChar"/>
        </w:rPr>
        <w:t xml:space="preserve">[3]</w:t>
      </w:r>
      <w:r>
        <w:t xml:space="preserve"> </w:t>
      </w:r>
      <w:r>
        <w:t xml:space="preserve">IDs to</w:t>
      </w:r>
      <w:r>
        <w:t xml:space="preserve"> </w:t>
      </w:r>
      <w:r>
        <w:rPr>
          <w:rStyle w:val="VerbatimChar"/>
        </w:rPr>
        <w:t xml:space="preserve">[3,4]</w:t>
      </w:r>
      <w:r>
        <w:t xml:space="preserve"> </w:t>
      </w:r>
      <w:r>
        <w:t xml:space="preserve">numerical rows. Three embedding lookups and twelve additions are recorded. The resulting matrix also receives a stable SHA-256 digest, allowing the complete value to be compared without requiring every later summary to print every coordinate.</w:t>
      </w:r>
    </w:p>
    <w:p>
      <w:pPr>
        <w:pStyle w:val="Heading2"/>
      </w:pPr>
      <w:bookmarkStart w:id="256" w:name="chapter-15-the-gate-before-the-block"/>
      <w:r>
        <w:t xml:space="preserve">The Gate Before the Block</w:t>
      </w:r>
      <w:bookmarkEnd w:id="256"/>
    </w:p>
    <w:p>
      <w:pPr>
        <w:pStyle w:val="FirstParagraph"/>
      </w:pPr>
      <w:r>
        <w:t xml:space="preserve">Before attention performs a multiplication, the block-input gate compares the received shape with</w:t>
      </w:r>
      <w:r>
        <w:t xml:space="preserve"> </w:t>
      </w:r>
      <w:r>
        <w:rPr>
          <w:rStyle w:val="VerbatimChar"/>
        </w:rPr>
        <w:t xml:space="preserve">[3,4]</w:t>
      </w:r>
      <w:r>
        <w:t xml:space="preserve">. The normal path matches and is accepted.</w:t>
      </w:r>
    </w:p>
    <w:p>
      <w:pPr>
        <w:pStyle w:val="BodyText"/>
      </w:pPr>
      <w:r>
        <w:t xml:space="preserve">That gate is not decorative validation after the fact. The projection matrices expect rows of width four. If a row of another width entered the matrix arithmetic, either the operation would be undefined for the fixture or some unrelated language behavior could obscure where the contract was first broken. Validation names the boundary at which responsibility changes.</w:t>
      </w:r>
    </w:p>
    <w:p>
      <w:pPr>
        <w:pStyle w:val="BodyText"/>
      </w:pPr>
      <w:r>
        <w:t xml:space="preserve">This is the point where Chapter 14’s architecture becomes Chapter 15’s execution. Architecture declared a block with hidden rows in and hidden rows out. Execution supplies a concrete</w:t>
      </w:r>
      <w:r>
        <w:t xml:space="preserve"> </w:t>
      </w:r>
      <w:r>
        <w:rPr>
          <w:rStyle w:val="VerbatimChar"/>
        </w:rPr>
        <w:t xml:space="preserve">[3,4]</w:t>
      </w:r>
      <w:r>
        <w:t xml:space="preserve"> </w:t>
      </w:r>
      <w:r>
        <w:t xml:space="preserve">value to that input and records acceptance before use.</w:t>
      </w:r>
    </w:p>
    <w:p>
      <w:pPr>
        <w:pStyle w:val="Heading2"/>
      </w:pPr>
      <w:bookmarkStart w:id="257" w:name="chapter-15-one-block-in-runtime-order"/>
      <w:r>
        <w:t xml:space="preserve">One Block in Runtime Order</w:t>
      </w:r>
      <w:bookmarkEnd w:id="257"/>
    </w:p>
    <w:p>
      <w:pPr>
        <w:pStyle w:val="FirstParagraph"/>
      </w:pPr>
      <w:r>
        <w:t xml:space="preserve">The accepted rows enter one fixed Transformer block. Its order is attention, first residual plus normalization, feed-forward computation, and second residual plus normalization. This is a post-normalization fixture with fixed matrices and no learned activity during execution.</w:t>
      </w:r>
    </w:p>
    <w:p>
      <w:pPr>
        <w:pStyle w:val="BodyText"/>
      </w:pPr>
      <w:r>
        <w:t xml:space="preserve">Attention first projects all three input rows into queries, keys, and values. It computes scaled query-key scores, applies softmax to each score row, combines value rows, and applies an output projection. The recorded attention output has shape</w:t>
      </w:r>
      <w:r>
        <w:t xml:space="preserve"> </w:t>
      </w:r>
      <w:r>
        <w:rPr>
          <w:rStyle w:val="VerbatimChar"/>
        </w:rPr>
        <w:t xml:space="preserve">[3,4]</w:t>
      </w:r>
      <w:r>
        <w:t xml:space="preserve"> </w:t>
      </w:r>
      <w:r>
        <w:t xml:space="preserve">and digest prefix</w:t>
      </w:r>
      <w:r>
        <w:t xml:space="preserve"> </w:t>
      </w:r>
      <w:r>
        <w:rPr>
          <w:rStyle w:val="VerbatimChar"/>
        </w:rPr>
        <w:t xml:space="preserve">a217a4333f</w:t>
      </w:r>
      <w:r>
        <w:t xml:space="preserve">.</w:t>
      </w:r>
    </w:p>
    <w:p>
      <w:pPr>
        <w:pStyle w:val="BodyText"/>
      </w:pPr>
      <w:r>
        <w:t xml:space="preserve">The work record inventories 264 multiplications, 195 additions, and nine exponentials. These counts follow from the actual loop dimensions in this fixture. They are not durations. An exponential is not assigned a fictional number of nanoseconds, and a Python operation count is not translated into processor instructions or device kernels.</w:t>
      </w:r>
    </w:p>
    <w:p>
      <w:pPr>
        <w:pStyle w:val="BodyText"/>
      </w:pPr>
      <w:r>
        <w:t xml:space="preserve">The first residual stage pairs two</w:t>
      </w:r>
      <w:r>
        <w:t xml:space="preserve"> </w:t>
      </w:r>
      <w:r>
        <w:rPr>
          <w:rStyle w:val="VerbatimChar"/>
        </w:rPr>
        <w:t xml:space="preserve">[3,4]</w:t>
      </w:r>
      <w:r>
        <w:t xml:space="preserve"> </w:t>
      </w:r>
      <w:r>
        <w:t xml:space="preserve">inputs: the block input and projected attention. Twelve coordinate additions form the residual rows. Layer normalization then operates across each width-four row using the declared epsilon-stabilized mean and variance formula. The output remains</w:t>
      </w:r>
      <w:r>
        <w:t xml:space="preserve"> </w:t>
      </w:r>
      <w:r>
        <w:rPr>
          <w:rStyle w:val="VerbatimChar"/>
        </w:rPr>
        <w:t xml:space="preserve">[3,4]</w:t>
      </w:r>
      <w:r>
        <w:t xml:space="preserve">, with digest prefix</w:t>
      </w:r>
      <w:r>
        <w:t xml:space="preserve"> </w:t>
      </w:r>
      <w:r>
        <w:rPr>
          <w:rStyle w:val="VerbatimChar"/>
        </w:rPr>
        <w:t xml:space="preserve">dff2601203</w:t>
      </w:r>
      <w:r>
        <w:t xml:space="preserve">.</w:t>
      </w:r>
    </w:p>
    <w:p>
      <w:pPr>
        <w:pStyle w:val="BodyText"/>
      </w:pPr>
      <w:r>
        <w:t xml:space="preserve">Next, the positionwise feed-forward operation maps each width-four row to width five, adds a bias, applies ReLU, maps back to width four, and adds a second bias. Across three positions, its record contains 120 multiplications, 27 bias additions, and 15 ReLU comparisons. The public handoff remains</w:t>
      </w:r>
      <w:r>
        <w:t xml:space="preserve"> </w:t>
      </w:r>
      <w:r>
        <w:rPr>
          <w:rStyle w:val="VerbatimChar"/>
        </w:rPr>
        <w:t xml:space="preserve">[3,4]</w:t>
      </w:r>
      <w:r>
        <w:t xml:space="preserve">; its digest prefix is</w:t>
      </w:r>
      <w:r>
        <w:t xml:space="preserve"> </w:t>
      </w:r>
      <w:r>
        <w:rPr>
          <w:rStyle w:val="VerbatimChar"/>
        </w:rPr>
        <w:t xml:space="preserve">8514b58921</w:t>
      </w:r>
      <w:r>
        <w:t xml:space="preserve">.</w:t>
      </w:r>
    </w:p>
    <w:p>
      <w:pPr>
        <w:pStyle w:val="BodyText"/>
      </w:pPr>
      <w:r>
        <w:t xml:space="preserve">The second residual combines those rows with the first normalized rows and normalizes again. It records twelve residual additions and twelve normalized elements. The block output has shape</w:t>
      </w:r>
      <w:r>
        <w:t xml:space="preserve"> </w:t>
      </w:r>
      <w:r>
        <w:rPr>
          <w:rStyle w:val="VerbatimChar"/>
        </w:rPr>
        <w:t xml:space="preserve">[3,4]</w:t>
      </w:r>
      <w:r>
        <w:t xml:space="preserve"> </w:t>
      </w:r>
      <w:r>
        <w:t xml:space="preserve">and digest prefix</w:t>
      </w:r>
      <w:r>
        <w:t xml:space="preserve"> </w:t>
      </w:r>
      <w:r>
        <w:rPr>
          <w:rStyle w:val="VerbatimChar"/>
        </w:rPr>
        <w:t xml:space="preserve">e241693a93</w:t>
      </w:r>
      <w:r>
        <w:t xml:space="preserve">.</w:t>
      </w:r>
    </w:p>
    <w:p>
      <w:pPr>
        <w:pStyle w:val="BodyText"/>
      </w:pPr>
      <w:r>
        <w:t xml:space="preserve">The digests do not replace arithmetic. The probe computes and retains the concrete rows at every executed stage. Digests provide a stable compact identity for visual and narrative use while the JSON evidence preserves rounded values.</w:t>
      </w:r>
    </w:p>
    <w:p>
      <w:pPr>
        <w:pStyle w:val="CaptionedFigure"/>
      </w:pPr>
      <w:r>
        <w:drawing>
          <wp:inline>
            <wp:extent cx="5334000" cy="3378200"/>
            <wp:effectExtent b="0" l="0" r="0" t="0"/>
            <wp:docPr descr="A Token Through the Machine" title="" id="1" name="Picture"/>
            <a:graphic>
              <a:graphicData uri="http://schemas.openxmlformats.org/drawingml/2006/picture">
                <pic:pic>
                  <pic:nvPicPr>
                    <pic:cNvPr descr="../visuals/chapter_15_token_through_machine.svg" id="0" name="Picture"/>
                    <pic:cNvPicPr>
                      <a:picLocks noChangeArrowheads="1" noChangeAspect="1"/>
                    </pic:cNvPicPr>
                  </pic:nvPicPr>
                  <pic:blipFill>
                    <a:blip r:embed="rId258"/>
                    <a:stretch>
                      <a:fillRect/>
                    </a:stretch>
                  </pic:blipFill>
                  <pic:spPr bwMode="auto">
                    <a:xfrm>
                      <a:off x="0" y="0"/>
                      <a:ext cx="5334000" cy="3378200"/>
                    </a:xfrm>
                    <a:prstGeom prst="rect">
                      <a:avLst/>
                    </a:prstGeom>
                    <a:noFill/>
                    <a:ln w="9525">
                      <a:noFill/>
                      <a:headEnd/>
                      <a:tailEnd/>
                    </a:ln>
                  </pic:spPr>
                </pic:pic>
              </a:graphicData>
            </a:graphic>
          </wp:inline>
        </w:drawing>
      </w:r>
    </w:p>
    <w:p>
      <w:pPr>
        <w:pStyle w:val="ImageCaption"/>
      </w:pPr>
      <w:r>
        <w:t xml:space="preserve">A Token Through the Machine</w:t>
      </w:r>
    </w:p>
    <w:p>
      <w:pPr>
        <w:pStyle w:val="BodyText"/>
      </w:pPr>
      <w:r>
        <w:rPr>
          <w:i/>
        </w:rPr>
        <w:t xml:space="preserve">The fixed request moves through validated representations in runtime order. Values, shapes, and bounded work records remain distinct. The lower control changes only embedding width and stops at the first invalid block handoff.</w:t>
      </w:r>
    </w:p>
    <w:p>
      <w:pPr>
        <w:pStyle w:val="Heading2"/>
      </w:pPr>
      <w:bookmarkStart w:id="259" w:name="chapter-15-from-hidden-row-to-token"/>
      <w:r>
        <w:t xml:space="preserve">From Hidden Row to Token</w:t>
      </w:r>
      <w:bookmarkEnd w:id="259"/>
    </w:p>
    <w:p>
      <w:pPr>
        <w:pStyle w:val="FirstParagraph"/>
      </w:pPr>
      <w:r>
        <w:t xml:space="preserve">After the block, next-token projection uses only the final position. Selecting row three changes shape from</w:t>
      </w:r>
      <w:r>
        <w:t xml:space="preserve"> </w:t>
      </w:r>
      <w:r>
        <w:rPr>
          <w:rStyle w:val="VerbatimChar"/>
        </w:rPr>
        <w:t xml:space="preserve">[3,4]</w:t>
      </w:r>
      <w:r>
        <w:t xml:space="preserve"> </w:t>
      </w:r>
      <w:r>
        <w:t xml:space="preserve">to</w:t>
      </w:r>
      <w:r>
        <w:t xml:space="preserve"> </w:t>
      </w:r>
      <w:r>
        <w:rPr>
          <w:rStyle w:val="VerbatimChar"/>
        </w:rPr>
        <w:t xml:space="preserve">[4]</w:t>
      </w:r>
      <w:r>
        <w:t xml:space="preserve"> </w:t>
      </w:r>
      <w:r>
        <w:t xml:space="preserve">and produces:</w:t>
      </w:r>
    </w:p>
    <w:p>
      <w:pPr>
        <w:pStyle w:val="SourceCode"/>
      </w:pPr>
      <w:r>
        <w:rPr>
          <w:rStyle w:val="VerbatimChar"/>
        </w:rPr>
        <w:t xml:space="preserve">[1.591346871, -0.368589077, -1.151836533, -0.070921261]</w:t>
      </w:r>
    </w:p>
    <w:p>
      <w:pPr>
        <w:pStyle w:val="FirstParagraph"/>
      </w:pPr>
      <w:r>
        <w:t xml:space="preserve">Multiplication by the fixed</w:t>
      </w:r>
      <w:r>
        <w:t xml:space="preserve"> </w:t>
      </w:r>
      <m:oMath>
        <m:r>
          <m:t>4</m:t>
        </m:r>
        <m:r>
          <m:t>×</m:t>
        </m:r>
        <m:r>
          <m:t>6</m:t>
        </m:r>
      </m:oMath>
      <w:r>
        <w:t xml:space="preserve"> </w:t>
      </w:r>
      <w:r>
        <w:t xml:space="preserve">vocabulary matrix produces one logit per vocabulary ID:</w:t>
      </w:r>
    </w:p>
    <w:p>
      <w:pPr>
        <w:pStyle w:val="SourceCode"/>
      </w:pPr>
      <w:r>
        <w:rPr>
          <w:rStyle w:val="VerbatimChar"/>
        </w:rPr>
        <w:t xml:space="preserve">ID 0:  0.285293940</w:t>
      </w:r>
      <w:r>
        <w:br/>
      </w:r>
      <w:r>
        <w:rPr>
          <w:rStyle w:val="VerbatimChar"/>
        </w:rPr>
        <w:t xml:space="preserve">ID 1: -0.522753373</w:t>
      </w:r>
      <w:r>
        <w:br/>
      </w:r>
      <w:r>
        <w:rPr>
          <w:rStyle w:val="VerbatimChar"/>
        </w:rPr>
        <w:t xml:space="preserve">ID 2:  0.887095515</w:t>
      </w:r>
      <w:r>
        <w:br/>
      </w:r>
      <w:r>
        <w:rPr>
          <w:rStyle w:val="VerbatimChar"/>
        </w:rPr>
        <w:t xml:space="preserve">ID 3: -0.307293775</w:t>
      </w:r>
      <w:r>
        <w:br/>
      </w:r>
      <w:r>
        <w:rPr>
          <w:rStyle w:val="VerbatimChar"/>
        </w:rPr>
        <w:t xml:space="preserve">ID 4: -0.946629078</w:t>
      </w:r>
      <w:r>
        <w:br/>
      </w:r>
      <w:r>
        <w:rPr>
          <w:rStyle w:val="VerbatimChar"/>
        </w:rPr>
        <w:t xml:space="preserve">ID 5:  0.082931676</w:t>
      </w:r>
    </w:p>
    <w:p>
      <w:pPr>
        <w:pStyle w:val="FirstParagraph"/>
      </w:pPr>
      <w:r>
        <w:t xml:space="preserve">The projection records 24 multiplications and 18 additions. Again, this is an arithmetic inventory, not a performance result.</w:t>
      </w:r>
    </w:p>
    <w:p>
      <w:pPr>
        <w:pStyle w:val="BodyText"/>
      </w:pPr>
      <w:r>
        <w:t xml:space="preserve">Selection uses deterministic argmax. The declared tie rule chooses the lowest token ID among entries sharing the maximum value. This logit vector has a unique maximum,</w:t>
      </w:r>
      <w:r>
        <w:t xml:space="preserve"> </w:t>
      </w:r>
      <w:r>
        <w:rPr>
          <w:rStyle w:val="VerbatimChar"/>
        </w:rPr>
        <w:t xml:space="preserve">0.887095515</w:t>
      </w:r>
      <w:r>
        <w:t xml:space="preserve">, at ID 2, so the tie rule is not invoked to break an actual tie. Declaring it still closes a source of ambiguity: if equal maxima occurred, reruns would not depend on an unstated convention.</w:t>
      </w:r>
    </w:p>
    <w:p>
      <w:pPr>
        <w:pStyle w:val="BodyText"/>
      </w:pPr>
      <w:r>
        <w:t xml:space="preserve">Vocabulary lookup decodes ID 2 as:</w:t>
      </w:r>
    </w:p>
    <w:p>
      <w:pPr>
        <w:pStyle w:val="SourceCode"/>
      </w:pPr>
      <w:r>
        <w:rPr>
          <w:rStyle w:val="VerbatimChar"/>
        </w:rPr>
        <w:t xml:space="preserve">models</w:t>
      </w:r>
    </w:p>
    <w:p>
      <w:pPr>
        <w:pStyle w:val="FirstParagraph"/>
      </w:pPr>
      <w:r>
        <w:t xml:space="preserve">The output follows exactly from the fixture’s arithmetic and mapping. It is not judged for fluency or semantic appropriateness. The request and weights were selected to make a complete path inspectable, not to establish language quality.</w:t>
      </w:r>
    </w:p>
    <w:p>
      <w:pPr>
        <w:pStyle w:val="Heading2"/>
      </w:pPr>
      <w:bookmarkStart w:id="260" w:name="chapter-15-records-are-not-timings"/>
      <w:r>
        <w:t xml:space="preserve">Records Are Not Timings</w:t>
      </w:r>
      <w:bookmarkEnd w:id="260"/>
    </w:p>
    <w:p>
      <w:pPr>
        <w:pStyle w:val="FirstParagraph"/>
      </w:pPr>
      <w:r>
        <w:t xml:space="preserve">Every one of the twelve stages records order, status, input shape, expected input shape, output shape, expected output shape, shape-validation result, operation category, allocated output elements, a work-count dictionary, and concrete output values or a stable digest.</w:t>
      </w:r>
    </w:p>
    <w:p>
      <w:pPr>
        <w:pStyle w:val="BodyText"/>
      </w:pPr>
      <w:r>
        <w:t xml:space="preserve">Allocated output elements describe how many scalar slots appear in a stage’s returned fixture value. Work counts describe declared arithmetic or lookup actions in the implementation. Neither is elapsed time. They do not report latency, throughput, memory-byte traffic, cache effects, interpreter overhead, vectorization, scheduling, power, or hardware utilization.</w:t>
      </w:r>
    </w:p>
    <w:p>
      <w:pPr>
        <w:pStyle w:val="BodyText"/>
      </w:pPr>
      <w:r>
        <w:t xml:space="preserve">This separation matters because structural work and measured performance answer different questions. The trace can truthfully say that vocabulary projection performs 24 scalar multiplications under its declared loop model. It cannot infer how long a production kernel would take, whether operations execute in parallel, or which hardware bottleneck would dominate.</w:t>
      </w:r>
    </w:p>
    <w:p>
      <w:pPr>
        <w:pStyle w:val="Heading2"/>
      </w:pPr>
      <w:bookmarkStart w:id="261" w:name="chapter-15-the-first-failure-control"/>
      <w:r>
        <w:t xml:space="preserve">The First-Failure Control</w:t>
      </w:r>
      <w:bookmarkEnd w:id="261"/>
    </w:p>
    <w:p>
      <w:pPr>
        <w:pStyle w:val="FirstParagraph"/>
      </w:pPr>
      <w:r>
        <w:t xml:space="preserve">The control reruns the same text and token-ID stages. It selects the same embeddings and positional rows, then appends one zero coordinate to every resulting row. Nothing else changes. The corrupted matrix has shape</w:t>
      </w:r>
      <w:r>
        <w:t xml:space="preserve"> </w:t>
      </w:r>
      <w:r>
        <w:rPr>
          <w:rStyle w:val="VerbatimChar"/>
        </w:rPr>
        <w:t xml:space="preserve">[3,5]</w:t>
      </w:r>
      <w:r>
        <w:t xml:space="preserve">.</w:t>
      </w:r>
    </w:p>
    <w:p>
      <w:pPr>
        <w:pStyle w:val="BodyText"/>
      </w:pPr>
      <w:r>
        <w:t xml:space="preserve">At</w:t>
      </w:r>
      <w:r>
        <w:t xml:space="preserve"> </w:t>
      </w:r>
      <w:r>
        <w:rPr>
          <w:rStyle w:val="VerbatimChar"/>
        </w:rPr>
        <w:t xml:space="preserve">block_input_validation</w:t>
      </w:r>
      <w:r>
        <w:t xml:space="preserve">, the fixture expects</w:t>
      </w:r>
      <w:r>
        <w:t xml:space="preserve"> </w:t>
      </w:r>
      <w:r>
        <w:rPr>
          <w:rStyle w:val="VerbatimChar"/>
        </w:rPr>
        <w:t xml:space="preserve">[3,4]</w:t>
      </w:r>
      <w:r>
        <w:t xml:space="preserve"> </w:t>
      </w:r>
      <w:r>
        <w:t xml:space="preserve">and receives</w:t>
      </w:r>
      <w:r>
        <w:t xml:space="preserve"> </w:t>
      </w:r>
      <w:r>
        <w:rPr>
          <w:rStyle w:val="VerbatimChar"/>
        </w:rPr>
        <w:t xml:space="preserve">[3,5]</w:t>
      </w:r>
      <w:r>
        <w:t xml:space="preserve">. Validation rejects it with the specific code:</w:t>
      </w:r>
    </w:p>
    <w:p>
      <w:pPr>
        <w:pStyle w:val="SourceCode"/>
      </w:pPr>
      <w:r>
        <w:rPr>
          <w:rStyle w:val="VerbatimChar"/>
        </w:rPr>
        <w:t xml:space="preserve">BLOCK_INPUT_WIDTH_MISMATCH</w:t>
      </w:r>
    </w:p>
    <w:p>
      <w:pPr>
        <w:pStyle w:val="FirstParagraph"/>
      </w:pPr>
      <w:r>
        <w:t xml:space="preserve">This is the first failed stage. The stage-status record marks tokenization and ID lookup executed, embedding plus position executed with corrupted width, and block-input validation failed. Attention, first residual and normalization, feed-forward, second residual and normalization, final-row selection, vocabulary projection, argmax, and decode are all</w:t>
      </w:r>
      <w:r>
        <w:t xml:space="preserve"> </w:t>
      </w:r>
      <w:r>
        <w:rPr>
          <w:rStyle w:val="VerbatimChar"/>
        </w:rPr>
        <w:t xml:space="preserve">unexecuted</w:t>
      </w:r>
      <w:r>
        <w:t xml:space="preserve">.</w:t>
      </w:r>
    </w:p>
    <w:p>
      <w:pPr>
        <w:pStyle w:val="BodyText"/>
      </w:pPr>
      <w:r>
        <w:t xml:space="preserve">That last distinction is crucial. The control does not fill later fields with zeros, empty arrays, or guessed error outputs. Such values would look like computational results. Instead, the record states that those stages never ran. Failure therefore changes both the value path and the existence of downstream records.</w:t>
      </w:r>
    </w:p>
    <w:p>
      <w:pPr>
        <w:pStyle w:val="BodyText"/>
      </w:pPr>
      <w:r>
        <w:t xml:space="preserve">The control supports a local claim: this interface rejects this width error before block math. It does not establish universal failure handling for model frameworks, distributed runtimes, or production serving systems.</w:t>
      </w:r>
    </w:p>
    <w:p>
      <w:pPr>
        <w:pStyle w:val="Heading2"/>
      </w:pPr>
      <w:bookmarkStart w:id="262" w:name="chapter-15-what-the-trace-establishes"/>
      <w:r>
        <w:t xml:space="preserve">What the Trace Establishes</w:t>
      </w:r>
      <w:bookmarkEnd w:id="262"/>
    </w:p>
    <w:p>
      <w:pPr>
        <w:pStyle w:val="FirstParagraph"/>
      </w:pPr>
      <w:r>
        <w:t xml:space="preserve">Nineteen assertions cover the fixed request, known-token mapping, exact stage order, every executed shape, metadata completeness, component output dimensions, final-row identity, vocabulary-sized logits, argmax rule, decoding, dependency edges, control failure code, and downstream non-execution.</w:t>
      </w:r>
    </w:p>
    <w:p>
      <w:pPr>
        <w:pStyle w:val="BodyText"/>
      </w:pPr>
      <w:r>
        <w:t xml:space="preserve">The probe constructs the complete result twice in one process and compares canonical serialization. Two separate command-line runs also produce byte-identical JSON. Their SHA-256 checksum is:</w:t>
      </w:r>
    </w:p>
    <w:p>
      <w:pPr>
        <w:pStyle w:val="SourceCode"/>
      </w:pPr>
      <w:r>
        <w:rPr>
          <w:rStyle w:val="VerbatimChar"/>
        </w:rPr>
        <w:t xml:space="preserve">484c4438d6a61629d718f4bb769c4f42b6a94e4213bbf98b707ba24be0c82b83</w:t>
      </w:r>
    </w:p>
    <w:p>
      <w:pPr>
        <w:pStyle w:val="FirstParagraph"/>
      </w:pPr>
      <w:r>
        <w:t xml:space="preserve">Determinism here means the same fixed program and inputs produce the same serialized evidence. It does not mean all language-model execution is deterministic, nor does it cover sampling, batching, caches, external tokenizers, trained weights, or device-specific numerical behavior.</w:t>
      </w:r>
    </w:p>
    <w:p>
      <w:pPr>
        <w:pStyle w:val="BodyText"/>
      </w:pPr>
      <w:r>
        <w:t xml:space="preserve">Those exclusions remain explicit throughout.</w:t>
      </w:r>
    </w:p>
    <w:p>
      <w:pPr>
        <w:pStyle w:val="Heading2"/>
      </w:pPr>
      <w:bookmarkStart w:id="263" w:name="chapter-15-exact-handoffs"/>
      <w:r>
        <w:t xml:space="preserve">Exact Handoffs</w:t>
      </w:r>
      <w:bookmarkEnd w:id="263"/>
    </w:p>
    <w:p>
      <w:pPr>
        <w:pStyle w:val="FirstParagraph"/>
      </w:pPr>
      <w:r>
        <w:t xml:space="preserve">This module has exactly two incoming dependency edges:</w:t>
      </w:r>
    </w:p>
    <w:p>
      <w:pPr>
        <w:pStyle w:val="SourceCode"/>
      </w:pPr>
      <w:r>
        <w:rPr>
          <w:rStyle w:val="VerbatimChar"/>
        </w:rPr>
        <w:t xml:space="preserve">convergence.architecture -&gt; convergence.execution</w:t>
      </w:r>
      <w:r>
        <w:br/>
      </w:r>
      <w:r>
        <w:rPr>
          <w:rStyle w:val="VerbatimChar"/>
        </w:rPr>
        <w:t xml:space="preserve">programming.runtimes -&gt; convergence.execution</w:t>
      </w:r>
    </w:p>
    <w:p>
      <w:pPr>
        <w:pStyle w:val="FirstParagraph"/>
      </w:pPr>
      <w:r>
        <w:t xml:space="preserve">The first supplies the declared block and interface boundary. The second supplies the discipline of ordered execution, allocation records, and bounded work counts. The one outgoing edge is:</w:t>
      </w:r>
    </w:p>
    <w:p>
      <w:pPr>
        <w:pStyle w:val="SourceCode"/>
      </w:pPr>
      <w:r>
        <w:rPr>
          <w:rStyle w:val="VerbatimChar"/>
        </w:rPr>
        <w:t xml:space="preserve">convergence.execution -&gt; convergence.limits</w:t>
      </w:r>
    </w:p>
    <w:p>
      <w:pPr>
        <w:pStyle w:val="FirstParagraph"/>
      </w:pPr>
      <w:r>
        <w:t xml:space="preserve">It carries an observed fixed trace forward. This chapter does not vary context length, model width, vocabulary size, or other constraints. It establishes the baseline path whose declared constraints can later be measured without confusing a structural count with a benchmark or a technical boundary with a broader claim about meaning.</w:t>
      </w:r>
    </w:p>
    <w:p>
      <w:pPr>
        <w:pStyle w:val="Heading2"/>
      </w:pPr>
      <w:bookmarkStart w:id="264" w:name="chapter-15-sources-and-evidence"/>
      <w:r>
        <w:t xml:space="preserve">Sources and Evidence</w:t>
      </w:r>
      <w:bookmarkEnd w:id="264"/>
    </w:p>
    <w:p>
      <w:pPr>
        <w:pStyle w:val="FirstParagraph"/>
      </w:pPr>
      <w:r>
        <w:t xml:space="preserve">The bounded claims and prohibited inferences are documented in the</w:t>
      </w:r>
      <w:r>
        <w:t xml:space="preserve"> </w:t>
      </w:r>
      <w:hyperlink r:id="rId265">
        <w:r>
          <w:rPr>
            <w:rStyle w:val="Hyperlink"/>
          </w:rPr>
          <w:t xml:space="preserve">Chapter 15 source ledger</w:t>
        </w:r>
      </w:hyperlink>
      <w:r>
        <w:t xml:space="preserve">. Exact arithmetic, stage records, assertions, control statuses, and checksum are documented in the</w:t>
      </w:r>
      <w:r>
        <w:t xml:space="preserve"> </w:t>
      </w:r>
      <w:hyperlink r:id="rId266">
        <w:r>
          <w:rPr>
            <w:rStyle w:val="Hyperlink"/>
          </w:rPr>
          <w:t xml:space="preserve">token-execution probe</w:t>
        </w:r>
      </w:hyperlink>
      <w:r>
        <w:t xml:space="preserve">, with the</w:t>
      </w:r>
      <w:r>
        <w:t xml:space="preserve"> </w:t>
      </w:r>
      <w:hyperlink r:id="rId267">
        <w:r>
          <w:rPr>
            <w:rStyle w:val="Hyperlink"/>
          </w:rPr>
          <w:t xml:space="preserve">Python implementation</w:t>
        </w:r>
      </w:hyperlink>
      <w:r>
        <w:t xml:space="preserve">. Visual provenance, accessibility text, exports, and deterministic SVG checksum are recorded with</w:t>
      </w:r>
      <w:r>
        <w:t xml:space="preserve"> </w:t>
      </w:r>
      <w:hyperlink r:id="rId268">
        <w:r>
          <w:rPr>
            <w:rStyle w:val="Hyperlink"/>
          </w:rPr>
          <w:t xml:space="preserve">A Token Through the Machine</w:t>
        </w:r>
      </w:hyperlink>
      <w:r>
        <w:t xml:space="preserve">.</w:t>
      </w:r>
    </w:p>
    <w:p>
      <w:pPr>
        <w:pStyle w:val="Heading1"/>
      </w:pPr>
      <w:bookmarkStart w:id="269" w:name="chapter-16"/>
      <w:r>
        <w:t xml:space="preserve">Chapter 16 — Measured Limits</w:t>
      </w:r>
      <w:bookmarkEnd w:id="269"/>
    </w:p>
    <w:p>
      <w:pPr>
        <w:pStyle w:val="FirstParagraph"/>
      </w:pPr>
      <w:r>
        <w:t xml:space="preserve">Chapter 15 followed one request through a fixed Transformer fixture. The request became token IDs, width-four numerical rows, attention output, residual and normalized rows, feed-forward output, logits, and finally one selected token. Every handoff was concrete. Yet a successful path can hide the boundaries that made it possible. It shows what happened inside the fixture, not where the fixture stops accepting inputs or how conclusions should stop when evidence runs out.</w:t>
      </w:r>
    </w:p>
    <w:p>
      <w:pPr>
        <w:pStyle w:val="BodyText"/>
      </w:pPr>
      <w:r>
        <w:t xml:space="preserve">This final chapter of Book Two changes the mode of inspection. The architecture remains fixed while six different constraints are varied separately: context, representation, compute structure, vocabulary coverage, decoding policy, and one architectural contribution. Each experiment names what changed, what remained fixed, what kind of result was produced, and what inference that result permits. This typing matters because a rejected shape, an arithmetic count, and a changed token ID are not interchangeable measurements.</w:t>
      </w:r>
    </w:p>
    <w:p>
      <w:pPr>
        <w:pStyle w:val="Heading2"/>
      </w:pPr>
      <w:bookmarkStart w:id="270" w:name="chapter-16-one-fixture-six-result-types"/>
      <w:r>
        <w:t xml:space="preserve">One Fixture, Six Result Types</w:t>
      </w:r>
      <w:bookmarkEnd w:id="270"/>
    </w:p>
    <w:p>
      <w:pPr>
        <w:pStyle w:val="FirstParagraph"/>
      </w:pPr>
      <w:r>
        <w:t xml:space="preserve">The fixture comes directly from Chapter 15. Its request is</w:t>
      </w:r>
      <w:r>
        <w:t xml:space="preserve"> </w:t>
      </w:r>
      <w:r>
        <w:rPr>
          <w:rStyle w:val="VerbatimChar"/>
        </w:rPr>
        <w:t xml:space="preserve">small models run</w:t>
      </w:r>
      <w:r>
        <w:t xml:space="preserve">; its context capacity is three positions; its model width is four; and its vocabulary contains six entries beginning with</w:t>
      </w:r>
      <w:r>
        <w:t xml:space="preserve"> </w:t>
      </w:r>
      <w:r>
        <w:rPr>
          <w:rStyle w:val="VerbatimChar"/>
        </w:rPr>
        <w:t xml:space="preserve">&lt;unk&gt;</w:t>
      </w:r>
      <w:r>
        <w:t xml:space="preserve"> </w:t>
      </w:r>
      <w:r>
        <w:t xml:space="preserve">at ID 0. The same embedding table, positional rows, block matrices, normalization rule, and baseline logits remain available.</w:t>
      </w:r>
    </w:p>
    <w:p>
      <w:pPr>
        <w:pStyle w:val="BodyText"/>
      </w:pPr>
      <w:r>
        <w:t xml:space="preserve">The experiment does not assign all constraints one numerical unit. Context produces admission records. Representation produces interface-gate records. Compute produces structural operation counts. Vocabulary coverage produces an ID-and-embedding collision. Decoding produces selected IDs under named policies. Architecture produces a numerical output difference. Placing these records in one envelope means they bound one fixture, not that they belong on one scale.</w:t>
      </w:r>
    </w:p>
    <w:p>
      <w:pPr>
        <w:pStyle w:val="BodyText"/>
      </w:pPr>
      <w:r>
        <w:t xml:space="preserve">That distinction also prevents a common category error. A larger arithmetic count is not the same kind of fact as a rejected request. Neither one establishes language quality, semantic understanding, or production performance. The probe therefore attaches one permitted inference to every result instead of inviting an unrestricted conclusion.</w:t>
      </w:r>
    </w:p>
    <w:p>
      <w:pPr>
        <w:pStyle w:val="Heading2"/>
      </w:pPr>
      <w:bookmarkStart w:id="271" w:name="chapter-16-context-stop-before-embedding"/>
      <w:r>
        <w:t xml:space="preserve">Context: Stop Before Embedding</w:t>
      </w:r>
      <w:bookmarkEnd w:id="271"/>
    </w:p>
    <w:p>
      <w:pPr>
        <w:pStyle w:val="FirstParagraph"/>
      </w:pPr>
      <w:r>
        <w:t xml:space="preserve">The context experiment changes only requested sequence length. Capacity remains fixed at three, and the gate remains positioned before embedding. Requests of lengths one, two, and three are admitted. Length four returns:</w:t>
      </w:r>
    </w:p>
    <w:p>
      <w:pPr>
        <w:pStyle w:val="SourceCode"/>
      </w:pPr>
      <w:r>
        <w:rPr>
          <w:rStyle w:val="VerbatimChar"/>
        </w:rPr>
        <w:t xml:space="preserve">CONTEXT_CAPACITY_EXCEEDED</w:t>
      </w:r>
    </w:p>
    <w:p>
      <w:pPr>
        <w:pStyle w:val="FirstParagraph"/>
      </w:pPr>
      <w:r>
        <w:t xml:space="preserve">Its record also marks</w:t>
      </w:r>
      <w:r>
        <w:t xml:space="preserve"> </w:t>
      </w:r>
      <w:r>
        <w:rPr>
          <w:rStyle w:val="VerbatimChar"/>
        </w:rPr>
        <w:t xml:space="preserve">embedding_executed</w:t>
      </w:r>
      <w:r>
        <w:t xml:space="preserve"> </w:t>
      </w:r>
      <w:r>
        <w:t xml:space="preserve">as false. This is stronger than noticing that a later operation failed. The invalid request is stopped at the boundary responsible for context admission, before an embedding result can be mistaken for valid downstream evidence.</w:t>
      </w:r>
    </w:p>
    <w:p>
      <w:pPr>
        <w:pStyle w:val="BodyText"/>
      </w:pPr>
      <w:r>
        <w:t xml:space="preserve">The permitted conclusion is local: this fixture admits lengths one through three and rejects four before embedding. It does not establish the usable context of a production model, the quality of behavior near a long-context boundary, or a universal relation between context length and understanding.</w:t>
      </w:r>
    </w:p>
    <w:p>
      <w:pPr>
        <w:pStyle w:val="Heading2"/>
      </w:pPr>
      <w:bookmarkStart w:id="272" w:name="X574999ecb3a1a808e13ee8b28d8b2c838ee8979"/>
      <w:r>
        <w:t xml:space="preserve">Representation: Width Is an Interface Contract</w:t>
      </w:r>
      <w:bookmarkEnd w:id="272"/>
    </w:p>
    <w:p>
      <w:pPr>
        <w:pStyle w:val="FirstParagraph"/>
      </w:pPr>
      <w:r>
        <w:t xml:space="preserve">The representation experiment holds sequence length at three and the expected block width at four. It changes the width presented to the block-input gate.</w:t>
      </w:r>
    </w:p>
    <w:p>
      <w:pPr>
        <w:pStyle w:val="BodyText"/>
      </w:pPr>
      <w:r>
        <w:t xml:space="preserve">Width four is accepted and block arithmetic may execute. Width five returns:</w:t>
      </w:r>
    </w:p>
    <w:p>
      <w:pPr>
        <w:pStyle w:val="SourceCode"/>
      </w:pPr>
      <w:r>
        <w:rPr>
          <w:rStyle w:val="VerbatimChar"/>
        </w:rPr>
        <w:t xml:space="preserve">BLOCK_INPUT_WIDTH_MISMATCH</w:t>
      </w:r>
    </w:p>
    <w:p>
      <w:pPr>
        <w:pStyle w:val="FirstParagraph"/>
      </w:pPr>
      <w:r>
        <w:t xml:space="preserve">For width five,</w:t>
      </w:r>
      <w:r>
        <w:t xml:space="preserve"> </w:t>
      </w:r>
      <w:r>
        <w:rPr>
          <w:rStyle w:val="VerbatimChar"/>
        </w:rPr>
        <w:t xml:space="preserve">block_math_executed</w:t>
      </w:r>
      <w:r>
        <w:t xml:space="preserve"> </w:t>
      </w:r>
      <w:r>
        <w:t xml:space="preserve">is false. Chapter 15 introduced this failure lane by appending one zero coordinate. Chapter 16 treats the behavior as a measured acceptance boundary: one more coordinate is not</w:t>
      </w:r>
      <w:r>
        <w:t xml:space="preserve"> </w:t>
      </w:r>
      <w:r>
        <w:t xml:space="preserve">“</w:t>
      </w:r>
      <w:r>
        <w:t xml:space="preserve">more representation</w:t>
      </w:r>
      <w:r>
        <w:t xml:space="preserve">”</w:t>
      </w:r>
      <w:r>
        <w:t xml:space="preserve"> </w:t>
      </w:r>
      <w:r>
        <w:t xml:space="preserve">to this block. It is a different shape from the interface the matrices require.</w:t>
      </w:r>
    </w:p>
    <w:p>
      <w:pPr>
        <w:pStyle w:val="BodyText"/>
      </w:pPr>
      <w:r>
        <w:t xml:space="preserve">Context and width may both reject an input, but they do so at different boundaries and for different reasons. Context compares sequence length with position capacity before embedding. Representation compares row width with the block contract before block arithmetic. The shared word</w:t>
      </w:r>
      <w:r>
        <w:t xml:space="preserve"> </w:t>
      </w:r>
      <w:r>
        <w:t xml:space="preserve">“</w:t>
      </w:r>
      <w:r>
        <w:t xml:space="preserve">limit</w:t>
      </w:r>
      <w:r>
        <w:t xml:space="preserve">”</w:t>
      </w:r>
      <w:r>
        <w:t xml:space="preserve"> </w:t>
      </w:r>
      <w:r>
        <w:t xml:space="preserve">should not erase that ownership.</w:t>
      </w:r>
    </w:p>
    <w:p>
      <w:pPr>
        <w:pStyle w:val="Heading2"/>
      </w:pPr>
      <w:bookmarkStart w:id="273" w:name="X9309723be42f7983c1de7274f78fe0207b4a848"/>
      <w:r>
        <w:t xml:space="preserve">Compute: Exact Counts Are Not Time</w:t>
      </w:r>
      <w:bookmarkEnd w:id="273"/>
    </w:p>
    <w:p>
      <w:pPr>
        <w:pStyle w:val="FirstParagraph"/>
      </w:pPr>
      <w:r>
        <w:t xml:space="preserve">The compute experiment varies sequence length through one, two, and three while holding model width at four, head count at one, and the scalar counting convention fixed. It evaluates the same declared formulas used by Chapter 15:</w:t>
      </w:r>
    </w:p>
    <w:p>
      <w:pPr>
        <w:pStyle w:val="BodyText"/>
      </w:pPr>
      <m:oMathPara>
        <m:oMathParaPr>
          <m:jc m:val="center"/>
        </m:oMathParaPr>
        <m:oMath>
          <m:r>
            <m:t>M</m:t>
          </m:r>
          <m:r>
            <m:t>(</m:t>
          </m:r>
          <m:r>
            <m:t>n</m:t>
          </m:r>
          <m:r>
            <m:t>,</m:t>
          </m:r>
          <m:r>
            <m:t>d</m:t>
          </m:r>
          <m:r>
            <m:t>)</m:t>
          </m:r>
          <m:r>
            <m:t>=</m:t>
          </m:r>
          <m:r>
            <m:t>4</m:t>
          </m:r>
          <m:r>
            <m:t>n</m:t>
          </m:r>
          <m:sSup>
            <m:e>
              <m:r>
                <m:t>d</m:t>
              </m:r>
            </m:e>
            <m:sup>
              <m:r>
                <m:t>2</m:t>
              </m:r>
            </m:sup>
          </m:sSup>
          <m:r>
            <m:t>+</m:t>
          </m:r>
          <m:r>
            <m:t>2</m:t>
          </m:r>
          <m:sSup>
            <m:e>
              <m:r>
                <m:t>n</m:t>
              </m:r>
            </m:e>
            <m:sup>
              <m:r>
                <m:t>2</m:t>
              </m:r>
            </m:sup>
          </m:sSup>
          <m:r>
            <m:t>d</m:t>
          </m:r>
        </m:oMath>
      </m:oMathPara>
    </w:p>
    <w:p>
      <w:pPr>
        <w:pStyle w:val="FirstParagraph"/>
      </w:pPr>
      <m:oMathPara>
        <m:oMathParaPr>
          <m:jc m:val="center"/>
        </m:oMathParaPr>
        <m:oMath>
          <m:r>
            <m:t>A</m:t>
          </m:r>
          <m:r>
            <m:t>(</m:t>
          </m:r>
          <m:r>
            <m:t>n</m:t>
          </m:r>
          <m:r>
            <m:t>,</m:t>
          </m:r>
          <m:r>
            <m:t>d</m:t>
          </m:r>
          <m:r>
            <m:t>)</m:t>
          </m:r>
          <m:r>
            <m:t>=</m:t>
          </m:r>
          <m:r>
            <m:t>4</m:t>
          </m:r>
          <m:r>
            <m:t>n</m:t>
          </m:r>
          <m:r>
            <m:t>d</m:t>
          </m:r>
          <m:r>
            <m:t>(</m:t>
          </m:r>
          <m:r>
            <m:t>d</m:t>
          </m:r>
          <m:r>
            <m:t>−</m:t>
          </m:r>
          <m:r>
            <m:t>1</m:t>
          </m:r>
          <m:r>
            <m:t>)</m:t>
          </m:r>
          <m:r>
            <m:t>+</m:t>
          </m:r>
          <m:sSup>
            <m:e>
              <m:r>
                <m:t>n</m:t>
              </m:r>
            </m:e>
            <m:sup>
              <m:r>
                <m:t>2</m:t>
              </m:r>
            </m:sup>
          </m:sSup>
          <m:r>
            <m:t>(</m:t>
          </m:r>
          <m:r>
            <m:t>d</m:t>
          </m:r>
          <m:r>
            <m:t>−</m:t>
          </m:r>
          <m:r>
            <m:t>1</m:t>
          </m:r>
          <m:r>
            <m:t>)</m:t>
          </m:r>
          <m:r>
            <m:t>+</m:t>
          </m:r>
          <m:r>
            <m:t>n</m:t>
          </m:r>
          <m:r>
            <m:t>d</m:t>
          </m:r>
          <m:r>
            <m:t>(</m:t>
          </m:r>
          <m:r>
            <m:t>n</m:t>
          </m:r>
          <m:r>
            <m:t>−</m:t>
          </m:r>
          <m:r>
            <m:t>1</m:t>
          </m:r>
          <m:r>
            <m:t>)</m:t>
          </m:r>
        </m:oMath>
      </m:oMathPara>
    </w:p>
    <w:p>
      <w:pPr>
        <w:pStyle w:val="FirstParagraph"/>
      </w:pPr>
      <m:oMathPara>
        <m:oMathParaPr>
          <m:jc m:val="center"/>
        </m:oMathParaPr>
        <m:oMath>
          <m:r>
            <m:t>E</m:t>
          </m:r>
          <m:r>
            <m:t>(</m:t>
          </m:r>
          <m:r>
            <m:t>n</m:t>
          </m:r>
          <m:r>
            <m:t>)</m:t>
          </m:r>
          <m:r>
            <m:t>=</m:t>
          </m:r>
          <m:sSup>
            <m:e>
              <m:r>
                <m:t>n</m:t>
              </m:r>
            </m:e>
            <m:sup>
              <m:r>
                <m:t>2</m:t>
              </m:r>
            </m:sup>
          </m:sSup>
        </m:oMath>
      </m:oMathPara>
    </w:p>
    <w:p>
      <w:pPr>
        <w:pStyle w:val="FirstParagraph"/>
      </w:pPr>
      <w:r>
        <w:t xml:space="preserve">Here</w:t>
      </w:r>
      <w:r>
        <w:t xml:space="preserve"> </w:t>
      </w:r>
      <m:oMath>
        <m:r>
          <m:t>M</m:t>
        </m:r>
      </m:oMath>
      <w:r>
        <w:t xml:space="preserve">,</w:t>
      </w:r>
      <w:r>
        <w:t xml:space="preserve"> </w:t>
      </w:r>
      <m:oMath>
        <m:r>
          <m:t>A</m:t>
        </m:r>
      </m:oMath>
      <w:r>
        <w:t xml:space="preserve">, and</w:t>
      </w:r>
      <w:r>
        <w:t xml:space="preserve"> </w:t>
      </w:r>
      <m:oMath>
        <m:r>
          <m:t>E</m:t>
        </m:r>
      </m:oMath>
      <w:r>
        <w:t xml:space="preserve"> </w:t>
      </w:r>
      <w:r>
        <w:t xml:space="preserve">count multiplications, additions, and exponentials under the fixture’s loops. At width four, the records are:</w:t>
      </w:r>
    </w:p>
    <w:tbl>
      <w:tblPr>
        <w:tblStyle w:val="Table"/>
        <w:tblW w:type="pct" w:w="0.0"/>
        <w:tblLook w:firstRow="1"/>
      </w:tblPr>
      <w:tblGrid/>
      <w:tr>
        <w:trPr>
          <w:cnfStyle w:firstRow="1"/>
        </w:trPr>
        <w:tc>
          <w:tcPr>
            <w:tcBorders>
              <w:bottom w:val="single"/>
            </w:tcBorders>
            <w:vAlign w:val="bottom"/>
          </w:tcPr>
          <w:p>
            <w:pPr>
              <w:pStyle w:val="Compact"/>
              <w:jc w:val="right"/>
            </w:pPr>
            <w:r>
              <w:t xml:space="preserve">Sequence length</w:t>
            </w:r>
          </w:p>
        </w:tc>
        <w:tc>
          <w:tcPr>
            <w:tcBorders>
              <w:bottom w:val="single"/>
            </w:tcBorders>
            <w:vAlign w:val="bottom"/>
          </w:tcPr>
          <w:p>
            <w:pPr>
              <w:pStyle w:val="Compact"/>
              <w:jc w:val="right"/>
            </w:pPr>
            <w:r>
              <w:t xml:space="preserve">Multiplications</w:t>
            </w:r>
          </w:p>
        </w:tc>
        <w:tc>
          <w:tcPr>
            <w:tcBorders>
              <w:bottom w:val="single"/>
            </w:tcBorders>
            <w:vAlign w:val="bottom"/>
          </w:tcPr>
          <w:p>
            <w:pPr>
              <w:pStyle w:val="Compact"/>
              <w:jc w:val="right"/>
            </w:pPr>
            <w:r>
              <w:t xml:space="preserve">Additions</w:t>
            </w:r>
          </w:p>
        </w:tc>
        <w:tc>
          <w:tcPr>
            <w:tcBorders>
              <w:bottom w:val="single"/>
            </w:tcBorders>
            <w:vAlign w:val="bottom"/>
          </w:tcPr>
          <w:p>
            <w:pPr>
              <w:pStyle w:val="Compact"/>
              <w:jc w:val="right"/>
            </w:pPr>
            <w:r>
              <w:t xml:space="preserve">Exponentials</w:t>
            </w:r>
          </w:p>
        </w:tc>
      </w:tr>
      <w:tr>
        <w:tc>
          <w:p>
            <w:pPr>
              <w:pStyle w:val="Compact"/>
              <w:jc w:val="right"/>
            </w:pPr>
            <w:r>
              <w:t xml:space="preserve">1</w:t>
            </w:r>
          </w:p>
        </w:tc>
        <w:tc>
          <w:p>
            <w:pPr>
              <w:pStyle w:val="Compact"/>
              <w:jc w:val="right"/>
            </w:pPr>
            <w:r>
              <w:t xml:space="preserve">72</w:t>
            </w:r>
          </w:p>
        </w:tc>
        <w:tc>
          <w:p>
            <w:pPr>
              <w:pStyle w:val="Compact"/>
              <w:jc w:val="right"/>
            </w:pPr>
            <w:r>
              <w:t xml:space="preserve">51</w:t>
            </w:r>
          </w:p>
        </w:tc>
        <w:tc>
          <w:p>
            <w:pPr>
              <w:pStyle w:val="Compact"/>
              <w:jc w:val="right"/>
            </w:pPr>
            <w:r>
              <w:t xml:space="preserve">1</w:t>
            </w:r>
          </w:p>
        </w:tc>
      </w:tr>
      <w:tr>
        <w:tc>
          <w:p>
            <w:pPr>
              <w:pStyle w:val="Compact"/>
              <w:jc w:val="right"/>
            </w:pPr>
            <w:r>
              <w:t xml:space="preserve">2</w:t>
            </w:r>
          </w:p>
        </w:tc>
        <w:tc>
          <w:p>
            <w:pPr>
              <w:pStyle w:val="Compact"/>
              <w:jc w:val="right"/>
            </w:pPr>
            <w:r>
              <w:t xml:space="preserve">160</w:t>
            </w:r>
          </w:p>
        </w:tc>
        <w:tc>
          <w:p>
            <w:pPr>
              <w:pStyle w:val="Compact"/>
              <w:jc w:val="right"/>
            </w:pPr>
            <w:r>
              <w:t xml:space="preserve">116</w:t>
            </w:r>
          </w:p>
        </w:tc>
        <w:tc>
          <w:p>
            <w:pPr>
              <w:pStyle w:val="Compact"/>
              <w:jc w:val="right"/>
            </w:pPr>
            <w:r>
              <w:t xml:space="preserve">4</w:t>
            </w:r>
          </w:p>
        </w:tc>
      </w:tr>
      <w:tr>
        <w:tc>
          <w:p>
            <w:pPr>
              <w:pStyle w:val="Compact"/>
              <w:jc w:val="right"/>
            </w:pPr>
            <w:r>
              <w:t xml:space="preserve">3</w:t>
            </w:r>
          </w:p>
        </w:tc>
        <w:tc>
          <w:p>
            <w:pPr>
              <w:pStyle w:val="Compact"/>
              <w:jc w:val="right"/>
            </w:pPr>
            <w:r>
              <w:t xml:space="preserve">264</w:t>
            </w:r>
          </w:p>
        </w:tc>
        <w:tc>
          <w:p>
            <w:pPr>
              <w:pStyle w:val="Compact"/>
              <w:jc w:val="right"/>
            </w:pPr>
            <w:r>
              <w:t xml:space="preserve">195</w:t>
            </w:r>
          </w:p>
        </w:tc>
        <w:tc>
          <w:p>
            <w:pPr>
              <w:pStyle w:val="Compact"/>
              <w:jc w:val="right"/>
            </w:pPr>
            <w:r>
              <w:t xml:space="preserve">9</w:t>
            </w:r>
          </w:p>
        </w:tc>
      </w:tr>
    </w:tbl>
    <w:p>
      <w:pPr>
        <w:pStyle w:val="BodyText"/>
      </w:pPr>
      <w:r>
        <w:t xml:space="preserve">The final row exactly reproduces Chapter 15’s attention inventory. The increasing values expose sequence-dependent structural work in this implementation. They do not report nanoseconds, latency, throughput, processor instructions, kernel launches, cache behavior, parallel efficiency, power, or memory traffic. No clock is read. Calling the table a benchmark would fabricate a result the probe never measured.</w:t>
      </w:r>
    </w:p>
    <w:p>
      <w:pPr>
        <w:pStyle w:val="Heading2"/>
      </w:pPr>
      <w:bookmarkStart w:id="274" w:name="Xa0b5983f549eb5667ac8a89a3d9cbefceaa46c4"/>
      <w:r>
        <w:t xml:space="preserve">Vocabulary: Distinct Strings Can Share One Row</w:t>
      </w:r>
      <w:bookmarkEnd w:id="274"/>
    </w:p>
    <w:p>
      <w:pPr>
        <w:pStyle w:val="FirstParagraph"/>
      </w:pPr>
      <w:r>
        <w:t xml:space="preserve">The vocabulary experiment holds the six-entry vocabulary, unknown ID, and embedding table fixed. It changes only the input string. Two deliberately absent strings are supplied:</w:t>
      </w:r>
    </w:p>
    <w:p>
      <w:pPr>
        <w:pStyle w:val="SourceCode"/>
      </w:pPr>
      <w:r>
        <w:rPr>
          <w:rStyle w:val="VerbatimChar"/>
        </w:rPr>
        <w:t xml:space="preserve">quartzbird</w:t>
      </w:r>
      <w:r>
        <w:br/>
      </w:r>
      <w:r>
        <w:rPr>
          <w:rStyle w:val="VerbatimChar"/>
        </w:rPr>
        <w:t xml:space="preserve">velvetaxiom</w:t>
      </w:r>
    </w:p>
    <w:p>
      <w:pPr>
        <w:pStyle w:val="FirstParagraph"/>
      </w:pPr>
      <w:r>
        <w:t xml:space="preserve">They are distinct before lookup. Neither appears in the fixed vocabulary, so both map to</w:t>
      </w:r>
      <w:r>
        <w:t xml:space="preserve"> </w:t>
      </w:r>
      <w:r>
        <w:rPr>
          <w:rStyle w:val="VerbatimChar"/>
        </w:rPr>
        <w:t xml:space="preserve">&lt;unk&gt;</w:t>
      </w:r>
      <w:r>
        <w:t xml:space="preserve"> </w:t>
      </w:r>
      <w:r>
        <w:t xml:space="preserve">ID 0. ID 0 selects the same embedding in both cases:</w:t>
      </w:r>
    </w:p>
    <w:p>
      <w:pPr>
        <w:pStyle w:val="SourceCode"/>
      </w:pPr>
      <w:r>
        <w:rPr>
          <w:rStyle w:val="VerbatimChar"/>
        </w:rPr>
        <w:t xml:space="preserve">[0.0, 0.0, 0.0, 0.0]</w:t>
      </w:r>
    </w:p>
    <w:p>
      <w:pPr>
        <w:pStyle w:val="FirstParagraph"/>
      </w:pPr>
      <w:r>
        <w:t xml:space="preserve">The distinction between the original strings is therefore unavailable after this lookup. That is a precise form of fixture information loss: a many-to-one representation rule collapses these two inputs at this boundary.</w:t>
      </w:r>
    </w:p>
    <w:p>
      <w:pPr>
        <w:pStyle w:val="BodyText"/>
      </w:pPr>
      <w:r>
        <w:t xml:space="preserve">The result says nothing general about all tokenizers, subword vocabularies, character models, or training corpora. It does not show that unknown words must be represented identically in every system. It shows exactly what this deliberately finite mapping does to these two absent strings.</w:t>
      </w:r>
    </w:p>
    <w:p>
      <w:pPr>
        <w:pStyle w:val="Heading2"/>
      </w:pPr>
      <w:bookmarkStart w:id="275" w:name="X5f1a41ebc973a6c8e05774f9329e211950f6c9f"/>
      <w:r>
        <w:t xml:space="preserve">Decoding: Policy Is Part of the Result</w:t>
      </w:r>
      <w:bookmarkEnd w:id="275"/>
    </w:p>
    <w:p>
      <w:pPr>
        <w:pStyle w:val="FirstParagraph"/>
      </w:pPr>
      <w:r>
        <w:t xml:space="preserve">Chapter 15 produced a fixed six-value logit vector whose global maximum is at ID 2. Chapter 16 retains those exact logits and compares two deterministic policies.</w:t>
      </w:r>
    </w:p>
    <w:p>
      <w:pPr>
        <w:pStyle w:val="BodyText"/>
      </w:pPr>
      <w:r>
        <w:t xml:space="preserve">The first policy is global argmax with the lowest ID winning any tie. It selects ID 2. The second policy declares the allowed set</w:t>
      </w:r>
      <w:r>
        <w:t xml:space="preserve"> </w:t>
      </w:r>
      <w:r>
        <w:rPr>
          <w:rStyle w:val="VerbatimChar"/>
        </w:rPr>
        <w:t xml:space="preserve">{0,1,3,4,5}</w:t>
      </w:r>
      <w:r>
        <w:t xml:space="preserve">, selects the highest-logit member of that set, and again uses the lowest ID for an eligible tie. Because ID 2 is not eligible and ID 0 has the largest allowed logit, the constrained rule selects ID 0.</w:t>
      </w:r>
    </w:p>
    <w:p>
      <w:pPr>
        <w:pStyle w:val="BodyText"/>
      </w:pPr>
      <w:r>
        <w:t xml:space="preserve">The canonical logit bytes before and after both selections are equal. Their SHA-256 digest remains:</w:t>
      </w:r>
    </w:p>
    <w:p>
      <w:pPr>
        <w:pStyle w:val="SourceCode"/>
      </w:pPr>
      <w:r>
        <w:rPr>
          <w:rStyle w:val="VerbatimChar"/>
        </w:rPr>
        <w:t xml:space="preserve">af6666aa2915977123572c90a8f2a41fda50e830c57bd0da128481f070bd48ce</w:t>
      </w:r>
    </w:p>
    <w:p>
      <w:pPr>
        <w:pStyle w:val="FirstParagraph"/>
      </w:pPr>
      <w:r>
        <w:t xml:space="preserve">Nothing in the numerical model output changed. The eligible set and selection rule changed. The different ID therefore supports a narrow but important conclusion: decoding policy participates in observable output. It does not imply that this allowed set is useful, safe, fluent, or appropriate for another application. The policy is defensible here because it is explicit, total over a nonempty valid set, deterministic under ties, and independently checkable.</w:t>
      </w:r>
    </w:p>
    <w:p>
      <w:pPr>
        <w:pStyle w:val="Heading2"/>
      </w:pPr>
      <w:bookmarkStart w:id="276" w:name="Xf8e2101a1d2cabdd0b6c4a4abc70d34b51b1a72"/>
      <w:r>
        <w:t xml:space="preserve">Architecture: A Numerical Contribution Control</w:t>
      </w:r>
      <w:bookmarkEnd w:id="276"/>
    </w:p>
    <w:p>
      <w:pPr>
        <w:pStyle w:val="FirstParagraph"/>
      </w:pPr>
      <w:r>
        <w:t xml:space="preserve">The architecture experiment returns to the width-four block. The request, input rows, matrices, biases, normalization constant, feed-forward path, and all operations after the first residual addition remain fixed. The changed variable is the attention contribution presented at that residual boundary.</w:t>
      </w:r>
    </w:p>
    <w:p>
      <w:pPr>
        <w:pStyle w:val="BodyText"/>
      </w:pPr>
      <w:r>
        <w:t xml:space="preserve">The baseline uses the attention output computed by Chapter 15’s actual function. The control replaces that contribution with zero rows of the same shape. It does not invent alternate weights or reroute the remaining block. Both paths then execute the same residual, normalization, feed-forward, second residual, and second normalization functions.</w:t>
      </w:r>
    </w:p>
    <w:p>
      <w:pPr>
        <w:pStyle w:val="BodyText"/>
      </w:pPr>
      <w:r>
        <w:t xml:space="preserve">The baseline block-output digest is:</w:t>
      </w:r>
    </w:p>
    <w:p>
      <w:pPr>
        <w:pStyle w:val="SourceCode"/>
      </w:pPr>
      <w:r>
        <w:rPr>
          <w:rStyle w:val="VerbatimChar"/>
        </w:rPr>
        <w:t xml:space="preserve">e241693a9373cd7586485ffd3bbe80467862c77678223d8feded9f88b0dc18af</w:t>
      </w:r>
    </w:p>
    <w:p>
      <w:pPr>
        <w:pStyle w:val="FirstParagraph"/>
      </w:pPr>
      <w:r>
        <w:t xml:space="preserve">The no-attention-contribution digest is:</w:t>
      </w:r>
    </w:p>
    <w:p>
      <w:pPr>
        <w:pStyle w:val="SourceCode"/>
      </w:pPr>
      <w:r>
        <w:rPr>
          <w:rStyle w:val="VerbatimChar"/>
        </w:rPr>
        <w:t xml:space="preserve">12646e35923002aa765247f5803e7b5ff81f68e42569310bf87c8902e23f6518</w:t>
      </w:r>
    </w:p>
    <w:p>
      <w:pPr>
        <w:pStyle w:val="FirstParagraph"/>
      </w:pPr>
      <w:r>
        <w:t xml:space="preserve">Across the twelve output coordinates, the maximum absolute difference is</w:t>
      </w:r>
      <w:r>
        <w:t xml:space="preserve"> </w:t>
      </w:r>
      <w:r>
        <w:rPr>
          <w:rStyle w:val="VerbatimChar"/>
        </w:rPr>
        <w:t xml:space="preserve">0.138179224</w:t>
      </w:r>
      <w:r>
        <w:t xml:space="preserve">. The nonzero result demonstrates numerical sensitivity to this declared contribution under controlled fixture conditions.</w:t>
      </w:r>
    </w:p>
    <w:p>
      <w:pPr>
        <w:pStyle w:val="BodyText"/>
      </w:pPr>
      <w:r>
        <w:t xml:space="preserve">It does not establish that attention is universally the most important component, that the changed coordinates carry a semantic interpretation, or that component removal predicts behavior in a trained production model.</w:t>
      </w:r>
      <w:r>
        <w:t xml:space="preserve"> </w:t>
      </w:r>
      <w:r>
        <w:t xml:space="preserve">“</w:t>
      </w:r>
      <w:r>
        <w:t xml:space="preserve">The output changed</w:t>
      </w:r>
      <w:r>
        <w:t xml:space="preserve">”</w:t>
      </w:r>
      <w:r>
        <w:t xml:space="preserve"> </w:t>
      </w:r>
      <w:r>
        <w:t xml:space="preserve">is the measured result.</w:t>
      </w:r>
      <w:r>
        <w:t xml:space="preserve"> </w:t>
      </w:r>
      <w:r>
        <w:t xml:space="preserve">“</w:t>
      </w:r>
      <w:r>
        <w:t xml:space="preserve">What that change means</w:t>
      </w:r>
      <w:r>
        <w:t xml:space="preserve">”</w:t>
      </w:r>
      <w:r>
        <w:t xml:space="preserve"> </w:t>
      </w:r>
      <w:r>
        <w:t xml:space="preserve">requires evidence this control does not contain.</w:t>
      </w:r>
    </w:p>
    <w:p>
      <w:pPr>
        <w:pStyle w:val="CaptionedFigure"/>
      </w:pPr>
      <w:r>
        <w:drawing>
          <wp:inline>
            <wp:extent cx="5334000" cy="3378200"/>
            <wp:effectExtent b="0" l="0" r="0" t="0"/>
            <wp:docPr descr="The Constraint Envelope" title="" id="1" name="Picture"/>
            <a:graphic>
              <a:graphicData uri="http://schemas.openxmlformats.org/drawingml/2006/picture">
                <pic:pic>
                  <pic:nvPicPr>
                    <pic:cNvPr descr="../visuals/chapter_16_constraint_envelope.svg" id="0" name="Picture"/>
                    <pic:cNvPicPr>
                      <a:picLocks noChangeArrowheads="1" noChangeAspect="1"/>
                    </pic:cNvPicPr>
                  </pic:nvPicPr>
                  <pic:blipFill>
                    <a:blip r:embed="rId277"/>
                    <a:stretch>
                      <a:fillRect/>
                    </a:stretch>
                  </pic:blipFill>
                  <pic:spPr bwMode="auto">
                    <a:xfrm>
                      <a:off x="0" y="0"/>
                      <a:ext cx="5334000" cy="3378200"/>
                    </a:xfrm>
                    <a:prstGeom prst="rect">
                      <a:avLst/>
                    </a:prstGeom>
                    <a:noFill/>
                    <a:ln w="9525">
                      <a:noFill/>
                      <a:headEnd/>
                      <a:tailEnd/>
                    </a:ln>
                  </pic:spPr>
                </pic:pic>
              </a:graphicData>
            </a:graphic>
          </wp:inline>
        </w:drawing>
      </w:r>
    </w:p>
    <w:p>
      <w:pPr>
        <w:pStyle w:val="ImageCaption"/>
      </w:pPr>
      <w:r>
        <w:t xml:space="preserve">The Constraint Envelope</w:t>
      </w:r>
    </w:p>
    <w:p>
      <w:pPr>
        <w:pStyle w:val="BodyText"/>
      </w:pPr>
      <w:r>
        <w:rPr>
          <w:i/>
        </w:rPr>
        <w:t xml:space="preserve">Six typed panels surround the fixed Chapter 15 fixture. Context and representation are gates; compute records formula counts rather than time; vocabulary records a collision; decoding compares policies over identical logits; architecture records numerical sensitivity. The panels do not share units.</w:t>
      </w:r>
    </w:p>
    <w:p>
      <w:pPr>
        <w:pStyle w:val="Heading2"/>
      </w:pPr>
      <w:bookmarkStart w:id="278" w:name="X118e6c7b2684b845dada2ed807f9545439d5720"/>
      <w:r>
        <w:t xml:space="preserve">The Boundary Around the Envelope</w:t>
      </w:r>
      <w:bookmarkEnd w:id="278"/>
    </w:p>
    <w:p>
      <w:pPr>
        <w:pStyle w:val="FirstParagraph"/>
      </w:pPr>
      <w:r>
        <w:t xml:space="preserve">Operational restraint is itself made inspectable. A claim-scope validator receives three candidate conclusions:</w:t>
      </w:r>
    </w:p>
    <w:p>
      <w:pPr>
        <w:pStyle w:val="SourceCode"/>
      </w:pPr>
      <w:r>
        <w:rPr>
          <w:rStyle w:val="VerbatimChar"/>
        </w:rPr>
        <w:t xml:space="preserve">understands</w:t>
      </w:r>
      <w:r>
        <w:br/>
      </w:r>
      <w:r>
        <w:rPr>
          <w:rStyle w:val="VerbatimChar"/>
        </w:rPr>
        <w:t xml:space="preserve">is_person</w:t>
      </w:r>
      <w:r>
        <w:br/>
      </w:r>
      <w:r>
        <w:rPr>
          <w:rStyle w:val="VerbatimChar"/>
        </w:rPr>
        <w:t xml:space="preserve">cannot_ever_understand</w:t>
      </w:r>
    </w:p>
    <w:p>
      <w:pPr>
        <w:pStyle w:val="FirstParagraph"/>
      </w:pPr>
      <w:r>
        <w:t xml:space="preserve">Each returns</w:t>
      </w:r>
      <w:r>
        <w:t xml:space="preserve"> </w:t>
      </w:r>
      <w:r>
        <w:rPr>
          <w:rStyle w:val="VerbatimChar"/>
        </w:rPr>
        <w:t xml:space="preserve">OUTSIDE_OPERATIONAL_EVIDENCE</w:t>
      </w:r>
      <w:r>
        <w:t xml:space="preserve">. The code does not label the claims false. It says that context admissions, shape checks, operation counts, vocabulary collisions, selected IDs, and numerical differences do not decide those predicates.</w:t>
      </w:r>
    </w:p>
    <w:p>
      <w:pPr>
        <w:pStyle w:val="BodyText"/>
      </w:pPr>
      <w:r>
        <w:t xml:space="preserve">This symmetrical boundary matters. The experiments do not prove that the fixture understands or is a person. They also do not prove that understanding is impossible for every present or future system under every account of meaning. Unsupported affirmation and unsupported impossibility exceed the same evidence.</w:t>
      </w:r>
    </w:p>
    <w:p>
      <w:pPr>
        <w:pStyle w:val="BodyText"/>
      </w:pPr>
      <w:r>
        <w:t xml:space="preserve">That is the Global Manifest’s Tool Boundary in executable form. Claims begin with operations the design enables and evidence demonstrates. Metaphor may motivate a question, but it cannot silently enlarge a result type.</w:t>
      </w:r>
    </w:p>
    <w:p>
      <w:pPr>
        <w:pStyle w:val="Heading2"/>
      </w:pPr>
      <w:bookmarkStart w:id="279" w:name="chapter-16-exact-terminal-handoff"/>
      <w:r>
        <w:t xml:space="preserve">Exact Terminal Handoff</w:t>
      </w:r>
      <w:bookmarkEnd w:id="279"/>
    </w:p>
    <w:p>
      <w:pPr>
        <w:pStyle w:val="FirstParagraph"/>
      </w:pPr>
      <w:r>
        <w:t xml:space="preserve">The limits module has exactly two incoming dependency edges:</w:t>
      </w:r>
    </w:p>
    <w:p>
      <w:pPr>
        <w:pStyle w:val="SourceCode"/>
      </w:pPr>
      <w:r>
        <w:rPr>
          <w:rStyle w:val="VerbatimChar"/>
        </w:rPr>
        <w:t xml:space="preserve">convergence.architecture -&gt; convergence.limits</w:t>
      </w:r>
      <w:r>
        <w:br/>
      </w:r>
      <w:r>
        <w:rPr>
          <w:rStyle w:val="VerbatimChar"/>
        </w:rPr>
        <w:t xml:space="preserve">convergence.execution -&gt; convergence.limits</w:t>
      </w:r>
    </w:p>
    <w:p>
      <w:pPr>
        <w:pStyle w:val="FirstParagraph"/>
      </w:pPr>
      <w:r>
        <w:t xml:space="preserve">Architecture supplies the declared object and its structural contracts. Execution supplies the observed baseline trace and work records. There is no outgoing Book Two module edge. Chapter 16 closes the technical dependency graph rather than opening another mechanism inside this book.</w:t>
      </w:r>
    </w:p>
    <w:p>
      <w:pPr>
        <w:pStyle w:val="BodyText"/>
      </w:pPr>
      <w:r>
        <w:t xml:space="preserve">The probe constructs all six experiments twice and compares canonical serialization. Two command-line runs are byte-identical at SHA-256</w:t>
      </w:r>
      <w:r>
        <w:t xml:space="preserve"> </w:t>
      </w:r>
      <w:r>
        <w:rPr>
          <w:rStyle w:val="VerbatimChar"/>
        </w:rPr>
        <w:t xml:space="preserve">f0eff86f8826caee1af09ba508ed170a568374b4bf898963e69f230281c460fa</w:t>
      </w:r>
      <w:r>
        <w:t xml:space="preserve">. Determinism makes the local evidence repeatable; it does not generalize the evidence beyond its declared fixture.</w:t>
      </w:r>
    </w:p>
    <w:p>
      <w:pPr>
        <w:pStyle w:val="BodyText"/>
      </w:pPr>
      <w:r>
        <w:t xml:space="preserve">Book Two therefore ends with an architecture that can be inspected, executed, varied, and bounded. It hands Book Three mechanisms, interface failures, structural counts, representation loss, policy dependence, numerical sensitivity, and a disciplined account of unsupported inference. Book Three may ask what these systems mean for human beings and how geometric computation enters an account of semantics. It must begin from the measured envelope without confusing computation with meaning, or the absence of operational evidence with disproof.</w:t>
      </w:r>
    </w:p>
    <w:p>
      <w:pPr>
        <w:pStyle w:val="Heading2"/>
      </w:pPr>
      <w:bookmarkStart w:id="280" w:name="chapter-16-sources-and-evidence"/>
      <w:r>
        <w:t xml:space="preserve">Sources and Evidence</w:t>
      </w:r>
      <w:bookmarkEnd w:id="280"/>
    </w:p>
    <w:p>
      <w:pPr>
        <w:pStyle w:val="FirstParagraph"/>
      </w:pPr>
      <w:r>
        <w:t xml:space="preserve">The bounded claims and prohibited inferences are documented in the</w:t>
      </w:r>
      <w:r>
        <w:t xml:space="preserve"> </w:t>
      </w:r>
      <w:hyperlink r:id="rId281">
        <w:r>
          <w:rPr>
            <w:rStyle w:val="Hyperlink"/>
          </w:rPr>
          <w:t xml:space="preserve">Chapter 16 source ledger</w:t>
        </w:r>
      </w:hyperlink>
      <w:r>
        <w:t xml:space="preserve">. Exact experiment records, controls, formulas, dependency edges, and deterministic checksum are documented in the</w:t>
      </w:r>
      <w:r>
        <w:t xml:space="preserve"> </w:t>
      </w:r>
      <w:hyperlink r:id="rId282">
        <w:r>
          <w:rPr>
            <w:rStyle w:val="Hyperlink"/>
          </w:rPr>
          <w:t xml:space="preserve">constraint-envelope probe</w:t>
        </w:r>
      </w:hyperlink>
      <w:r>
        <w:t xml:space="preserve">, with the</w:t>
      </w:r>
      <w:r>
        <w:t xml:space="preserve"> </w:t>
      </w:r>
      <w:hyperlink r:id="rId283">
        <w:r>
          <w:rPr>
            <w:rStyle w:val="Hyperlink"/>
          </w:rPr>
          <w:t xml:space="preserve">Python implementation</w:t>
        </w:r>
      </w:hyperlink>
      <w:r>
        <w:t xml:space="preserve">. Visual provenance, accessibility text, exports, and deterministic SVG checksum are recorded with</w:t>
      </w:r>
      <w:r>
        <w:t xml:space="preserve"> </w:t>
      </w:r>
      <w:hyperlink r:id="rId284">
        <w:r>
          <w:rPr>
            <w:rStyle w:val="Hyperlink"/>
          </w:rPr>
          <w:t xml:space="preserve">The Constraint Envelope</w:t>
        </w:r>
      </w:hyperlink>
      <w:r>
        <w:t xml:space="preserve">.</w:t>
      </w:r>
    </w:p>
    <w:p>
      <w:pPr>
        <w:pStyle w:val="Heading1"/>
      </w:pPr>
      <w:bookmarkStart w:id="285" w:name="book-two-man-pages"/>
      <w:r>
        <w:t xml:space="preserve">Book Two — Man Pages</w:t>
      </w:r>
      <w:bookmarkEnd w:id="285"/>
    </w:p>
    <w:p>
      <w:pPr>
        <w:pStyle w:val="FirstParagraph"/>
      </w:pPr>
      <w:r>
        <w:rPr>
          <w:b/>
        </w:rPr>
        <w:t xml:space="preserve">Status:</w:t>
      </w:r>
      <w:r>
        <w:t xml:space="preserve"> </w:t>
      </w:r>
      <w:r>
        <w:t xml:space="preserve">established August 31, 2026</w:t>
      </w:r>
    </w:p>
    <w:p>
      <w:pPr>
        <w:pStyle w:val="BodyText"/>
      </w:pPr>
      <w:r>
        <w:t xml:space="preserve">This is not a glossary and not an appendix. It is a lookup layer, in the Unix man-page tradition: terse, structured, tool-oriented reference for the transformer’s components. Each page describes what one component does, not what it means. Interpretation, boundaries, and disclaimers stay attached to every entry, because the narrative chapters earn those boundaries and the man pages must not spend them for free.</w:t>
      </w:r>
    </w:p>
    <w:p>
      <w:pPr>
        <w:pStyle w:val="BodyText"/>
      </w:pPr>
      <w:r>
        <w:t xml:space="preserve">Run</w:t>
      </w:r>
      <w:r>
        <w:t xml:space="preserve"> </w:t>
      </w:r>
      <w:r>
        <w:rPr>
          <w:rStyle w:val="VerbatimChar"/>
        </w:rPr>
        <w:t xml:space="preserve">man &lt;name&gt;</w:t>
      </w:r>
      <w:r>
        <w:t xml:space="preserve"> </w:t>
      </w:r>
      <w:r>
        <w:t xml:space="preserve">mentally by opening the matching file. Every page cites the chapter whose probe verified its claims; the man page asserts nothing the chapter did not already establish. Start with</w:t>
      </w:r>
      <w:r>
        <w:t xml:space="preserve"> </w:t>
      </w:r>
      <w:r>
        <w:t xml:space="preserve">man(7)</w:t>
      </w:r>
      <w:r>
        <w:t xml:space="preserve"> </w:t>
      </w:r>
      <w:r>
        <w:t xml:space="preserve">if you want the convention explained before the components.</w:t>
      </w:r>
    </w:p>
    <w:p>
      <w:pPr>
        <w:pStyle w:val="Heading2"/>
      </w:pPr>
      <w:bookmarkStart w:id="286" w:name="book-two-man-pages-why-this-exists"/>
      <w:r>
        <w:t xml:space="preserve">Why This Exists</w:t>
      </w:r>
      <w:bookmarkEnd w:id="286"/>
    </w:p>
    <w:p>
      <w:pPr>
        <w:pStyle w:val="FirstParagraph"/>
      </w:pPr>
      <w:r>
        <w:t xml:space="preserve">A question-and-answer tool gives an answer and the interaction ends. This layer is built to do something different: expose stable, inspectable primitives - one per operation - so a reader can compose their own understanding in whatever order their own confusion demands, the way a Unix reference sheet let a programmer look things up without breaking flow.</w:t>
      </w:r>
    </w:p>
    <w:p>
      <w:pPr>
        <w:pStyle w:val="BodyText"/>
      </w:pPr>
      <w:r>
        <w:t xml:space="preserve">That only works if the primitives are trustworthy. If one page overclaimed - if</w:t>
      </w:r>
      <w:r>
        <w:t xml:space="preserve"> </w:t>
      </w:r>
      <w:r>
        <w:rPr>
          <w:rStyle w:val="VerbatimChar"/>
        </w:rPr>
        <w:t xml:space="preserve">softmax</w:t>
      </w:r>
      <w:r>
        <w:t xml:space="preserve"> </w:t>
      </w:r>
      <w:r>
        <w:t xml:space="preserve">quietly became a Bayesian posterior, or</w:t>
      </w:r>
      <w:r>
        <w:t xml:space="preserve"> </w:t>
      </w:r>
      <w:r>
        <w:rPr>
          <w:rStyle w:val="VerbatimChar"/>
        </w:rPr>
        <w:t xml:space="preserve">attention</w:t>
      </w:r>
      <w:r>
        <w:t xml:space="preserve"> </w:t>
      </w:r>
      <w:r>
        <w:t xml:space="preserve">quietly became explanation - every later composition built on it would inherit the error. The terseness of these pages and the epistemic discipline in their NOTES sections are the same design choice, not two separate ones. A tool’s value is not the answer it emits; it is whether its primitives hold up under whatever the reader builds on top of them.</w:t>
      </w:r>
    </w:p>
    <w:p>
      <w:pPr>
        <w:pStyle w:val="Heading2"/>
      </w:pPr>
      <w:bookmarkStart w:id="287" w:name="book-two-man-pages-index-apropos"/>
      <w:r>
        <w:t xml:space="preserve">Index (apropos)</w:t>
      </w:r>
      <w:bookmarkEnd w:id="287"/>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Name</w:t>
            </w:r>
          </w:p>
        </w:tc>
        <w:tc>
          <w:tcPr>
            <w:tcBorders>
              <w:bottom w:val="single"/>
            </w:tcBorders>
            <w:vAlign w:val="bottom"/>
          </w:tcPr>
          <w:p>
            <w:pPr>
              <w:pStyle w:val="Compact"/>
              <w:jc w:val="left"/>
            </w:pPr>
            <w:r>
              <w:t xml:space="preserve">Section</w:t>
            </w:r>
          </w:p>
        </w:tc>
        <w:tc>
          <w:tcPr>
            <w:tcBorders>
              <w:bottom w:val="single"/>
            </w:tcBorders>
            <w:vAlign w:val="bottom"/>
          </w:tcPr>
          <w:p>
            <w:pPr>
              <w:pStyle w:val="Compact"/>
              <w:jc w:val="left"/>
            </w:pPr>
            <w:r>
              <w:t xml:space="preserve">One-line description</w:t>
            </w:r>
          </w:p>
        </w:tc>
        <w:tc>
          <w:tcPr>
            <w:tcBorders>
              <w:bottom w:val="single"/>
            </w:tcBorders>
            <w:vAlign w:val="bottom"/>
          </w:tcPr>
          <w:p>
            <w:pPr>
              <w:pStyle w:val="Compact"/>
              <w:jc w:val="left"/>
            </w:pPr>
            <w:r>
              <w:t xml:space="preserve">Source</w:t>
            </w:r>
          </w:p>
        </w:tc>
      </w:tr>
      <w:tr>
        <w:tc>
          <w:p>
            <w:pPr>
              <w:pStyle w:val="Compact"/>
              <w:jc w:val="left"/>
            </w:pPr>
            <w:r>
              <w:t xml:space="preserve">man</w:t>
            </w:r>
          </w:p>
        </w:tc>
        <w:tc>
          <w:p>
            <w:pPr>
              <w:pStyle w:val="Compact"/>
              <w:jc w:val="left"/>
            </w:pPr>
            <w:r>
              <w:t xml:space="preserve">7</w:t>
            </w:r>
          </w:p>
        </w:tc>
        <w:tc>
          <w:p>
            <w:pPr>
              <w:pStyle w:val="Compact"/>
              <w:jc w:val="left"/>
            </w:pPr>
            <w:r>
              <w:t xml:space="preserve">what this lookup layer is, and what it is not</w:t>
            </w:r>
          </w:p>
        </w:tc>
        <w:tc>
          <w:p>
            <w:pPr>
              <w:pStyle w:val="Compact"/>
              <w:jc w:val="left"/>
            </w:pPr>
            <w:r>
              <w:t xml:space="preserve">this directory</w:t>
            </w:r>
          </w:p>
        </w:tc>
      </w:tr>
      <w:tr>
        <w:tc>
          <w:p>
            <w:pPr>
              <w:pStyle w:val="Compact"/>
              <w:jc w:val="left"/>
            </w:pPr>
            <w:r>
              <w:t xml:space="preserve">representation</w:t>
            </w:r>
          </w:p>
        </w:tc>
        <w:tc>
          <w:p>
            <w:pPr>
              <w:pStyle w:val="Compact"/>
              <w:jc w:val="left"/>
            </w:pPr>
            <w:r>
              <w:t xml:space="preserve">3</w:t>
            </w:r>
          </w:p>
        </w:tc>
        <w:tc>
          <w:p>
            <w:pPr>
              <w:pStyle w:val="Compact"/>
              <w:jc w:val="left"/>
            </w:pPr>
            <w:r>
              <w:t xml:space="preserve">map source text to a numerical identifier and vector</w:t>
            </w:r>
          </w:p>
        </w:tc>
        <w:tc>
          <w:p>
            <w:pPr>
              <w:pStyle w:val="Compact"/>
              <w:jc w:val="left"/>
            </w:pPr>
            <w:hyperlink w:anchor="chapter-2">
              <w:r>
                <w:rPr>
                  <w:rStyle w:val="Hyperlink"/>
                </w:rPr>
                <w:t xml:space="preserve">Ch2</w:t>
              </w:r>
            </w:hyperlink>
          </w:p>
        </w:tc>
      </w:tr>
      <w:tr>
        <w:tc>
          <w:p>
            <w:pPr>
              <w:pStyle w:val="Compact"/>
              <w:jc w:val="left"/>
            </w:pPr>
            <w:r>
              <w:t xml:space="preserve">bayesian-update</w:t>
            </w:r>
          </w:p>
        </w:tc>
        <w:tc>
          <w:p>
            <w:pPr>
              <w:pStyle w:val="Compact"/>
              <w:jc w:val="left"/>
            </w:pPr>
            <w:r>
              <w:t xml:space="preserve">3</w:t>
            </w:r>
          </w:p>
        </w:tc>
        <w:tc>
          <w:p>
            <w:pPr>
              <w:pStyle w:val="Compact"/>
              <w:jc w:val="left"/>
            </w:pPr>
            <w:r>
              <w:t xml:space="preserve">redistribute probability over hypotheses given evidence</w:t>
            </w:r>
          </w:p>
        </w:tc>
        <w:tc>
          <w:p>
            <w:pPr>
              <w:pStyle w:val="Compact"/>
              <w:jc w:val="left"/>
            </w:pPr>
            <w:hyperlink w:anchor="chapter-3">
              <w:r>
                <w:rPr>
                  <w:rStyle w:val="Hyperlink"/>
                </w:rPr>
                <w:t xml:space="preserve">Ch3</w:t>
              </w:r>
            </w:hyperlink>
          </w:p>
        </w:tc>
      </w:tr>
      <w:tr>
        <w:tc>
          <w:p>
            <w:pPr>
              <w:pStyle w:val="Compact"/>
              <w:jc w:val="left"/>
            </w:pPr>
            <w:r>
              <w:t xml:space="preserve">jacobian</w:t>
            </w:r>
          </w:p>
        </w:tc>
        <w:tc>
          <w:p>
            <w:pPr>
              <w:pStyle w:val="Compact"/>
              <w:jc w:val="left"/>
            </w:pPr>
            <w:r>
              <w:t xml:space="preserve">3</w:t>
            </w:r>
          </w:p>
        </w:tc>
        <w:tc>
          <w:p>
            <w:pPr>
              <w:pStyle w:val="Compact"/>
              <w:jc w:val="left"/>
            </w:pPr>
            <w:r>
              <w:t xml:space="preserve">local linear approximation of a differentiable map</w:t>
            </w:r>
          </w:p>
        </w:tc>
        <w:tc>
          <w:p>
            <w:pPr>
              <w:pStyle w:val="Compact"/>
              <w:jc w:val="left"/>
            </w:pPr>
            <w:hyperlink w:anchor="chapter-4">
              <w:r>
                <w:rPr>
                  <w:rStyle w:val="Hyperlink"/>
                </w:rPr>
                <w:t xml:space="preserve">Ch4</w:t>
              </w:r>
            </w:hyperlink>
          </w:p>
        </w:tc>
      </w:tr>
      <w:tr>
        <w:tc>
          <w:p>
            <w:pPr>
              <w:pStyle w:val="Compact"/>
              <w:jc w:val="left"/>
            </w:pPr>
            <w:r>
              <w:t xml:space="preserve">memory-layout</w:t>
            </w:r>
          </w:p>
        </w:tc>
        <w:tc>
          <w:p>
            <w:pPr>
              <w:pStyle w:val="Compact"/>
              <w:jc w:val="left"/>
            </w:pPr>
            <w:r>
              <w:t xml:space="preserve">7</w:t>
            </w:r>
          </w:p>
        </w:tc>
        <w:tc>
          <w:p>
            <w:pPr>
              <w:pStyle w:val="Compact"/>
              <w:jc w:val="left"/>
            </w:pPr>
            <w:r>
              <w:t xml:space="preserve">typed field layout: size, alignment, offset</w:t>
            </w:r>
          </w:p>
        </w:tc>
        <w:tc>
          <w:p>
            <w:pPr>
              <w:pStyle w:val="Compact"/>
              <w:jc w:val="left"/>
            </w:pPr>
            <w:hyperlink w:anchor="chapter-5">
              <w:r>
                <w:rPr>
                  <w:rStyle w:val="Hyperlink"/>
                </w:rPr>
                <w:t xml:space="preserve">Ch5</w:t>
              </w:r>
            </w:hyperlink>
          </w:p>
        </w:tc>
      </w:tr>
      <w:tr>
        <w:tc>
          <w:p>
            <w:pPr>
              <w:pStyle w:val="Compact"/>
              <w:jc w:val="left"/>
            </w:pPr>
            <w:r>
              <w:t xml:space="preserve">gradient-descent</w:t>
            </w:r>
          </w:p>
        </w:tc>
        <w:tc>
          <w:p>
            <w:pPr>
              <w:pStyle w:val="Compact"/>
              <w:jc w:val="left"/>
            </w:pPr>
            <w:r>
              <w:t xml:space="preserve">3</w:t>
            </w:r>
          </w:p>
        </w:tc>
        <w:tc>
          <w:p>
            <w:pPr>
              <w:pStyle w:val="Compact"/>
              <w:jc w:val="left"/>
            </w:pPr>
            <w:r>
              <w:t xml:space="preserve">adjust parameters by a scaled negative gradient</w:t>
            </w:r>
          </w:p>
        </w:tc>
        <w:tc>
          <w:p>
            <w:pPr>
              <w:pStyle w:val="Compact"/>
              <w:jc w:val="left"/>
            </w:pPr>
            <w:hyperlink w:anchor="chapter-6">
              <w:r>
                <w:rPr>
                  <w:rStyle w:val="Hyperlink"/>
                </w:rPr>
                <w:t xml:space="preserve">Ch6</w:t>
              </w:r>
            </w:hyperlink>
          </w:p>
        </w:tc>
      </w:tr>
      <w:tr>
        <w:tc>
          <w:p>
            <w:pPr>
              <w:pStyle w:val="Compact"/>
              <w:jc w:val="left"/>
            </w:pPr>
            <w:r>
              <w:t xml:space="preserve">tensor</w:t>
            </w:r>
          </w:p>
        </w:tc>
        <w:tc>
          <w:p>
            <w:pPr>
              <w:pStyle w:val="Compact"/>
              <w:jc w:val="left"/>
            </w:pPr>
            <w:r>
              <w:t xml:space="preserve">7</w:t>
            </w:r>
          </w:p>
        </w:tc>
        <w:tc>
          <w:p>
            <w:pPr>
              <w:pStyle w:val="Compact"/>
              <w:jc w:val="left"/>
            </w:pPr>
            <w:r>
              <w:t xml:space="preserve">shaped multidimensional array and its partitionable work</w:t>
            </w:r>
          </w:p>
        </w:tc>
        <w:tc>
          <w:p>
            <w:pPr>
              <w:pStyle w:val="Compact"/>
              <w:jc w:val="left"/>
            </w:pPr>
            <w:hyperlink w:anchor="chapter-7">
              <w:r>
                <w:rPr>
                  <w:rStyle w:val="Hyperlink"/>
                </w:rPr>
                <w:t xml:space="preserve">Ch7</w:t>
              </w:r>
            </w:hyperlink>
          </w:p>
        </w:tc>
      </w:tr>
      <w:tr>
        <w:tc>
          <w:p>
            <w:pPr>
              <w:pStyle w:val="Compact"/>
              <w:jc w:val="left"/>
            </w:pPr>
            <w:r>
              <w:t xml:space="preserve">embedding-space</w:t>
            </w:r>
          </w:p>
        </w:tc>
        <w:tc>
          <w:p>
            <w:pPr>
              <w:pStyle w:val="Compact"/>
              <w:jc w:val="left"/>
            </w:pPr>
            <w:r>
              <w:t xml:space="preserve">7</w:t>
            </w:r>
          </w:p>
        </w:tc>
        <w:tc>
          <w:p>
            <w:pPr>
              <w:pStyle w:val="Compact"/>
              <w:jc w:val="left"/>
            </w:pPr>
            <w:r>
              <w:t xml:space="preserve">coordinates, distance, and transformation of learned points</w:t>
            </w:r>
          </w:p>
        </w:tc>
        <w:tc>
          <w:p>
            <w:pPr>
              <w:pStyle w:val="Compact"/>
              <w:jc w:val="left"/>
            </w:pPr>
            <w:hyperlink w:anchor="chapter-8">
              <w:r>
                <w:rPr>
                  <w:rStyle w:val="Hyperlink"/>
                </w:rPr>
                <w:t xml:space="preserve">Ch8</w:t>
              </w:r>
            </w:hyperlink>
          </w:p>
        </w:tc>
      </w:tr>
      <w:tr>
        <w:tc>
          <w:p>
            <w:pPr>
              <w:pStyle w:val="Compact"/>
              <w:jc w:val="left"/>
            </w:pPr>
            <w:r>
              <w:t xml:space="preserve">recurrence</w:t>
            </w:r>
          </w:p>
        </w:tc>
        <w:tc>
          <w:p>
            <w:pPr>
              <w:pStyle w:val="Compact"/>
              <w:jc w:val="left"/>
            </w:pPr>
            <w:r>
              <w:t xml:space="preserve">7</w:t>
            </w:r>
          </w:p>
        </w:tc>
        <w:tc>
          <w:p>
            <w:pPr>
              <w:pStyle w:val="Compact"/>
              <w:jc w:val="left"/>
            </w:pPr>
            <w:r>
              <w:t xml:space="preserve">ordered state update with a predecessor dependency</w:t>
            </w:r>
          </w:p>
        </w:tc>
        <w:tc>
          <w:p>
            <w:pPr>
              <w:pStyle w:val="Compact"/>
              <w:jc w:val="left"/>
            </w:pPr>
            <w:hyperlink w:anchor="chapter-9">
              <w:r>
                <w:rPr>
                  <w:rStyle w:val="Hyperlink"/>
                </w:rPr>
                <w:t xml:space="preserve">Ch9</w:t>
              </w:r>
            </w:hyperlink>
          </w:p>
        </w:tc>
      </w:tr>
      <w:tr>
        <w:tc>
          <w:p>
            <w:pPr>
              <w:pStyle w:val="Compact"/>
              <w:jc w:val="left"/>
            </w:pPr>
            <w:r>
              <w:t xml:space="preserve">attention</w:t>
            </w:r>
          </w:p>
        </w:tc>
        <w:tc>
          <w:p>
            <w:pPr>
              <w:pStyle w:val="Compact"/>
              <w:jc w:val="left"/>
            </w:pPr>
            <w:r>
              <w:t xml:space="preserve">2</w:t>
            </w:r>
          </w:p>
        </w:tc>
        <w:tc>
          <w:p>
            <w:pPr>
              <w:pStyle w:val="Compact"/>
              <w:jc w:val="left"/>
            </w:pPr>
            <w:r>
              <w:t xml:space="preserve">weighted combination of values by query-key compatibility</w:t>
            </w:r>
          </w:p>
        </w:tc>
        <w:tc>
          <w:p>
            <w:pPr>
              <w:pStyle w:val="Compact"/>
              <w:jc w:val="left"/>
            </w:pPr>
            <w:hyperlink w:anchor="chapter-10">
              <w:r>
                <w:rPr>
                  <w:rStyle w:val="Hyperlink"/>
                </w:rPr>
                <w:t xml:space="preserve">Ch10</w:t>
              </w:r>
            </w:hyperlink>
          </w:p>
        </w:tc>
      </w:tr>
      <w:tr>
        <w:tc>
          <w:p>
            <w:pPr>
              <w:pStyle w:val="Compact"/>
              <w:jc w:val="left"/>
            </w:pPr>
            <w:r>
              <w:t xml:space="preserve">softmax</w:t>
            </w:r>
          </w:p>
        </w:tc>
        <w:tc>
          <w:p>
            <w:pPr>
              <w:pStyle w:val="Compact"/>
              <w:jc w:val="left"/>
            </w:pPr>
            <w:r>
              <w:t xml:space="preserve">3</w:t>
            </w:r>
          </w:p>
        </w:tc>
        <w:tc>
          <w:p>
            <w:pPr>
              <w:pStyle w:val="Compact"/>
              <w:jc w:val="left"/>
            </w:pPr>
            <w:r>
              <w:t xml:space="preserve">normalize scores into a nonnegative row summing to one</w:t>
            </w:r>
          </w:p>
        </w:tc>
        <w:tc>
          <w:p>
            <w:pPr>
              <w:pStyle w:val="Compact"/>
              <w:jc w:val="left"/>
            </w:pPr>
            <w:hyperlink w:anchor="chapter-10">
              <w:r>
                <w:rPr>
                  <w:rStyle w:val="Hyperlink"/>
                </w:rPr>
                <w:t xml:space="preserve">Ch10</w:t>
              </w:r>
            </w:hyperlink>
          </w:p>
        </w:tc>
      </w:tr>
      <w:tr>
        <w:tc>
          <w:p>
            <w:pPr>
              <w:pStyle w:val="Compact"/>
              <w:jc w:val="left"/>
            </w:pPr>
            <w:r>
              <w:t xml:space="preserve">transformer-block</w:t>
            </w:r>
          </w:p>
        </w:tc>
        <w:tc>
          <w:p>
            <w:pPr>
              <w:pStyle w:val="Compact"/>
              <w:jc w:val="left"/>
            </w:pPr>
            <w:r>
              <w:t xml:space="preserve">8</w:t>
            </w:r>
          </w:p>
        </w:tc>
        <w:tc>
          <w:p>
            <w:pPr>
              <w:pStyle w:val="Compact"/>
              <w:jc w:val="left"/>
            </w:pPr>
            <w:r>
              <w:t xml:space="preserve">assembled attention, residual, normalization, feed-forward stage</w:t>
            </w:r>
          </w:p>
        </w:tc>
        <w:tc>
          <w:p>
            <w:pPr>
              <w:pStyle w:val="Compact"/>
              <w:jc w:val="left"/>
            </w:pPr>
            <w:hyperlink w:anchor="chapter-11">
              <w:r>
                <w:rPr>
                  <w:rStyle w:val="Hyperlink"/>
                </w:rPr>
                <w:t xml:space="preserve">Ch11</w:t>
              </w:r>
            </w:hyperlink>
          </w:p>
        </w:tc>
      </w:tr>
      <w:tr>
        <w:tc>
          <w:p>
            <w:pPr>
              <w:pStyle w:val="Compact"/>
              <w:jc w:val="left"/>
            </w:pPr>
            <w:r>
              <w:t xml:space="preserve">residual</w:t>
            </w:r>
          </w:p>
        </w:tc>
        <w:tc>
          <w:p>
            <w:pPr>
              <w:pStyle w:val="Compact"/>
              <w:jc w:val="left"/>
            </w:pPr>
            <w:r>
              <w:t xml:space="preserve">3</w:t>
            </w:r>
          </w:p>
        </w:tc>
        <w:tc>
          <w:p>
            <w:pPr>
              <w:pStyle w:val="Compact"/>
              <w:jc w:val="left"/>
            </w:pPr>
            <w:r>
              <w:t xml:space="preserve">compose a branch output with its entry path by addition</w:t>
            </w:r>
          </w:p>
        </w:tc>
        <w:tc>
          <w:p>
            <w:pPr>
              <w:pStyle w:val="Compact"/>
              <w:jc w:val="left"/>
            </w:pPr>
            <w:hyperlink w:anchor="chapter-11">
              <w:r>
                <w:rPr>
                  <w:rStyle w:val="Hyperlink"/>
                </w:rPr>
                <w:t xml:space="preserve">Ch11</w:t>
              </w:r>
            </w:hyperlink>
          </w:p>
        </w:tc>
      </w:tr>
      <w:tr>
        <w:tc>
          <w:p>
            <w:pPr>
              <w:pStyle w:val="Compact"/>
              <w:jc w:val="left"/>
            </w:pPr>
            <w:r>
              <w:t xml:space="preserve">layer-norm</w:t>
            </w:r>
          </w:p>
        </w:tc>
        <w:tc>
          <w:p>
            <w:pPr>
              <w:pStyle w:val="Compact"/>
              <w:jc w:val="left"/>
            </w:pPr>
            <w:r>
              <w:t xml:space="preserve">3</w:t>
            </w:r>
          </w:p>
        </w:tc>
        <w:tc>
          <w:p>
            <w:pPr>
              <w:pStyle w:val="Compact"/>
              <w:jc w:val="left"/>
            </w:pPr>
            <w:r>
              <w:t xml:space="preserve">rescale a row to near-zero mean and near-unit variance</w:t>
            </w:r>
          </w:p>
        </w:tc>
        <w:tc>
          <w:p>
            <w:pPr>
              <w:pStyle w:val="Compact"/>
              <w:jc w:val="left"/>
            </w:pPr>
            <w:hyperlink w:anchor="chapter-11">
              <w:r>
                <w:rPr>
                  <w:rStyle w:val="Hyperlink"/>
                </w:rPr>
                <w:t xml:space="preserve">Ch11</w:t>
              </w:r>
            </w:hyperlink>
          </w:p>
        </w:tc>
      </w:tr>
      <w:tr>
        <w:tc>
          <w:p>
            <w:pPr>
              <w:pStyle w:val="Compact"/>
              <w:jc w:val="left"/>
            </w:pPr>
            <w:r>
              <w:t xml:space="preserve">feed-forward</w:t>
            </w:r>
          </w:p>
        </w:tc>
        <w:tc>
          <w:p>
            <w:pPr>
              <w:pStyle w:val="Compact"/>
              <w:jc w:val="left"/>
            </w:pPr>
            <w:r>
              <w:t xml:space="preserve">3</w:t>
            </w:r>
          </w:p>
        </w:tc>
        <w:tc>
          <w:p>
            <w:pPr>
              <w:pStyle w:val="Compact"/>
              <w:jc w:val="left"/>
            </w:pPr>
            <w:r>
              <w:t xml:space="preserve">per-position nonlinear transformation between two projections</w:t>
            </w:r>
          </w:p>
        </w:tc>
        <w:tc>
          <w:p>
            <w:pPr>
              <w:pStyle w:val="Compact"/>
              <w:jc w:val="left"/>
            </w:pPr>
            <w:hyperlink w:anchor="chapter-11">
              <w:r>
                <w:rPr>
                  <w:rStyle w:val="Hyperlink"/>
                </w:rPr>
                <w:t xml:space="preserve">Ch11</w:t>
              </w:r>
            </w:hyperlink>
          </w:p>
        </w:tc>
      </w:tr>
      <w:tr>
        <w:tc>
          <w:p>
            <w:pPr>
              <w:pStyle w:val="Compact"/>
              <w:jc w:val="left"/>
            </w:pPr>
            <w:r>
              <w:t xml:space="preserve">callable-package</w:t>
            </w:r>
          </w:p>
        </w:tc>
        <w:tc>
          <w:p>
            <w:pPr>
              <w:pStyle w:val="Compact"/>
              <w:jc w:val="left"/>
            </w:pPr>
            <w:r>
              <w:t xml:space="preserve">8</w:t>
            </w:r>
          </w:p>
        </w:tc>
        <w:tc>
          <w:p>
            <w:pPr>
              <w:pStyle w:val="Compact"/>
              <w:jc w:val="left"/>
            </w:pPr>
            <w:r>
              <w:t xml:space="preserve">validated serialized model bound to a runtime and interface</w:t>
            </w:r>
          </w:p>
        </w:tc>
        <w:tc>
          <w:p>
            <w:pPr>
              <w:pStyle w:val="Compact"/>
              <w:jc w:val="left"/>
            </w:pPr>
            <w:hyperlink w:anchor="chapter-12">
              <w:r>
                <w:rPr>
                  <w:rStyle w:val="Hyperlink"/>
                </w:rPr>
                <w:t xml:space="preserve">Ch12</w:t>
              </w:r>
            </w:hyperlink>
          </w:p>
        </w:tc>
      </w:tr>
      <w:tr>
        <w:tc>
          <w:p>
            <w:pPr>
              <w:pStyle w:val="Compact"/>
              <w:jc w:val="left"/>
            </w:pPr>
            <w:r>
              <w:t xml:space="preserve">alignment</w:t>
            </w:r>
          </w:p>
        </w:tc>
        <w:tc>
          <w:p>
            <w:pPr>
              <w:pStyle w:val="Compact"/>
              <w:jc w:val="left"/>
            </w:pPr>
            <w:r>
              <w:t xml:space="preserve">7</w:t>
            </w:r>
          </w:p>
        </w:tc>
        <w:tc>
          <w:p>
            <w:pPr>
              <w:pStyle w:val="Compact"/>
              <w:jc w:val="left"/>
            </w:pPr>
            <w:r>
              <w:t xml:space="preserve">exact typed match between an export and a destination requirement</w:t>
            </w:r>
          </w:p>
        </w:tc>
        <w:tc>
          <w:p>
            <w:pPr>
              <w:pStyle w:val="Compact"/>
              <w:jc w:val="left"/>
            </w:pPr>
            <w:hyperlink w:anchor="chapter-13">
              <w:r>
                <w:rPr>
                  <w:rStyle w:val="Hyperlink"/>
                </w:rPr>
                <w:t xml:space="preserve">Ch13</w:t>
              </w:r>
            </w:hyperlink>
          </w:p>
        </w:tc>
      </w:tr>
      <w:tr>
        <w:tc>
          <w:p>
            <w:pPr>
              <w:pStyle w:val="Compact"/>
              <w:jc w:val="left"/>
            </w:pPr>
            <w:r>
              <w:t xml:space="preserve">architecture-scales</w:t>
            </w:r>
          </w:p>
        </w:tc>
        <w:tc>
          <w:p>
            <w:pPr>
              <w:pStyle w:val="Compact"/>
              <w:jc w:val="left"/>
            </w:pPr>
            <w:r>
              <w:t xml:space="preserve">7</w:t>
            </w:r>
          </w:p>
        </w:tc>
        <w:tc>
          <w:p>
            <w:pPr>
              <w:pStyle w:val="Compact"/>
              <w:jc w:val="left"/>
            </w:pPr>
            <w:r>
              <w:t xml:space="preserve">one architecture identity viewed at system, stack, block, operation scope</w:t>
            </w:r>
          </w:p>
        </w:tc>
        <w:tc>
          <w:p>
            <w:pPr>
              <w:pStyle w:val="Compact"/>
              <w:jc w:val="left"/>
            </w:pPr>
            <w:hyperlink w:anchor="chapter-14">
              <w:r>
                <w:rPr>
                  <w:rStyle w:val="Hyperlink"/>
                </w:rPr>
                <w:t xml:space="preserve">Ch14</w:t>
              </w:r>
            </w:hyperlink>
          </w:p>
        </w:tc>
      </w:tr>
      <w:tr>
        <w:tc>
          <w:p>
            <w:pPr>
              <w:pStyle w:val="Compact"/>
              <w:jc w:val="left"/>
            </w:pPr>
            <w:r>
              <w:t xml:space="preserve">execution-trace</w:t>
            </w:r>
          </w:p>
        </w:tc>
        <w:tc>
          <w:p>
            <w:pPr>
              <w:pStyle w:val="Compact"/>
              <w:jc w:val="left"/>
            </w:pPr>
            <w:r>
              <w:t xml:space="preserve">1</w:t>
            </w:r>
          </w:p>
        </w:tc>
        <w:tc>
          <w:p>
            <w:pPr>
              <w:pStyle w:val="Compact"/>
              <w:jc w:val="left"/>
            </w:pPr>
            <w:r>
              <w:t xml:space="preserve">one request moved through validated stages in runtime order</w:t>
            </w:r>
          </w:p>
        </w:tc>
        <w:tc>
          <w:p>
            <w:pPr>
              <w:pStyle w:val="Compact"/>
              <w:jc w:val="left"/>
            </w:pPr>
            <w:hyperlink w:anchor="chapter-15">
              <w:r>
                <w:rPr>
                  <w:rStyle w:val="Hyperlink"/>
                </w:rPr>
                <w:t xml:space="preserve">Ch15</w:t>
              </w:r>
            </w:hyperlink>
          </w:p>
        </w:tc>
      </w:tr>
      <w:tr>
        <w:tc>
          <w:p>
            <w:pPr>
              <w:pStyle w:val="Compact"/>
              <w:jc w:val="left"/>
            </w:pPr>
            <w:r>
              <w:t xml:space="preserve">limits</w:t>
            </w:r>
          </w:p>
        </w:tc>
        <w:tc>
          <w:p>
            <w:pPr>
              <w:pStyle w:val="Compact"/>
              <w:jc w:val="left"/>
            </w:pPr>
            <w:r>
              <w:t xml:space="preserve">7</w:t>
            </w:r>
          </w:p>
        </w:tc>
        <w:tc>
          <w:p>
            <w:pPr>
              <w:pStyle w:val="Compact"/>
              <w:jc w:val="left"/>
            </w:pPr>
            <w:r>
              <w:t xml:space="preserve">typed constraint boundaries: context, representation, compute, vocabulary, decoding, contribution</w:t>
            </w:r>
          </w:p>
        </w:tc>
        <w:tc>
          <w:p>
            <w:pPr>
              <w:pStyle w:val="Compact"/>
              <w:jc w:val="left"/>
            </w:pPr>
            <w:hyperlink w:anchor="chapter-16">
              <w:r>
                <w:rPr>
                  <w:rStyle w:val="Hyperlink"/>
                </w:rPr>
                <w:t xml:space="preserve">Ch16</w:t>
              </w:r>
            </w:hyperlink>
          </w:p>
        </w:tc>
      </w:tr>
    </w:tbl>
    <w:p>
      <w:pPr>
        <w:pStyle w:val="Heading2"/>
      </w:pPr>
      <w:bookmarkStart w:id="288" w:name="book-two-man-pages-section-conventions"/>
      <w:r>
        <w:t xml:space="preserve">Section Conventions</w:t>
      </w:r>
      <w:bookmarkEnd w:id="288"/>
    </w:p>
    <w:p>
      <w:pPr>
        <w:numPr>
          <w:ilvl w:val="0"/>
          <w:numId w:val="1019"/>
        </w:numPr>
        <w:pStyle w:val="Compact"/>
      </w:pPr>
      <w:r>
        <w:rPr>
          <w:b/>
        </w:rPr>
        <w:t xml:space="preserve">1</w:t>
      </w:r>
      <w:r>
        <w:t xml:space="preserve"> </w:t>
      </w:r>
      <w:r>
        <w:t xml:space="preserve">— executable trace / user-observable run</w:t>
      </w:r>
    </w:p>
    <w:p>
      <w:pPr>
        <w:numPr>
          <w:ilvl w:val="0"/>
          <w:numId w:val="1019"/>
        </w:numPr>
        <w:pStyle w:val="Compact"/>
      </w:pPr>
      <w:r>
        <w:rPr>
          <w:b/>
        </w:rPr>
        <w:t xml:space="preserve">2</w:t>
      </w:r>
      <w:r>
        <w:t xml:space="preserve"> </w:t>
      </w:r>
      <w:r>
        <w:t xml:space="preserve">— core operator</w:t>
      </w:r>
    </w:p>
    <w:p>
      <w:pPr>
        <w:numPr>
          <w:ilvl w:val="0"/>
          <w:numId w:val="1019"/>
        </w:numPr>
        <w:pStyle w:val="Compact"/>
      </w:pPr>
      <w:r>
        <w:rPr>
          <w:b/>
        </w:rPr>
        <w:t xml:space="preserve">3</w:t>
      </w:r>
      <w:r>
        <w:t xml:space="preserve"> </w:t>
      </w:r>
      <w:r>
        <w:t xml:space="preserve">— mathematical or scalar procedure</w:t>
      </w:r>
    </w:p>
    <w:p>
      <w:pPr>
        <w:numPr>
          <w:ilvl w:val="0"/>
          <w:numId w:val="1019"/>
        </w:numPr>
        <w:pStyle w:val="Compact"/>
      </w:pPr>
      <w:r>
        <w:rPr>
          <w:b/>
        </w:rPr>
        <w:t xml:space="preserve">7</w:t>
      </w:r>
      <w:r>
        <w:t xml:space="preserve"> </w:t>
      </w:r>
      <w:r>
        <w:t xml:space="preserve">— architectural or structural concept</w:t>
      </w:r>
    </w:p>
    <w:p>
      <w:pPr>
        <w:numPr>
          <w:ilvl w:val="0"/>
          <w:numId w:val="1019"/>
        </w:numPr>
        <w:pStyle w:val="Compact"/>
      </w:pPr>
      <w:r>
        <w:rPr>
          <w:b/>
        </w:rPr>
        <w:t xml:space="preserve">8</w:t>
      </w:r>
      <w:r>
        <w:t xml:space="preserve"> </w:t>
      </w:r>
      <w:r>
        <w:t xml:space="preserve">— packaging, alignment, and administration</w:t>
      </w:r>
    </w:p>
    <w:p>
      <w:pPr>
        <w:pStyle w:val="Heading2"/>
      </w:pPr>
      <w:bookmarkStart w:id="289" w:name="book-two-man-pages-page-format"/>
      <w:r>
        <w:t xml:space="preserve">Page Format</w:t>
      </w:r>
      <w:bookmarkEnd w:id="289"/>
    </w:p>
    <w:p>
      <w:pPr>
        <w:pStyle w:val="SourceCode"/>
      </w:pPr>
      <w:r>
        <w:rPr>
          <w:rStyle w:val="VerbatimChar"/>
        </w:rPr>
        <w:t xml:space="preserve">NAME</w:t>
      </w:r>
      <w:r>
        <w:br/>
      </w:r>
      <w:r>
        <w:rPr>
          <w:rStyle w:val="VerbatimChar"/>
        </w:rPr>
        <w:t xml:space="preserve">SYNOPSIS</w:t>
      </w:r>
      <w:r>
        <w:br/>
      </w:r>
      <w:r>
        <w:rPr>
          <w:rStyle w:val="VerbatimChar"/>
        </w:rPr>
        <w:t xml:space="preserve">DESCRIPTION</w:t>
      </w:r>
      <w:r>
        <w:br/>
      </w:r>
      <w:r>
        <w:rPr>
          <w:rStyle w:val="VerbatimChar"/>
        </w:rPr>
        <w:t xml:space="preserve">NOTES        (boundaries this page must not cross)</w:t>
      </w:r>
      <w:r>
        <w:br/>
      </w:r>
      <w:r>
        <w:rPr>
          <w:rStyle w:val="VerbatimChar"/>
        </w:rPr>
        <w:t xml:space="preserve">SEE ALSO</w:t>
      </w:r>
      <w:r>
        <w:br/>
      </w:r>
      <w:r>
        <w:rPr>
          <w:rStyle w:val="VerbatimChar"/>
        </w:rPr>
        <w:t xml:space="preserve">SOURCE       (chapter and probe this page is grounded in)</w:t>
      </w:r>
    </w:p>
    <w:bookmarkStart w:id="290" w:name="man-man"/>
    <w:p>
      <w:pPr>
        <w:pStyle w:val="SourceCode"/>
      </w:pPr>
      <w:r>
        <w:rPr>
          <w:rStyle w:val="VerbatimChar"/>
        </w:rPr>
        <w:t xml:space="preserve">MAN(7)                           Book Two Man Pages                        MAN(7)</w:t>
      </w:r>
      <w:r>
        <w:br/>
      </w:r>
      <w:r>
        <w:br/>
      </w:r>
      <w:r>
        <w:rPr>
          <w:rStyle w:val="VerbatimChar"/>
        </w:rPr>
        <w:t xml:space="preserve">NAME</w:t>
      </w:r>
      <w:r>
        <w:br/>
      </w:r>
      <w:r>
        <w:rPr>
          <w:rStyle w:val="VerbatimChar"/>
        </w:rPr>
        <w:t xml:space="preserve">       man - what this lookup layer is, and what it is not</w:t>
      </w:r>
      <w:r>
        <w:br/>
      </w:r>
      <w:r>
        <w:br/>
      </w:r>
      <w:r>
        <w:rPr>
          <w:rStyle w:val="VerbatimChar"/>
        </w:rPr>
        <w:t xml:space="preserve">SYNOPSIS</w:t>
      </w:r>
      <w:r>
        <w:br/>
      </w:r>
      <w:r>
        <w:rPr>
          <w:rStyle w:val="VerbatimChar"/>
        </w:rPr>
        <w:t xml:space="preserve">       man &lt;name&gt;          read book2/man/&lt;name&gt;.md</w:t>
      </w:r>
      <w:r>
        <w:br/>
      </w:r>
      <w:r>
        <w:rPr>
          <w:rStyle w:val="VerbatimChar"/>
        </w:rPr>
        <w:t xml:space="preserve">       man -k &lt;word&gt;        scan man/README.md's index table</w:t>
      </w:r>
      <w:r>
        <w:br/>
      </w:r>
      <w:r>
        <w:br/>
      </w:r>
      <w:r>
        <w:rPr>
          <w:rStyle w:val="VerbatimChar"/>
        </w:rPr>
        <w:t xml:space="preserve">DESCRIPTION</w:t>
      </w:r>
      <w:r>
        <w:br/>
      </w:r>
      <w:r>
        <w:rPr>
          <w:rStyle w:val="VerbatimChar"/>
        </w:rPr>
        <w:t xml:space="preserve">       This directory is Book Two's man-page layer: a terse, structured,</w:t>
      </w:r>
      <w:r>
        <w:br/>
      </w:r>
      <w:r>
        <w:rPr>
          <w:rStyle w:val="VerbatimChar"/>
        </w:rPr>
        <w:t xml:space="preserve">       tool-oriented reference for the transformer's components, one page per</w:t>
      </w:r>
      <w:r>
        <w:br/>
      </w:r>
      <w:r>
        <w:rPr>
          <w:rStyle w:val="VerbatimChar"/>
        </w:rPr>
        <w:t xml:space="preserve">       operation. It exists beside the narrative chapters, not instead of</w:t>
      </w:r>
      <w:r>
        <w:br/>
      </w:r>
      <w:r>
        <w:rPr>
          <w:rStyle w:val="VerbatimChar"/>
        </w:rPr>
        <w:t xml:space="preserve">       them. A man page tells you what a component does and where its</w:t>
      </w:r>
      <w:r>
        <w:br/>
      </w:r>
      <w:r>
        <w:rPr>
          <w:rStyle w:val="VerbatimChar"/>
        </w:rPr>
        <w:t xml:space="preserve">       boundaries are. It does not teach, motivate, or argue; that work</w:t>
      </w:r>
      <w:r>
        <w:br/>
      </w:r>
      <w:r>
        <w:rPr>
          <w:rStyle w:val="VerbatimChar"/>
        </w:rPr>
        <w:t xml:space="preserve">       belongs to the chapter named in its SOURCE section.</w:t>
      </w:r>
      <w:r>
        <w:br/>
      </w:r>
      <w:r>
        <w:br/>
      </w:r>
      <w:r>
        <w:rPr>
          <w:rStyle w:val="VerbatimChar"/>
        </w:rPr>
        <w:t xml:space="preserve">       Each page follows one fixed layout:</w:t>
      </w:r>
      <w:r>
        <w:br/>
      </w:r>
      <w:r>
        <w:br/>
      </w:r>
      <w:r>
        <w:rPr>
          <w:rStyle w:val="VerbatimChar"/>
        </w:rPr>
        <w:t xml:space="preserve">           NAME        one line: what it is called, what it does</w:t>
      </w:r>
      <w:r>
        <w:br/>
      </w:r>
      <w:r>
        <w:rPr>
          <w:rStyle w:val="VerbatimChar"/>
        </w:rPr>
        <w:t xml:space="preserve">           SYNOPSIS     the operation's signature or defining equation</w:t>
      </w:r>
      <w:r>
        <w:br/>
      </w:r>
      <w:r>
        <w:rPr>
          <w:rStyle w:val="VerbatimChar"/>
        </w:rPr>
        <w:t xml:space="preserve">           DESCRIPTION  what the operation computes, in the fewest words that</w:t>
      </w:r>
      <w:r>
        <w:br/>
      </w:r>
      <w:r>
        <w:rPr>
          <w:rStyle w:val="VerbatimChar"/>
        </w:rPr>
        <w:t xml:space="preserve">                        remain accurate</w:t>
      </w:r>
      <w:r>
        <w:br/>
      </w:r>
      <w:r>
        <w:rPr>
          <w:rStyle w:val="VerbatimChar"/>
        </w:rPr>
        <w:t xml:space="preserve">           NOTES        the boundaries this page must not cross - what the</w:t>
      </w:r>
      <w:r>
        <w:br/>
      </w:r>
      <w:r>
        <w:rPr>
          <w:rStyle w:val="VerbatimChar"/>
        </w:rPr>
        <w:t xml:space="preserve">                        operation is not, what it does not prove, and how it</w:t>
      </w:r>
      <w:r>
        <w:br/>
      </w:r>
      <w:r>
        <w:rPr>
          <w:rStyle w:val="VerbatimChar"/>
        </w:rPr>
        <w:t xml:space="preserve">                        relates to neighboring operations without collapsing</w:t>
      </w:r>
      <w:r>
        <w:br/>
      </w:r>
      <w:r>
        <w:rPr>
          <w:rStyle w:val="VerbatimChar"/>
        </w:rPr>
        <w:t xml:space="preserve">                        into them</w:t>
      </w:r>
      <w:r>
        <w:br/>
      </w:r>
      <w:r>
        <w:rPr>
          <w:rStyle w:val="VerbatimChar"/>
        </w:rPr>
        <w:t xml:space="preserve">           SEE ALSO     other pages whose operations this one depends on or</w:t>
      </w:r>
      <w:r>
        <w:br/>
      </w:r>
      <w:r>
        <w:rPr>
          <w:rStyle w:val="VerbatimChar"/>
        </w:rPr>
        <w:t xml:space="preserve">                        is depended on by</w:t>
      </w:r>
      <w:r>
        <w:br/>
      </w:r>
      <w:r>
        <w:rPr>
          <w:rStyle w:val="VerbatimChar"/>
        </w:rPr>
        <w:t xml:space="preserve">           SOURCE       the exact chapter and probe whose evidence this page</w:t>
      </w:r>
      <w:r>
        <w:br/>
      </w:r>
      <w:r>
        <w:rPr>
          <w:rStyle w:val="VerbatimChar"/>
        </w:rPr>
        <w:t xml:space="preserve">                        is grounded in</w:t>
      </w:r>
      <w:r>
        <w:br/>
      </w:r>
      <w:r>
        <w:br/>
      </w:r>
      <w:r>
        <w:rPr>
          <w:rStyle w:val="VerbatimChar"/>
        </w:rPr>
        <w:t xml:space="preserve">       The README.md index in this directory is the apropos table: name,</w:t>
      </w:r>
      <w:r>
        <w:br/>
      </w:r>
      <w:r>
        <w:rPr>
          <w:rStyle w:val="VerbatimChar"/>
        </w:rPr>
        <w:t xml:space="preserve">       section, one-line description, and source chapter for every page.</w:t>
      </w:r>
      <w:r>
        <w:br/>
      </w:r>
      <w:r>
        <w:rPr>
          <w:rStyle w:val="VerbatimChar"/>
        </w:rPr>
        <w:t xml:space="preserve">       analytics/analyze.py checks it automatically (see engine/manpages.py):</w:t>
      </w:r>
      <w:r>
        <w:br/>
      </w:r>
      <w:r>
        <w:rPr>
          <w:rStyle w:val="VerbatimChar"/>
        </w:rPr>
        <w:t xml:space="preserve">       every page must carry all six sections, every SEE ALSO reference must</w:t>
      </w:r>
      <w:r>
        <w:br/>
      </w:r>
      <w:r>
        <w:rPr>
          <w:rStyle w:val="VerbatimChar"/>
        </w:rPr>
        <w:t xml:space="preserve">       resolve to a page that exists, every SOURCE citation must resolve to</w:t>
      </w:r>
      <w:r>
        <w:br/>
      </w:r>
      <w:r>
        <w:rPr>
          <w:rStyle w:val="VerbatimChar"/>
        </w:rPr>
        <w:t xml:space="preserve">       a chapter that exists, and the index must match the files on disk</w:t>
      </w:r>
      <w:r>
        <w:br/>
      </w:r>
      <w:r>
        <w:rPr>
          <w:rStyle w:val="VerbatimChar"/>
        </w:rPr>
        <w:t xml:space="preserve">       exactly. A page that fails any of these checks is incomplete, not</w:t>
      </w:r>
      <w:r>
        <w:br/>
      </w:r>
      <w:r>
        <w:rPr>
          <w:rStyle w:val="VerbatimChar"/>
        </w:rPr>
        <w:t xml:space="preserve">       merely under-written.</w:t>
      </w:r>
      <w:r>
        <w:br/>
      </w:r>
      <w:r>
        <w:br/>
      </w:r>
      <w:r>
        <w:rPr>
          <w:rStyle w:val="VerbatimChar"/>
        </w:rPr>
        <w:t xml:space="preserve">HISTORY</w:t>
      </w:r>
      <w:r>
        <w:br/>
      </w:r>
      <w:r>
        <w:rPr>
          <w:rStyle w:val="VerbatimChar"/>
        </w:rPr>
        <w:t xml:space="preserve">       Unix man pages gave a programmer working at a terminal a lookup table</w:t>
      </w:r>
      <w:r>
        <w:br/>
      </w:r>
      <w:r>
        <w:rPr>
          <w:rStyle w:val="VerbatimChar"/>
        </w:rPr>
        <w:t xml:space="preserve">       for the machine: terse enough to read at a glance, structured enough</w:t>
      </w:r>
      <w:r>
        <w:br/>
      </w:r>
      <w:r>
        <w:rPr>
          <w:rStyle w:val="VerbatimChar"/>
        </w:rPr>
        <w:t xml:space="preserve">       to search, and scoped to one tool at a time. `man 2 write` did not</w:t>
      </w:r>
      <w:r>
        <w:br/>
      </w:r>
      <w:r>
        <w:rPr>
          <w:rStyle w:val="VerbatimChar"/>
        </w:rPr>
        <w:t xml:space="preserve">       explain I/O in general; it explained one system call, its arguments,</w:t>
      </w:r>
      <w:r>
        <w:br/>
      </w:r>
      <w:r>
        <w:rPr>
          <w:rStyle w:val="VerbatimChar"/>
        </w:rPr>
        <w:t xml:space="preserve">       and its return values, and pointed elsewhere for the rest.</w:t>
      </w:r>
      <w:r>
        <w:br/>
      </w:r>
      <w:r>
        <w:br/>
      </w:r>
      <w:r>
        <w:rPr>
          <w:rStyle w:val="VerbatimChar"/>
        </w:rPr>
        <w:t xml:space="preserve">       This layer applies that same discipline to a different machine. A</w:t>
      </w:r>
      <w:r>
        <w:br/>
      </w:r>
      <w:r>
        <w:rPr>
          <w:rStyle w:val="VerbatimChar"/>
        </w:rPr>
        <w:t xml:space="preserve">       Transformer is assembled from named, callable operations - attention,</w:t>
      </w:r>
      <w:r>
        <w:br/>
      </w:r>
      <w:r>
        <w:rPr>
          <w:rStyle w:val="VerbatimChar"/>
        </w:rPr>
        <w:t xml:space="preserve">       softmax, a feed-forward stage, a residual addition - each with a</w:t>
      </w:r>
      <w:r>
        <w:br/>
      </w:r>
      <w:r>
        <w:rPr>
          <w:rStyle w:val="VerbatimChar"/>
        </w:rPr>
        <w:t xml:space="preserve">       precise contract and a precise boundary. Treating those operations as</w:t>
      </w:r>
      <w:r>
        <w:br/>
      </w:r>
      <w:r>
        <w:rPr>
          <w:rStyle w:val="VerbatimChar"/>
        </w:rPr>
        <w:t xml:space="preserve">       lookup entries, rather than folding them back into prose, is the same</w:t>
      </w:r>
      <w:r>
        <w:br/>
      </w:r>
      <w:r>
        <w:rPr>
          <w:rStyle w:val="VerbatimChar"/>
        </w:rPr>
        <w:t xml:space="preserve">       instinct that produced /usr/share/man: the tool is inspectable in</w:t>
      </w:r>
      <w:r>
        <w:br/>
      </w:r>
      <w:r>
        <w:rPr>
          <w:rStyle w:val="VerbatimChar"/>
        </w:rPr>
        <w:t xml:space="preserve">       pieces, and each piece deserves its own terse entry.</w:t>
      </w:r>
      <w:r>
        <w:br/>
      </w:r>
      <w:r>
        <w:br/>
      </w:r>
      <w:r>
        <w:rPr>
          <w:rStyle w:val="VerbatimChar"/>
        </w:rPr>
        <w:t xml:space="preserve">NOTES</w:t>
      </w:r>
      <w:r>
        <w:br/>
      </w:r>
      <w:r>
        <w:rPr>
          <w:rStyle w:val="VerbatimChar"/>
        </w:rPr>
        <w:t xml:space="preserve">       This page is about the convention, not about any transformer</w:t>
      </w:r>
      <w:r>
        <w:br/>
      </w:r>
      <w:r>
        <w:rPr>
          <w:rStyle w:val="VerbatimChar"/>
        </w:rPr>
        <w:t xml:space="preserve">       component. It has no mathematical claim to verify and therefore no</w:t>
      </w:r>
      <w:r>
        <w:br/>
      </w:r>
      <w:r>
        <w:rPr>
          <w:rStyle w:val="VerbatimChar"/>
        </w:rPr>
        <w:t xml:space="preserve">       chapter probe backing it; its SOURCE is the man-page layer itself.</w:t>
      </w:r>
      <w:r>
        <w:br/>
      </w:r>
      <w:r>
        <w:br/>
      </w:r>
      <w:r>
        <w:rPr>
          <w:rStyle w:val="VerbatimChar"/>
        </w:rPr>
        <w:t xml:space="preserve">SEE ALSO</w:t>
      </w:r>
      <w:r>
        <w:br/>
      </w:r>
      <w:r>
        <w:rPr>
          <w:rStyle w:val="VerbatimChar"/>
        </w:rPr>
        <w:t xml:space="preserve">       attention(2), transformer-block(8), execution-trace(1)</w:t>
      </w:r>
      <w:r>
        <w:br/>
      </w:r>
      <w:r>
        <w:br/>
      </w:r>
      <w:r>
        <w:rPr>
          <w:rStyle w:val="VerbatimChar"/>
        </w:rPr>
        <w:t xml:space="preserve">SOURCE</w:t>
      </w:r>
      <w:r>
        <w:br/>
      </w:r>
      <w:r>
        <w:rPr>
          <w:rStyle w:val="VerbatimChar"/>
        </w:rPr>
        <w:t xml:space="preserve">       book2/man/README.md; established August 31, 2026.</w:t>
      </w:r>
    </w:p>
    <w:bookmarkEnd w:id="290"/>
    <w:bookmarkStart w:id="291" w:name="man-representation"/>
    <w:p>
      <w:pPr>
        <w:pStyle w:val="SourceCode"/>
      </w:pPr>
      <w:r>
        <w:rPr>
          <w:rStyle w:val="VerbatimChar"/>
        </w:rPr>
        <w:t xml:space="preserve">REPRESENTATION(3)                Book Two Man Pages               REPRESENTATION(3)</w:t>
      </w:r>
      <w:r>
        <w:br/>
      </w:r>
      <w:r>
        <w:br/>
      </w:r>
      <w:r>
        <w:rPr>
          <w:rStyle w:val="VerbatimChar"/>
        </w:rPr>
        <w:t xml:space="preserve">NAME</w:t>
      </w:r>
      <w:r>
        <w:br/>
      </w:r>
      <w:r>
        <w:rPr>
          <w:rStyle w:val="VerbatimChar"/>
        </w:rPr>
        <w:t xml:space="preserve">       representation - map source text to a vocabulary identifier and vector</w:t>
      </w:r>
      <w:r>
        <w:br/>
      </w:r>
      <w:r>
        <w:br/>
      </w:r>
      <w:r>
        <w:rPr>
          <w:rStyle w:val="VerbatimChar"/>
        </w:rPr>
        <w:t xml:space="preserve">SYNOPSIS</w:t>
      </w:r>
      <w:r>
        <w:br/>
      </w:r>
      <w:r>
        <w:rPr>
          <w:rStyle w:val="VerbatimChar"/>
        </w:rPr>
        <w:t xml:space="preserve">       normalize(text) -&gt; tokens</w:t>
      </w:r>
      <w:r>
        <w:br/>
      </w:r>
      <w:r>
        <w:rPr>
          <w:rStyle w:val="VerbatimChar"/>
        </w:rPr>
        <w:t xml:space="preserve">       lookup(token, vocabulary) -&gt; identifier</w:t>
      </w:r>
      <w:r>
        <w:br/>
      </w:r>
      <w:r>
        <w:rPr>
          <w:rStyle w:val="VerbatimChar"/>
        </w:rPr>
        <w:t xml:space="preserve">       select(identifier, table) -&gt; vector</w:t>
      </w:r>
      <w:r>
        <w:br/>
      </w:r>
      <w:r>
        <w:br/>
      </w:r>
      <w:r>
        <w:rPr>
          <w:rStyle w:val="VerbatimChar"/>
        </w:rPr>
        <w:t xml:space="preserve">DESCRIPTION</w:t>
      </w:r>
      <w:r>
        <w:br/>
      </w:r>
      <w:r>
        <w:rPr>
          <w:rStyle w:val="VerbatimChar"/>
        </w:rPr>
        <w:t xml:space="preserve">       Source text is normalized (Unicode NFC, case folding, trim), split into</w:t>
      </w:r>
      <w:r>
        <w:br/>
      </w:r>
      <w:r>
        <w:rPr>
          <w:rStyle w:val="VerbatimChar"/>
        </w:rPr>
        <w:t xml:space="preserve">       tokens, and each token is assigned an integer identifier by a declared</w:t>
      </w:r>
      <w:r>
        <w:br/>
      </w:r>
      <w:r>
        <w:rPr>
          <w:rStyle w:val="VerbatimChar"/>
        </w:rPr>
        <w:t xml:space="preserve">       vocabulary. The identifier selects one row of a lookup table. Renumbering</w:t>
      </w:r>
      <w:r>
        <w:br/>
      </w:r>
      <w:r>
        <w:rPr>
          <w:rStyle w:val="VerbatimChar"/>
        </w:rPr>
        <w:t xml:space="preserve">       the vocabulary and permuting the table together preserves the selected</w:t>
      </w:r>
      <w:r>
        <w:br/>
      </w:r>
      <w:r>
        <w:rPr>
          <w:rStyle w:val="VerbatimChar"/>
        </w:rPr>
        <w:t xml:space="preserve">       row; the identifier is an assigned index, not an intrinsic property of</w:t>
      </w:r>
      <w:r>
        <w:br/>
      </w:r>
      <w:r>
        <w:rPr>
          <w:rStyle w:val="VerbatimChar"/>
        </w:rPr>
        <w:t xml:space="preserve">       the token.</w:t>
      </w:r>
      <w:r>
        <w:br/>
      </w:r>
      <w:r>
        <w:br/>
      </w:r>
      <w:r>
        <w:rPr>
          <w:rStyle w:val="VerbatimChar"/>
        </w:rPr>
        <w:t xml:space="preserve">       A vocabulary miss falls back to &lt;unk&gt;, ID 0. Distinct absent tokens can</w:t>
      </w:r>
      <w:r>
        <w:br/>
      </w:r>
      <w:r>
        <w:rPr>
          <w:rStyle w:val="VerbatimChar"/>
        </w:rPr>
        <w:t xml:space="preserve">       collapse onto the same identifier and vector; the fallback discards the</w:t>
      </w:r>
      <w:r>
        <w:br/>
      </w:r>
      <w:r>
        <w:rPr>
          <w:rStyle w:val="VerbatimChar"/>
        </w:rPr>
        <w:t xml:space="preserve">       distinction between them.</w:t>
      </w:r>
      <w:r>
        <w:br/>
      </w:r>
      <w:r>
        <w:br/>
      </w:r>
      <w:r>
        <w:rPr>
          <w:rStyle w:val="VerbatimChar"/>
        </w:rPr>
        <w:t xml:space="preserve">NOTES</w:t>
      </w:r>
      <w:r>
        <w:br/>
      </w:r>
      <w:r>
        <w:rPr>
          <w:rStyle w:val="VerbatimChar"/>
        </w:rPr>
        <w:t xml:space="preserve">       An identifier is not a meaning. A coordinate is meaningful only relative</w:t>
      </w:r>
      <w:r>
        <w:br/>
      </w:r>
      <w:r>
        <w:rPr>
          <w:rStyle w:val="VerbatimChar"/>
        </w:rPr>
        <w:t xml:space="preserve">       to its basis and vocabulary. This page does not train a table, interpret</w:t>
      </w:r>
      <w:r>
        <w:br/>
      </w:r>
      <w:r>
        <w:rPr>
          <w:rStyle w:val="VerbatimChar"/>
        </w:rPr>
        <w:t xml:space="preserve">       vector directions, or establish task adequacy.</w:t>
      </w:r>
      <w:r>
        <w:br/>
      </w:r>
      <w:r>
        <w:br/>
      </w:r>
      <w:r>
        <w:rPr>
          <w:rStyle w:val="VerbatimChar"/>
        </w:rPr>
        <w:t xml:space="preserve">       At Transformer scale, this same lookup is the embedding layer: hardware</w:t>
      </w:r>
      <w:r>
        <w:br/>
      </w:r>
      <w:r>
        <w:rPr>
          <w:rStyle w:val="VerbatimChar"/>
        </w:rPr>
        <w:t xml:space="preserve">       executes it as a memory-bound gather from contiguous rows, not an</w:t>
      </w:r>
      <w:r>
        <w:br/>
      </w:r>
      <w:r>
        <w:rPr>
          <w:rStyle w:val="VerbatimChar"/>
        </w:rPr>
        <w:t xml:space="preserve">       arithmetic-bound computation. Training changes which vectors occupy the</w:t>
      </w:r>
      <w:r>
        <w:br/>
      </w:r>
      <w:r>
        <w:rPr>
          <w:rStyle w:val="VerbatimChar"/>
        </w:rPr>
        <w:t xml:space="preserve">       rows; it does not change the indexing operation.</w:t>
      </w:r>
      <w:r>
        <w:br/>
      </w:r>
      <w:r>
        <w:br/>
      </w:r>
      <w:r>
        <w:rPr>
          <w:rStyle w:val="VerbatimChar"/>
        </w:rPr>
        <w:t xml:space="preserve">SEE ALSO</w:t>
      </w:r>
      <w:r>
        <w:br/>
      </w:r>
      <w:r>
        <w:rPr>
          <w:rStyle w:val="VerbatimChar"/>
        </w:rPr>
        <w:t xml:space="preserve">       tensor(7), embedding-space(7)</w:t>
      </w:r>
      <w:r>
        <w:br/>
      </w:r>
      <w:r>
        <w:br/>
      </w:r>
      <w:r>
        <w:rPr>
          <w:rStyle w:val="VerbatimChar"/>
        </w:rPr>
        <w:t xml:space="preserve">SOURCE</w:t>
      </w:r>
      <w:r>
        <w:br/>
      </w:r>
      <w:r>
        <w:rPr>
          <w:rStyle w:val="VerbatimChar"/>
        </w:rPr>
        <w:t xml:space="preserve">       Chapter 2, representation probe.</w:t>
      </w:r>
    </w:p>
    <w:bookmarkEnd w:id="291"/>
    <w:bookmarkStart w:id="292" w:name="man-bayesian-update"/>
    <w:p>
      <w:pPr>
        <w:pStyle w:val="SourceCode"/>
      </w:pPr>
      <w:r>
        <w:rPr>
          <w:rStyle w:val="VerbatimChar"/>
        </w:rPr>
        <w:t xml:space="preserve">BAYESIAN-UPDATE(3)               Book Two Man Pages              BAYESIAN-UPDATE(3)</w:t>
      </w:r>
      <w:r>
        <w:br/>
      </w:r>
      <w:r>
        <w:br/>
      </w:r>
      <w:r>
        <w:rPr>
          <w:rStyle w:val="VerbatimChar"/>
        </w:rPr>
        <w:t xml:space="preserve">NAME</w:t>
      </w:r>
      <w:r>
        <w:br/>
      </w:r>
      <w:r>
        <w:rPr>
          <w:rStyle w:val="VerbatimChar"/>
        </w:rPr>
        <w:t xml:space="preserve">       bayesian-update - redistribute probability over hypotheses given evidence</w:t>
      </w:r>
      <w:r>
        <w:br/>
      </w:r>
      <w:r>
        <w:br/>
      </w:r>
      <w:r>
        <w:rPr>
          <w:rStyle w:val="VerbatimChar"/>
        </w:rPr>
        <w:t xml:space="preserve">SYNOPSIS</w:t>
      </w:r>
      <w:r>
        <w:br/>
      </w:r>
      <w:r>
        <w:rPr>
          <w:rStyle w:val="VerbatimChar"/>
        </w:rPr>
        <w:t xml:space="preserve">       w(h) = P(evidence | h) * P(h)</w:t>
      </w:r>
      <w:r>
        <w:br/>
      </w:r>
      <w:r>
        <w:rPr>
          <w:rStyle w:val="VerbatimChar"/>
        </w:rPr>
        <w:t xml:space="preserve">       P(h | evidence) = w(h) / sum_h w(h)</w:t>
      </w:r>
      <w:r>
        <w:br/>
      </w:r>
      <w:r>
        <w:br/>
      </w:r>
      <w:r>
        <w:rPr>
          <w:rStyle w:val="VerbatimChar"/>
        </w:rPr>
        <w:t xml:space="preserve">DESCRIPTION</w:t>
      </w:r>
      <w:r>
        <w:br/>
      </w:r>
      <w:r>
        <w:rPr>
          <w:rStyle w:val="VerbatimChar"/>
        </w:rPr>
        <w:t xml:space="preserve">       Given a prior distribution over a declared, exhaustive hypothesis space</w:t>
      </w:r>
      <w:r>
        <w:br/>
      </w:r>
      <w:r>
        <w:rPr>
          <w:rStyle w:val="VerbatimChar"/>
        </w:rPr>
        <w:t xml:space="preserve">       and a likelihood model for one observation, the posterior weights each</w:t>
      </w:r>
      <w:r>
        <w:br/>
      </w:r>
      <w:r>
        <w:rPr>
          <w:rStyle w:val="VerbatimChar"/>
        </w:rPr>
        <w:t xml:space="preserve">       hypothesis by prior times likelihood, then normalizes by the total</w:t>
      </w:r>
      <w:r>
        <w:br/>
      </w:r>
      <w:r>
        <w:rPr>
          <w:rStyle w:val="VerbatimChar"/>
        </w:rPr>
        <w:t xml:space="preserve">       weight. The posterior sums to one and remains strictly between zero and</w:t>
      </w:r>
      <w:r>
        <w:br/>
      </w:r>
      <w:r>
        <w:rPr>
          <w:rStyle w:val="VerbatimChar"/>
        </w:rPr>
        <w:t xml:space="preserve">       one for every hypothesis that is not already certain.</w:t>
      </w:r>
      <w:r>
        <w:br/>
      </w:r>
      <w:r>
        <w:br/>
      </w:r>
      <w:r>
        <w:rPr>
          <w:rStyle w:val="VerbatimChar"/>
        </w:rPr>
        <w:t xml:space="preserve">       The posterior depends on the declared prior and likelihood model, not</w:t>
      </w:r>
      <w:r>
        <w:br/>
      </w:r>
      <w:r>
        <w:rPr>
          <w:rStyle w:val="VerbatimChar"/>
        </w:rPr>
        <w:t xml:space="preserve">       only on the observed evidence string. Changing either input changes the</w:t>
      </w:r>
      <w:r>
        <w:br/>
      </w:r>
      <w:r>
        <w:rPr>
          <w:rStyle w:val="VerbatimChar"/>
        </w:rPr>
        <w:t xml:space="preserve">       result for the same evidence.</w:t>
      </w:r>
      <w:r>
        <w:br/>
      </w:r>
      <w:r>
        <w:br/>
      </w:r>
      <w:r>
        <w:rPr>
          <w:rStyle w:val="VerbatimChar"/>
        </w:rPr>
        <w:t xml:space="preserve">NOTES</w:t>
      </w:r>
      <w:r>
        <w:br/>
      </w:r>
      <w:r>
        <w:rPr>
          <w:rStyle w:val="VerbatimChar"/>
        </w:rPr>
        <w:t xml:space="preserve">       A posterior is not a decision; a decision requires a threshold or loss</w:t>
      </w:r>
      <w:r>
        <w:br/>
      </w:r>
      <w:r>
        <w:rPr>
          <w:rStyle w:val="VerbatimChar"/>
        </w:rPr>
        <w:t xml:space="preserve">       function not supplied here. A likelihood is not its inverse:</w:t>
      </w:r>
      <w:r>
        <w:br/>
      </w:r>
      <w:r>
        <w:rPr>
          <w:rStyle w:val="VerbatimChar"/>
        </w:rPr>
        <w:t xml:space="preserve">       P(evidence | h) != P(h | evidence).</w:t>
      </w:r>
      <w:r>
        <w:br/>
      </w:r>
      <w:r>
        <w:br/>
      </w:r>
      <w:r>
        <w:rPr>
          <w:rStyle w:val="VerbatimChar"/>
        </w:rPr>
        <w:t xml:space="preserve">       This weighting arithmetic - multiply, sum, normalize - recurs later as</w:t>
      </w:r>
      <w:r>
        <w:br/>
      </w:r>
      <w:r>
        <w:rPr>
          <w:rStyle w:val="VerbatimChar"/>
        </w:rPr>
        <w:t xml:space="preserve">       the softmax(3) kernel inside attention(2). Shared arithmetic is not</w:t>
      </w:r>
      <w:r>
        <w:br/>
      </w:r>
      <w:r>
        <w:rPr>
          <w:rStyle w:val="VerbatimChar"/>
        </w:rPr>
        <w:t xml:space="preserve">       shared interpretation: a posterior is conditioned on a declared</w:t>
      </w:r>
      <w:r>
        <w:br/>
      </w:r>
      <w:r>
        <w:rPr>
          <w:rStyle w:val="VerbatimChar"/>
        </w:rPr>
        <w:t xml:space="preserve">       hypothesis space and likelihood model, an attention weight is not.</w:t>
      </w:r>
      <w:r>
        <w:br/>
      </w:r>
      <w:r>
        <w:br/>
      </w:r>
      <w:r>
        <w:rPr>
          <w:rStyle w:val="VerbatimChar"/>
        </w:rPr>
        <w:t xml:space="preserve">SEE ALSO</w:t>
      </w:r>
      <w:r>
        <w:br/>
      </w:r>
      <w:r>
        <w:rPr>
          <w:rStyle w:val="VerbatimChar"/>
        </w:rPr>
        <w:t xml:space="preserve">       softmax(3), attention(2), gradient-descent(3)</w:t>
      </w:r>
      <w:r>
        <w:br/>
      </w:r>
      <w:r>
        <w:br/>
      </w:r>
      <w:r>
        <w:rPr>
          <w:rStyle w:val="VerbatimChar"/>
        </w:rPr>
        <w:t xml:space="preserve">SOURCE</w:t>
      </w:r>
      <w:r>
        <w:br/>
      </w:r>
      <w:r>
        <w:rPr>
          <w:rStyle w:val="VerbatimChar"/>
        </w:rPr>
        <w:t xml:space="preserve">       Chapter 3, Bayesian update probe.</w:t>
      </w:r>
    </w:p>
    <w:bookmarkEnd w:id="292"/>
    <w:bookmarkStart w:id="293" w:name="man-jacobian"/>
    <w:p>
      <w:pPr>
        <w:pStyle w:val="SourceCode"/>
      </w:pPr>
      <w:r>
        <w:rPr>
          <w:rStyle w:val="VerbatimChar"/>
        </w:rPr>
        <w:t xml:space="preserve">JACOBIAN(3)                      Book Two Man Pages                     JACOBIAN(3)</w:t>
      </w:r>
      <w:r>
        <w:br/>
      </w:r>
      <w:r>
        <w:br/>
      </w:r>
      <w:r>
        <w:rPr>
          <w:rStyle w:val="VerbatimChar"/>
        </w:rPr>
        <w:t xml:space="preserve">NAME</w:t>
      </w:r>
      <w:r>
        <w:br/>
      </w:r>
      <w:r>
        <w:rPr>
          <w:rStyle w:val="VerbatimChar"/>
        </w:rPr>
        <w:t xml:space="preserve">       jacobian - local linear approximation of a differentiable map</w:t>
      </w:r>
      <w:r>
        <w:br/>
      </w:r>
      <w:r>
        <w:br/>
      </w:r>
      <w:r>
        <w:rPr>
          <w:rStyle w:val="VerbatimChar"/>
        </w:rPr>
        <w:t xml:space="preserve">SYNOPSIS</w:t>
      </w:r>
      <w:r>
        <w:br/>
      </w:r>
      <w:r>
        <w:rPr>
          <w:rStyle w:val="VerbatimChar"/>
        </w:rPr>
        <w:t xml:space="preserve">       J_f(p)[i][j] = d f_i / d x_j, evaluated at point p</w:t>
      </w:r>
      <w:r>
        <w:br/>
      </w:r>
      <w:r>
        <w:rPr>
          <w:rStyle w:val="VerbatimChar"/>
        </w:rPr>
        <w:t xml:space="preserve">       f(p + h*d) ~= f(p) + h * J_f(p) d</w:t>
      </w:r>
      <w:r>
        <w:br/>
      </w:r>
      <w:r>
        <w:br/>
      </w:r>
      <w:r>
        <w:rPr>
          <w:rStyle w:val="VerbatimChar"/>
        </w:rPr>
        <w:t xml:space="preserve">DESCRIPTION</w:t>
      </w:r>
      <w:r>
        <w:br/>
      </w:r>
      <w:r>
        <w:rPr>
          <w:rStyle w:val="VerbatimChar"/>
        </w:rPr>
        <w:t xml:space="preserve">       For a differentiable vector-valued map f, the Jacobian collects partial</w:t>
      </w:r>
      <w:r>
        <w:br/>
      </w:r>
      <w:r>
        <w:rPr>
          <w:rStyle w:val="VerbatimChar"/>
        </w:rPr>
        <w:t xml:space="preserve">       derivatives of each output with respect to each input, evaluated at one</w:t>
      </w:r>
      <w:r>
        <w:br/>
      </w:r>
      <w:r>
        <w:rPr>
          <w:rStyle w:val="VerbatimChar"/>
        </w:rPr>
        <w:t xml:space="preserve">       point p. It predicts first-order output change for a small step along a</w:t>
      </w:r>
      <w:r>
        <w:br/>
      </w:r>
      <w:r>
        <w:rPr>
          <w:rStyle w:val="VerbatimChar"/>
        </w:rPr>
        <w:t xml:space="preserve">       direction d. A finite-difference check with decreasing step size h</w:t>
      </w:r>
      <w:r>
        <w:br/>
      </w:r>
      <w:r>
        <w:rPr>
          <w:rStyle w:val="VerbatimChar"/>
        </w:rPr>
        <w:t xml:space="preserve">       supplies an independent numerical verification of the analytic formula.</w:t>
      </w:r>
      <w:r>
        <w:br/>
      </w:r>
      <w:r>
        <w:br/>
      </w:r>
      <w:r>
        <w:rPr>
          <w:rStyle w:val="VerbatimChar"/>
        </w:rPr>
        <w:t xml:space="preserve">NOTES</w:t>
      </w:r>
      <w:r>
        <w:br/>
      </w:r>
      <w:r>
        <w:rPr>
          <w:rStyle w:val="VerbatimChar"/>
        </w:rPr>
        <w:t xml:space="preserve">       The approximation is local: valid near p, with error growing as steps</w:t>
      </w:r>
      <w:r>
        <w:br/>
      </w:r>
      <w:r>
        <w:rPr>
          <w:rStyle w:val="VerbatimChar"/>
        </w:rPr>
        <w:t xml:space="preserve">       move away from p. A Jacobian is not a gradient (which belongs to a</w:t>
      </w:r>
      <w:r>
        <w:br/>
      </w:r>
      <w:r>
        <w:rPr>
          <w:rStyle w:val="VerbatimChar"/>
        </w:rPr>
        <w:t xml:space="preserve">       scalar-valued function) and is not an update rule (which requires an</w:t>
      </w:r>
      <w:r>
        <w:br/>
      </w:r>
      <w:r>
        <w:rPr>
          <w:rStyle w:val="VerbatimChar"/>
        </w:rPr>
        <w:t xml:space="preserve">       objective and a step). "Has a Jacobian" is not a trait a person has.</w:t>
      </w:r>
      <w:r>
        <w:br/>
      </w:r>
      <w:r>
        <w:br/>
      </w:r>
      <w:r>
        <w:rPr>
          <w:rStyle w:val="VerbatimChar"/>
        </w:rPr>
        <w:t xml:space="preserve">       The matrix-vector product underlying this page recurs, at far greater</w:t>
      </w:r>
      <w:r>
        <w:br/>
      </w:r>
      <w:r>
        <w:rPr>
          <w:rStyle w:val="VerbatimChar"/>
        </w:rPr>
        <w:t xml:space="preserve">       width, in every attention(2) score and feed-forward(3) projection. On</w:t>
      </w:r>
      <w:r>
        <w:br/>
      </w:r>
      <w:r>
        <w:rPr>
          <w:rStyle w:val="VerbatimChar"/>
        </w:rPr>
        <w:t xml:space="preserve">       hardware it decomposes into fused multiply-add operations; the</w:t>
      </w:r>
      <w:r>
        <w:br/>
      </w:r>
      <w:r>
        <w:rPr>
          <w:rStyle w:val="VerbatimChar"/>
        </w:rPr>
        <w:t xml:space="preserve">       locality and linearity distinctions here do not change with scale.</w:t>
      </w:r>
      <w:r>
        <w:br/>
      </w:r>
      <w:r>
        <w:br/>
      </w:r>
      <w:r>
        <w:rPr>
          <w:rStyle w:val="VerbatimChar"/>
        </w:rPr>
        <w:t xml:space="preserve">SEE ALSO</w:t>
      </w:r>
      <w:r>
        <w:br/>
      </w:r>
      <w:r>
        <w:rPr>
          <w:rStyle w:val="VerbatimChar"/>
        </w:rPr>
        <w:t xml:space="preserve">       gradient-descent(3), tensor(7), attention(2)</w:t>
      </w:r>
      <w:r>
        <w:br/>
      </w:r>
      <w:r>
        <w:br/>
      </w:r>
      <w:r>
        <w:rPr>
          <w:rStyle w:val="VerbatimChar"/>
        </w:rPr>
        <w:t xml:space="preserve">SOURCE</w:t>
      </w:r>
      <w:r>
        <w:br/>
      </w:r>
      <w:r>
        <w:rPr>
          <w:rStyle w:val="VerbatimChar"/>
        </w:rPr>
        <w:t xml:space="preserve">       Chapter 4, map-and-local-change probe.</w:t>
      </w:r>
    </w:p>
    <w:bookmarkEnd w:id="293"/>
    <w:bookmarkStart w:id="294" w:name="man-memory-layout"/>
    <w:p>
      <w:pPr>
        <w:pStyle w:val="SourceCode"/>
      </w:pPr>
      <w:r>
        <w:rPr>
          <w:rStyle w:val="VerbatimChar"/>
        </w:rPr>
        <w:t xml:space="preserve">MEMORY-LAYOUT(7)                 Book Two Man Pages                MEMORY-LAYOUT(7)</w:t>
      </w:r>
      <w:r>
        <w:br/>
      </w:r>
      <w:r>
        <w:br/>
      </w:r>
      <w:r>
        <w:rPr>
          <w:rStyle w:val="VerbatimChar"/>
        </w:rPr>
        <w:t xml:space="preserve">NAME</w:t>
      </w:r>
      <w:r>
        <w:br/>
      </w:r>
      <w:r>
        <w:rPr>
          <w:rStyle w:val="VerbatimChar"/>
        </w:rPr>
        <w:t xml:space="preserve">       memory-layout - typed field layout: size, alignment, offset</w:t>
      </w:r>
      <w:r>
        <w:br/>
      </w:r>
      <w:r>
        <w:br/>
      </w:r>
      <w:r>
        <w:rPr>
          <w:rStyle w:val="VerbatimChar"/>
        </w:rPr>
        <w:t xml:space="preserve">SYNOPSIS</w:t>
      </w:r>
      <w:r>
        <w:br/>
      </w:r>
      <w:r>
        <w:rPr>
          <w:rStyle w:val="VerbatimChar"/>
        </w:rPr>
        <w:t xml:space="preserve">       #[repr(C)] struct { field: type, ... }</w:t>
      </w:r>
      <w:r>
        <w:br/>
      </w:r>
      <w:r>
        <w:rPr>
          <w:rStyle w:val="VerbatimChar"/>
        </w:rPr>
        <w:t xml:space="preserve">       size_of, align_of, offset_of</w:t>
      </w:r>
      <w:r>
        <w:br/>
      </w:r>
      <w:r>
        <w:br/>
      </w:r>
      <w:r>
        <w:rPr>
          <w:rStyle w:val="VerbatimChar"/>
        </w:rPr>
        <w:t xml:space="preserve">DESCRIPTION</w:t>
      </w:r>
      <w:r>
        <w:br/>
      </w:r>
      <w:r>
        <w:rPr>
          <w:rStyle w:val="VerbatimChar"/>
        </w:rPr>
        <w:t xml:space="preserve">       A type system admits or rejects a source value before any layout exists.</w:t>
      </w:r>
      <w:r>
        <w:br/>
      </w:r>
      <w:r>
        <w:rPr>
          <w:rStyle w:val="VerbatimChar"/>
        </w:rPr>
        <w:t xml:space="preserve">       Once accepted, a declared representation (e.g. repr(C)) fixes field</w:t>
      </w:r>
      <w:r>
        <w:br/>
      </w:r>
      <w:r>
        <w:rPr>
          <w:rStyle w:val="VerbatimChar"/>
        </w:rPr>
        <w:t xml:space="preserve">       order, alignment-driven padding, and total size rounded to struct</w:t>
      </w:r>
      <w:r>
        <w:br/>
      </w:r>
      <w:r>
        <w:rPr>
          <w:rStyle w:val="VerbatimChar"/>
        </w:rPr>
        <w:t xml:space="preserve">       alignment. Compile-time and runtime assertions can verify size,</w:t>
      </w:r>
      <w:r>
        <w:br/>
      </w:r>
      <w:r>
        <w:rPr>
          <w:rStyle w:val="VerbatimChar"/>
        </w:rPr>
        <w:t xml:space="preserve">       alignment, and per-field offsets for one toolchain and target.</w:t>
      </w:r>
      <w:r>
        <w:br/>
      </w:r>
      <w:r>
        <w:br/>
      </w:r>
      <w:r>
        <w:rPr>
          <w:rStyle w:val="VerbatimChar"/>
        </w:rPr>
        <w:t xml:space="preserve">NOTES</w:t>
      </w:r>
      <w:r>
        <w:br/>
      </w:r>
      <w:r>
        <w:rPr>
          <w:rStyle w:val="VerbatimChar"/>
        </w:rPr>
        <w:t xml:space="preserve">       A type is not a layout; a layout is not a proof of program purpose or</w:t>
      </w:r>
      <w:r>
        <w:br/>
      </w:r>
      <w:r>
        <w:rPr>
          <w:rStyle w:val="VerbatimChar"/>
        </w:rPr>
        <w:t xml:space="preserve">       correctness. Default (non-C) representations do not guarantee field</w:t>
      </w:r>
      <w:r>
        <w:br/>
      </w:r>
      <w:r>
        <w:rPr>
          <w:rStyle w:val="VerbatimChar"/>
        </w:rPr>
        <w:t xml:space="preserve">       order is preserved. This page does not measure allocation, cache</w:t>
      </w:r>
      <w:r>
        <w:br/>
      </w:r>
      <w:r>
        <w:rPr>
          <w:rStyle w:val="VerbatimChar"/>
        </w:rPr>
        <w:t xml:space="preserve">       behavior, or hardware cost.</w:t>
      </w:r>
      <w:r>
        <w:br/>
      </w:r>
      <w:r>
        <w:br/>
      </w:r>
      <w:r>
        <w:rPr>
          <w:rStyle w:val="VerbatimChar"/>
        </w:rPr>
        <w:t xml:space="preserve">       The same layout contract - declared size, alignment, offset - is what a</w:t>
      </w:r>
      <w:r>
        <w:br/>
      </w:r>
      <w:r>
        <w:rPr>
          <w:rStyle w:val="VerbatimChar"/>
        </w:rPr>
        <w:t xml:space="preserve">       tensor(7) library enforces for every weight matrix and activation</w:t>
      </w:r>
      <w:r>
        <w:br/>
      </w:r>
      <w:r>
        <w:rPr>
          <w:rStyle w:val="VerbatimChar"/>
        </w:rPr>
        <w:t xml:space="preserve">       buffer at runtime, across memory hierarchies this page does not model.</w:t>
      </w:r>
      <w:r>
        <w:br/>
      </w:r>
      <w:r>
        <w:br/>
      </w:r>
      <w:r>
        <w:rPr>
          <w:rStyle w:val="VerbatimChar"/>
        </w:rPr>
        <w:t xml:space="preserve">SEE ALSO</w:t>
      </w:r>
      <w:r>
        <w:br/>
      </w:r>
      <w:r>
        <w:rPr>
          <w:rStyle w:val="VerbatimChar"/>
        </w:rPr>
        <w:t xml:space="preserve">       tensor(7), execution-trace(1)</w:t>
      </w:r>
      <w:r>
        <w:br/>
      </w:r>
      <w:r>
        <w:br/>
      </w:r>
      <w:r>
        <w:rPr>
          <w:rStyle w:val="VerbatimChar"/>
        </w:rPr>
        <w:t xml:space="preserve">SOURCE</w:t>
      </w:r>
      <w:r>
        <w:br/>
      </w:r>
      <w:r>
        <w:rPr>
          <w:rStyle w:val="VerbatimChar"/>
        </w:rPr>
        <w:t xml:space="preserve">       Chapter 5, compiler probe (Rust, repr(C)).</w:t>
      </w:r>
    </w:p>
    <w:bookmarkEnd w:id="294"/>
    <w:bookmarkStart w:id="295" w:name="man-gradient-descent"/>
    <w:p>
      <w:pPr>
        <w:pStyle w:val="SourceCode"/>
      </w:pPr>
      <w:r>
        <w:rPr>
          <w:rStyle w:val="VerbatimChar"/>
        </w:rPr>
        <w:t xml:space="preserve">GRADIENT-DESCENT(3)              Book Two Man Pages             GRADIENT-DESCENT(3)</w:t>
      </w:r>
      <w:r>
        <w:br/>
      </w:r>
      <w:r>
        <w:br/>
      </w:r>
      <w:r>
        <w:rPr>
          <w:rStyle w:val="VerbatimChar"/>
        </w:rPr>
        <w:t xml:space="preserve">NAME</w:t>
      </w:r>
      <w:r>
        <w:br/>
      </w:r>
      <w:r>
        <w:rPr>
          <w:rStyle w:val="VerbatimChar"/>
        </w:rPr>
        <w:t xml:space="preserve">       gradient-descent - adjust parameters by a scaled negative gradient</w:t>
      </w:r>
      <w:r>
        <w:br/>
      </w:r>
      <w:r>
        <w:br/>
      </w:r>
      <w:r>
        <w:rPr>
          <w:rStyle w:val="VerbatimChar"/>
        </w:rPr>
        <w:t xml:space="preserve">SYNOPSIS</w:t>
      </w:r>
      <w:r>
        <w:br/>
      </w:r>
      <w:r>
        <w:rPr>
          <w:rStyle w:val="VerbatimChar"/>
        </w:rPr>
        <w:t xml:space="preserve">       (w, b) &lt;- (w, b) - eta * grad L(w, b)</w:t>
      </w:r>
      <w:r>
        <w:br/>
      </w:r>
      <w:r>
        <w:br/>
      </w:r>
      <w:r>
        <w:rPr>
          <w:rStyle w:val="VerbatimChar"/>
        </w:rPr>
        <w:t xml:space="preserve">DESCRIPTION</w:t>
      </w:r>
      <w:r>
        <w:br/>
      </w:r>
      <w:r>
        <w:rPr>
          <w:rStyle w:val="VerbatimChar"/>
        </w:rPr>
        <w:t xml:space="preserve">       Given a scalar loss over parameters, compute the gradient, scale it by</w:t>
      </w:r>
      <w:r>
        <w:br/>
      </w:r>
      <w:r>
        <w:rPr>
          <w:rStyle w:val="VerbatimChar"/>
        </w:rPr>
        <w:t xml:space="preserve">       a learning rate eta, and subtract it from the parameters. Repeating</w:t>
      </w:r>
      <w:r>
        <w:br/>
      </w:r>
      <w:r>
        <w:rPr>
          <w:rStyle w:val="VerbatimChar"/>
        </w:rPr>
        <w:t xml:space="preserve">       predict -&gt; loss -&gt; gradient -&gt; update forms a training loop. Under a</w:t>
      </w:r>
      <w:r>
        <w:br/>
      </w:r>
      <w:r>
        <w:rPr>
          <w:rStyle w:val="VerbatimChar"/>
        </w:rPr>
        <w:t xml:space="preserve">       small enough eta, loss can decrease at every recorded step for a fixed</w:t>
      </w:r>
      <w:r>
        <w:br/>
      </w:r>
      <w:r>
        <w:rPr>
          <w:rStyle w:val="VerbatimChar"/>
        </w:rPr>
        <w:t xml:space="preserve">       model, data, and objective; under a large enough eta, the same loop can</w:t>
      </w:r>
      <w:r>
        <w:br/>
      </w:r>
      <w:r>
        <w:rPr>
          <w:rStyle w:val="VerbatimChar"/>
        </w:rPr>
        <w:t xml:space="preserve">       diverge while every other component stays fixed.</w:t>
      </w:r>
      <w:r>
        <w:br/>
      </w:r>
      <w:r>
        <w:br/>
      </w:r>
      <w:r>
        <w:rPr>
          <w:rStyle w:val="VerbatimChar"/>
        </w:rPr>
        <w:t xml:space="preserve">NOTES</w:t>
      </w:r>
      <w:r>
        <w:br/>
      </w:r>
      <w:r>
        <w:rPr>
          <w:rStyle w:val="VerbatimChar"/>
        </w:rPr>
        <w:t xml:space="preserve">       Reduced training loss is not generalization: no held-out evaluation is</w:t>
      </w:r>
      <w:r>
        <w:br/>
      </w:r>
      <w:r>
        <w:rPr>
          <w:rStyle w:val="VerbatimChar"/>
        </w:rPr>
        <w:t xml:space="preserve">       performed here. Gradient is not update; update is not learning in the</w:t>
      </w:r>
      <w:r>
        <w:br/>
      </w:r>
      <w:r>
        <w:rPr>
          <w:rStyle w:val="VerbatimChar"/>
        </w:rPr>
        <w:t xml:space="preserve">       biological or ordinary-language sense. Direction alone does not</w:t>
      </w:r>
      <w:r>
        <w:br/>
      </w:r>
      <w:r>
        <w:rPr>
          <w:rStyle w:val="VerbatimChar"/>
        </w:rPr>
        <w:t xml:space="preserve">       guarantee a good step size.</w:t>
      </w:r>
      <w:r>
        <w:br/>
      </w:r>
      <w:r>
        <w:br/>
      </w:r>
      <w:r>
        <w:rPr>
          <w:rStyle w:val="VerbatimChar"/>
        </w:rPr>
        <w:t xml:space="preserve">       This four-step loop does not change shape when the parameters are a</w:t>
      </w:r>
      <w:r>
        <w:br/>
      </w:r>
      <w:r>
        <w:rPr>
          <w:rStyle w:val="VerbatimChar"/>
        </w:rPr>
        <w:t xml:space="preserve">       Transformer's attention(2) projections, feed-forward(3) weights, and</w:t>
      </w:r>
      <w:r>
        <w:br/>
      </w:r>
      <w:r>
        <w:rPr>
          <w:rStyle w:val="VerbatimChar"/>
        </w:rPr>
        <w:t xml:space="preserve">       embeddings instead of one weight and one bias. What changes is size and</w:t>
      </w:r>
      <w:r>
        <w:br/>
      </w:r>
      <w:r>
        <w:rPr>
          <w:rStyle w:val="VerbatimChar"/>
        </w:rPr>
        <w:t xml:space="preserve">       hardware cost: batched matrix multiplications, tensor(7) contractions,</w:t>
      </w:r>
      <w:r>
        <w:br/>
      </w:r>
      <w:r>
        <w:rPr>
          <w:rStyle w:val="VerbatimChar"/>
        </w:rPr>
        <w:t xml:space="preserve">       and gradient-accumulation buffers replace two scalar partial</w:t>
      </w:r>
      <w:r>
        <w:br/>
      </w:r>
      <w:r>
        <w:rPr>
          <w:rStyle w:val="VerbatimChar"/>
        </w:rPr>
        <w:t xml:space="preserve">       derivatives.</w:t>
      </w:r>
      <w:r>
        <w:br/>
      </w:r>
      <w:r>
        <w:br/>
      </w:r>
      <w:r>
        <w:rPr>
          <w:rStyle w:val="VerbatimChar"/>
        </w:rPr>
        <w:t xml:space="preserve">SEE ALSO</w:t>
      </w:r>
      <w:r>
        <w:br/>
      </w:r>
      <w:r>
        <w:rPr>
          <w:rStyle w:val="VerbatimChar"/>
        </w:rPr>
        <w:t xml:space="preserve">       jacobian(3), tensor(7), transformer-block(8)</w:t>
      </w:r>
      <w:r>
        <w:br/>
      </w:r>
      <w:r>
        <w:br/>
      </w:r>
      <w:r>
        <w:rPr>
          <w:rStyle w:val="VerbatimChar"/>
        </w:rPr>
        <w:t xml:space="preserve">SOURCE</w:t>
      </w:r>
      <w:r>
        <w:br/>
      </w:r>
      <w:r>
        <w:rPr>
          <w:rStyle w:val="VerbatimChar"/>
        </w:rPr>
        <w:t xml:space="preserve">       Chapter 6, learning-loop probe.</w:t>
      </w:r>
    </w:p>
    <w:bookmarkEnd w:id="295"/>
    <w:bookmarkStart w:id="296" w:name="man-tensor"/>
    <w:p>
      <w:pPr>
        <w:pStyle w:val="SourceCode"/>
      </w:pPr>
      <w:r>
        <w:rPr>
          <w:rStyle w:val="VerbatimChar"/>
        </w:rPr>
        <w:t xml:space="preserve">TENSOR(7)                        Book Two Man Pages                     TENSOR(7)</w:t>
      </w:r>
      <w:r>
        <w:br/>
      </w:r>
      <w:r>
        <w:br/>
      </w:r>
      <w:r>
        <w:rPr>
          <w:rStyle w:val="VerbatimChar"/>
        </w:rPr>
        <w:t xml:space="preserve">NAME</w:t>
      </w:r>
      <w:r>
        <w:br/>
      </w:r>
      <w:r>
        <w:rPr>
          <w:rStyle w:val="VerbatimChar"/>
        </w:rPr>
        <w:t xml:space="preserve">       tensor - shaped multidimensional array and its partitionable work</w:t>
      </w:r>
      <w:r>
        <w:br/>
      </w:r>
      <w:r>
        <w:br/>
      </w:r>
      <w:r>
        <w:rPr>
          <w:rStyle w:val="VerbatimChar"/>
        </w:rPr>
        <w:t xml:space="preserve">SYNOPSIS</w:t>
      </w:r>
      <w:r>
        <w:br/>
      </w:r>
      <w:r>
        <w:rPr>
          <w:rStyle w:val="VerbatimChar"/>
        </w:rPr>
        <w:t xml:space="preserve">       C[b,i,j] = sum_k A[b,i,k] * B[b,k,j]</w:t>
      </w:r>
      <w:r>
        <w:br/>
      </w:r>
      <w:r>
        <w:br/>
      </w:r>
      <w:r>
        <w:rPr>
          <w:rStyle w:val="VerbatimChar"/>
        </w:rPr>
        <w:t xml:space="preserve">DESCRIPTION</w:t>
      </w:r>
      <w:r>
        <w:br/>
      </w:r>
      <w:r>
        <w:rPr>
          <w:rStyle w:val="VerbatimChar"/>
        </w:rPr>
        <w:t xml:space="preserve">       A tensor is a shaped multidimensional array; its shape assigns axes to</w:t>
      </w:r>
      <w:r>
        <w:br/>
      </w:r>
      <w:r>
        <w:rPr>
          <w:rStyle w:val="VerbatimChar"/>
        </w:rPr>
        <w:t xml:space="preserve">       batch, row, column, or other declared groupings. Batched matrix</w:t>
      </w:r>
      <w:r>
        <w:br/>
      </w:r>
      <w:r>
        <w:rPr>
          <w:rStyle w:val="VerbatimChar"/>
        </w:rPr>
        <w:t xml:space="preserve">       multiplication is defined per matching batch index, contracting one</w:t>
      </w:r>
      <w:r>
        <w:br/>
      </w:r>
      <w:r>
        <w:rPr>
          <w:rStyle w:val="VerbatimChar"/>
        </w:rPr>
        <w:t xml:space="preserve">       shared inner dimension. Output coordinates can be partitioned into</w:t>
      </w:r>
      <w:r>
        <w:br/>
      </w:r>
      <w:r>
        <w:rPr>
          <w:rStyle w:val="VerbatimChar"/>
        </w:rPr>
        <w:t xml:space="preserve">       disjoint, complete lane assignments that reproduce a serial reference</w:t>
      </w:r>
      <w:r>
        <w:br/>
      </w:r>
      <w:r>
        <w:rPr>
          <w:rStyle w:val="VerbatimChar"/>
        </w:rPr>
        <w:t xml:space="preserve">       exactly; an incomplete assignment leaves a detectable missing</w:t>
      </w:r>
      <w:r>
        <w:br/>
      </w:r>
      <w:r>
        <w:rPr>
          <w:rStyle w:val="VerbatimChar"/>
        </w:rPr>
        <w:t xml:space="preserve">       coordinate rather than a plausible wrong number.</w:t>
      </w:r>
      <w:r>
        <w:br/>
      </w:r>
      <w:r>
        <w:br/>
      </w:r>
      <w:r>
        <w:rPr>
          <w:rStyle w:val="VerbatimChar"/>
        </w:rPr>
        <w:t xml:space="preserve">NOTES</w:t>
      </w:r>
      <w:r>
        <w:br/>
      </w:r>
      <w:r>
        <w:rPr>
          <w:rStyle w:val="VerbatimChar"/>
        </w:rPr>
        <w:t xml:space="preserve">       Partitionable is not parallel: a work plan divided into lanes is not</w:t>
      </w:r>
      <w:r>
        <w:br/>
      </w:r>
      <w:r>
        <w:rPr>
          <w:rStyle w:val="VerbatimChar"/>
        </w:rPr>
        <w:t xml:space="preserve">       the same claim as concurrent execution on hardware. An operation count</w:t>
      </w:r>
      <w:r>
        <w:br/>
      </w:r>
      <w:r>
        <w:rPr>
          <w:rStyle w:val="VerbatimChar"/>
        </w:rPr>
        <w:t xml:space="preserve">       is not an elapsed time. This page does not measure GPU speedup,</w:t>
      </w:r>
      <w:r>
        <w:br/>
      </w:r>
      <w:r>
        <w:rPr>
          <w:rStyle w:val="VerbatimChar"/>
        </w:rPr>
        <w:t xml:space="preserve">       memory traffic, or kernel launch cost.</w:t>
      </w:r>
      <w:r>
        <w:br/>
      </w:r>
      <w:r>
        <w:br/>
      </w:r>
      <w:r>
        <w:rPr>
          <w:rStyle w:val="VerbatimChar"/>
        </w:rPr>
        <w:t xml:space="preserve">SEE ALSO</w:t>
      </w:r>
      <w:r>
        <w:br/>
      </w:r>
      <w:r>
        <w:rPr>
          <w:rStyle w:val="VerbatimChar"/>
        </w:rPr>
        <w:t xml:space="preserve">       gradient-descent(3), attention(2), recurrence(7)</w:t>
      </w:r>
      <w:r>
        <w:br/>
      </w:r>
      <w:r>
        <w:br/>
      </w:r>
      <w:r>
        <w:rPr>
          <w:rStyle w:val="VerbatimChar"/>
        </w:rPr>
        <w:t xml:space="preserve">SOURCE</w:t>
      </w:r>
      <w:r>
        <w:br/>
      </w:r>
      <w:r>
        <w:rPr>
          <w:rStyle w:val="VerbatimChar"/>
        </w:rPr>
        <w:t xml:space="preserve">       Chapter 7, tensor-parallel probe.</w:t>
      </w:r>
    </w:p>
    <w:bookmarkEnd w:id="296"/>
    <w:bookmarkStart w:id="297" w:name="man-embedding-space"/>
    <w:p>
      <w:pPr>
        <w:pStyle w:val="SourceCode"/>
      </w:pPr>
      <w:r>
        <w:rPr>
          <w:rStyle w:val="VerbatimChar"/>
        </w:rPr>
        <w:t xml:space="preserve">EMBEDDING-SPACE(7)               Book Two Man Pages              EMBEDDING-SPACE(7)</w:t>
      </w:r>
      <w:r>
        <w:br/>
      </w:r>
      <w:r>
        <w:br/>
      </w:r>
      <w:r>
        <w:rPr>
          <w:rStyle w:val="VerbatimChar"/>
        </w:rPr>
        <w:t xml:space="preserve">NAME</w:t>
      </w:r>
      <w:r>
        <w:br/>
      </w:r>
      <w:r>
        <w:rPr>
          <w:rStyle w:val="VerbatimChar"/>
        </w:rPr>
        <w:t xml:space="preserve">       embedding-space - coordinates, distance, and transformation of learned points</w:t>
      </w:r>
      <w:r>
        <w:br/>
      </w:r>
      <w:r>
        <w:br/>
      </w:r>
      <w:r>
        <w:rPr>
          <w:rStyle w:val="VerbatimChar"/>
        </w:rPr>
        <w:t xml:space="preserve">SYNOPSIS</w:t>
      </w:r>
      <w:r>
        <w:br/>
      </w:r>
      <w:r>
        <w:rPr>
          <w:rStyle w:val="VerbatimChar"/>
        </w:rPr>
        <w:t xml:space="preserve">       euclidean(u, v) = sqrt(sum (u_i - v_i)^2)</w:t>
      </w:r>
      <w:r>
        <w:br/>
      </w:r>
      <w:r>
        <w:rPr>
          <w:rStyle w:val="VerbatimChar"/>
        </w:rPr>
        <w:t xml:space="preserve">       cosine(u, v)    = (u . v) / (|u| |v|)</w:t>
      </w:r>
      <w:r>
        <w:br/>
      </w:r>
      <w:r>
        <w:br/>
      </w:r>
      <w:r>
        <w:rPr>
          <w:rStyle w:val="VerbatimChar"/>
        </w:rPr>
        <w:t xml:space="preserve">DESCRIPTION</w:t>
      </w:r>
      <w:r>
        <w:br/>
      </w:r>
      <w:r>
        <w:rPr>
          <w:rStyle w:val="VerbatimChar"/>
        </w:rPr>
        <w:t xml:space="preserve">       A learned representation assigns a coordinate to each item under a</w:t>
      </w:r>
      <w:r>
        <w:br/>
      </w:r>
      <w:r>
        <w:rPr>
          <w:rStyle w:val="VerbatimChar"/>
        </w:rPr>
        <w:t xml:space="preserve">       model, data set, task, and training procedure. Euclidean distance and</w:t>
      </w:r>
      <w:r>
        <w:br/>
      </w:r>
      <w:r>
        <w:rPr>
          <w:rStyle w:val="VerbatimChar"/>
        </w:rPr>
        <w:t xml:space="preserve">       cosine similarity can rank neighbors differently for the same points.</w:t>
      </w:r>
      <w:r>
        <w:br/>
      </w:r>
      <w:r>
        <w:rPr>
          <w:rStyle w:val="VerbatimChar"/>
        </w:rPr>
        <w:t xml:space="preserve">       Rigid rotation preserves Euclidean neighborhoods; invertible anisotropic</w:t>
      </w:r>
      <w:r>
        <w:br/>
      </w:r>
      <w:r>
        <w:rPr>
          <w:rStyle w:val="VerbatimChar"/>
        </w:rPr>
        <w:t xml:space="preserve">       scaling can change them while preserving all coordinate information.</w:t>
      </w:r>
      <w:r>
        <w:br/>
      </w:r>
      <w:r>
        <w:br/>
      </w:r>
      <w:r>
        <w:rPr>
          <w:rStyle w:val="VerbatimChar"/>
        </w:rPr>
        <w:t xml:space="preserve">NOTES</w:t>
      </w:r>
      <w:r>
        <w:br/>
      </w:r>
      <w:r>
        <w:rPr>
          <w:rStyle w:val="VerbatimChar"/>
        </w:rPr>
        <w:t xml:space="preserve">       Proximity is not meaning. "Nearest neighbor" is incomplete until the</w:t>
      </w:r>
      <w:r>
        <w:br/>
      </w:r>
      <w:r>
        <w:rPr>
          <w:rStyle w:val="VerbatimChar"/>
        </w:rPr>
        <w:t xml:space="preserve">       representation and comparison rule are both named. A visual direction</w:t>
      </w:r>
      <w:r>
        <w:br/>
      </w:r>
      <w:r>
        <w:rPr>
          <w:rStyle w:val="VerbatimChar"/>
        </w:rPr>
        <w:t xml:space="preserve">       on a projected plot is not automatically an intrinsic direction in the</w:t>
      </w:r>
      <w:r>
        <w:br/>
      </w:r>
      <w:r>
        <w:rPr>
          <w:rStyle w:val="VerbatimChar"/>
        </w:rPr>
        <w:t xml:space="preserve">       represented domain. This page does not perform training or claim</w:t>
      </w:r>
      <w:r>
        <w:br/>
      </w:r>
      <w:r>
        <w:rPr>
          <w:rStyle w:val="VerbatimChar"/>
        </w:rPr>
        <w:t xml:space="preserve">       semantic interpretation.</w:t>
      </w:r>
      <w:r>
        <w:br/>
      </w:r>
      <w:r>
        <w:br/>
      </w:r>
      <w:r>
        <w:rPr>
          <w:rStyle w:val="VerbatimChar"/>
        </w:rPr>
        <w:t xml:space="preserve">SEE ALSO</w:t>
      </w:r>
      <w:r>
        <w:br/>
      </w:r>
      <w:r>
        <w:rPr>
          <w:rStyle w:val="VerbatimChar"/>
        </w:rPr>
        <w:t xml:space="preserve">       tensor(7), jacobian(3), representation(3)</w:t>
      </w:r>
      <w:r>
        <w:br/>
      </w:r>
      <w:r>
        <w:br/>
      </w:r>
      <w:r>
        <w:rPr>
          <w:rStyle w:val="VerbatimChar"/>
        </w:rPr>
        <w:t xml:space="preserve">SOURCE</w:t>
      </w:r>
      <w:r>
        <w:br/>
      </w:r>
      <w:r>
        <w:rPr>
          <w:rStyle w:val="VerbatimChar"/>
        </w:rPr>
        <w:t xml:space="preserve">       Chapter 8, learned-space probe.</w:t>
      </w:r>
    </w:p>
    <w:bookmarkEnd w:id="297"/>
    <w:bookmarkStart w:id="298" w:name="man-recurrence"/>
    <w:p>
      <w:pPr>
        <w:pStyle w:val="SourceCode"/>
      </w:pPr>
      <w:r>
        <w:rPr>
          <w:rStyle w:val="VerbatimChar"/>
        </w:rPr>
        <w:t xml:space="preserve">RECURRENCE(7)                    Book Two Man Pages                  RECURRENCE(7)</w:t>
      </w:r>
      <w:r>
        <w:br/>
      </w:r>
      <w:r>
        <w:br/>
      </w:r>
      <w:r>
        <w:rPr>
          <w:rStyle w:val="VerbatimChar"/>
        </w:rPr>
        <w:t xml:space="preserve">NAME</w:t>
      </w:r>
      <w:r>
        <w:br/>
      </w:r>
      <w:r>
        <w:rPr>
          <w:rStyle w:val="VerbatimChar"/>
        </w:rPr>
        <w:t xml:space="preserve">       recurrence - ordered state update with a predecessor dependency</w:t>
      </w:r>
      <w:r>
        <w:br/>
      </w:r>
      <w:r>
        <w:br/>
      </w:r>
      <w:r>
        <w:rPr>
          <w:rStyle w:val="VerbatimChar"/>
        </w:rPr>
        <w:t xml:space="preserve">SYNOPSIS</w:t>
      </w:r>
      <w:r>
        <w:br/>
      </w:r>
      <w:r>
        <w:rPr>
          <w:rStyle w:val="VerbatimChar"/>
        </w:rPr>
        <w:t xml:space="preserve">       h_t = tanh(w * h_(t-1) + x_t)</w:t>
      </w:r>
      <w:r>
        <w:br/>
      </w:r>
      <w:r>
        <w:br/>
      </w:r>
      <w:r>
        <w:rPr>
          <w:rStyle w:val="VerbatimChar"/>
        </w:rPr>
        <w:t xml:space="preserve">DESCRIPTION</w:t>
      </w:r>
      <w:r>
        <w:br/>
      </w:r>
      <w:r>
        <w:rPr>
          <w:rStyle w:val="VerbatimChar"/>
        </w:rPr>
        <w:t xml:space="preserve">       A recurrent update reuses one parameterized function while carrying a</w:t>
      </w:r>
      <w:r>
        <w:br/>
      </w:r>
      <w:r>
        <w:rPr>
          <w:rStyle w:val="VerbatimChar"/>
        </w:rPr>
        <w:t xml:space="preserve">       hidden state from position to position. Computing h_t requires h_(t-1);</w:t>
      </w:r>
      <w:r>
        <w:br/>
      </w:r>
      <w:r>
        <w:rPr>
          <w:rStyle w:val="VerbatimChar"/>
        </w:rPr>
        <w:t xml:space="preserve">       the dependency can be unrolled into a feed-forward graph with repeated</w:t>
      </w:r>
      <w:r>
        <w:br/>
      </w:r>
      <w:r>
        <w:rPr>
          <w:rStyle w:val="VerbatimChar"/>
        </w:rPr>
        <w:t xml:space="preserve">       parameters. Sensitivity of a late state to an early input is a product</w:t>
      </w:r>
      <w:r>
        <w:br/>
      </w:r>
      <w:r>
        <w:rPr>
          <w:rStyle w:val="VerbatimChar"/>
        </w:rPr>
        <w:t xml:space="preserve">       of per-step factors along the path and can attenuate or amplify</w:t>
      </w:r>
      <w:r>
        <w:br/>
      </w:r>
      <w:r>
        <w:rPr>
          <w:rStyle w:val="VerbatimChar"/>
        </w:rPr>
        <w:t xml:space="preserve">       depending on the weight and activation.</w:t>
      </w:r>
      <w:r>
        <w:br/>
      </w:r>
      <w:r>
        <w:br/>
      </w:r>
      <w:r>
        <w:rPr>
          <w:rStyle w:val="VerbatimChar"/>
        </w:rPr>
        <w:t xml:space="preserve">NOTES</w:t>
      </w:r>
      <w:r>
        <w:br/>
      </w:r>
      <w:r>
        <w:rPr>
          <w:rStyle w:val="VerbatimChar"/>
        </w:rPr>
        <w:t xml:space="preserve">       A dependency graph is not a runtime measurement; an edge count is not</w:t>
      </w:r>
      <w:r>
        <w:br/>
      </w:r>
      <w:r>
        <w:rPr>
          <w:rStyle w:val="VerbatimChar"/>
        </w:rPr>
        <w:t xml:space="preserve">       elapsed time. A scalar state is not complete recall of its inputs, and</w:t>
      </w:r>
      <w:r>
        <w:br/>
      </w:r>
      <w:r>
        <w:rPr>
          <w:rStyle w:val="VerbatimChar"/>
        </w:rPr>
        <w:t xml:space="preserve">       "memory" here names a recurrent role, not persistence or addressability</w:t>
      </w:r>
      <w:r>
        <w:br/>
      </w:r>
      <w:r>
        <w:rPr>
          <w:rStyle w:val="VerbatimChar"/>
        </w:rPr>
        <w:t xml:space="preserve">       in the ordinary sense. Setting the recurrent weight to zero removes the</w:t>
      </w:r>
      <w:r>
        <w:br/>
      </w:r>
      <w:r>
        <w:rPr>
          <w:rStyle w:val="VerbatimChar"/>
        </w:rPr>
        <w:t xml:space="preserve">       predecessor link entirely and is the control that isolates the claim.</w:t>
      </w:r>
      <w:r>
        <w:br/>
      </w:r>
      <w:r>
        <w:br/>
      </w:r>
      <w:r>
        <w:rPr>
          <w:rStyle w:val="VerbatimChar"/>
        </w:rPr>
        <w:t xml:space="preserve">SEE ALSO</w:t>
      </w:r>
      <w:r>
        <w:br/>
      </w:r>
      <w:r>
        <w:rPr>
          <w:rStyle w:val="VerbatimChar"/>
        </w:rPr>
        <w:t xml:space="preserve">       tensor(7), attention(2)</w:t>
      </w:r>
      <w:r>
        <w:br/>
      </w:r>
      <w:r>
        <w:br/>
      </w:r>
      <w:r>
        <w:rPr>
          <w:rStyle w:val="VerbatimChar"/>
        </w:rPr>
        <w:t xml:space="preserve">SOURCE</w:t>
      </w:r>
      <w:r>
        <w:br/>
      </w:r>
      <w:r>
        <w:rPr>
          <w:rStyle w:val="VerbatimChar"/>
        </w:rPr>
        <w:t xml:space="preserve">       Chapter 9, recurrent-bottleneck probe.</w:t>
      </w:r>
    </w:p>
    <w:bookmarkEnd w:id="298"/>
    <w:bookmarkStart w:id="299" w:name="man-attention"/>
    <w:p>
      <w:pPr>
        <w:pStyle w:val="SourceCode"/>
      </w:pPr>
      <w:r>
        <w:rPr>
          <w:rStyle w:val="VerbatimChar"/>
        </w:rPr>
        <w:t xml:space="preserve">ATTENTION(2)                     Book Two Man Pages                    ATTENTION(2)</w:t>
      </w:r>
      <w:r>
        <w:br/>
      </w:r>
      <w:r>
        <w:br/>
      </w:r>
      <w:r>
        <w:rPr>
          <w:rStyle w:val="VerbatimChar"/>
        </w:rPr>
        <w:t xml:space="preserve">NAME</w:t>
      </w:r>
      <w:r>
        <w:br/>
      </w:r>
      <w:r>
        <w:rPr>
          <w:rStyle w:val="VerbatimChar"/>
        </w:rPr>
        <w:t xml:space="preserve">       attention - weighted combination of values by query-key compatibility</w:t>
      </w:r>
      <w:r>
        <w:br/>
      </w:r>
      <w:r>
        <w:br/>
      </w:r>
      <w:r>
        <w:rPr>
          <w:rStyle w:val="VerbatimChar"/>
        </w:rPr>
        <w:t xml:space="preserve">SYNOPSIS</w:t>
      </w:r>
      <w:r>
        <w:br/>
      </w:r>
      <w:r>
        <w:rPr>
          <w:rStyle w:val="VerbatimChar"/>
        </w:rPr>
        <w:t xml:space="preserve">       s_ij = (q_i . k_j) / sqrt(d_k)</w:t>
      </w:r>
      <w:r>
        <w:br/>
      </w:r>
      <w:r>
        <w:rPr>
          <w:rStyle w:val="VerbatimChar"/>
        </w:rPr>
        <w:t xml:space="preserve">       alpha_ij = softmax(s_i.)_j</w:t>
      </w:r>
      <w:r>
        <w:br/>
      </w:r>
      <w:r>
        <w:rPr>
          <w:rStyle w:val="VerbatimChar"/>
        </w:rPr>
        <w:t xml:space="preserve">       o_i = sum_j alpha_ij * v_j</w:t>
      </w:r>
      <w:r>
        <w:br/>
      </w:r>
      <w:r>
        <w:br/>
      </w:r>
      <w:r>
        <w:rPr>
          <w:rStyle w:val="VerbatimChar"/>
        </w:rPr>
        <w:t xml:space="preserve">DESCRIPTION</w:t>
      </w:r>
      <w:r>
        <w:br/>
      </w:r>
      <w:r>
        <w:rPr>
          <w:rStyle w:val="VerbatimChar"/>
        </w:rPr>
        <w:t xml:space="preserve">       Each position supplies a query, key, and value vector (produced by</w:t>
      </w:r>
      <w:r>
        <w:br/>
      </w:r>
      <w:r>
        <w:rPr>
          <w:rStyle w:val="VerbatimChar"/>
        </w:rPr>
        <w:t xml:space="preserve">       learned projections in a Transformer; fixed vectors in the fixture</w:t>
      </w:r>
      <w:r>
        <w:br/>
      </w:r>
      <w:r>
        <w:rPr>
          <w:rStyle w:val="VerbatimChar"/>
        </w:rPr>
        <w:t xml:space="preserve">       here). Scaled dot-product scores between a query and every admitted</w:t>
      </w:r>
      <w:r>
        <w:br/>
      </w:r>
      <w:r>
        <w:rPr>
          <w:rStyle w:val="VerbatimChar"/>
        </w:rPr>
        <w:t xml:space="preserve">       key are normalized by softmax(3) into a nonnegative row summing to one.</w:t>
      </w:r>
      <w:r>
        <w:br/>
      </w:r>
      <w:r>
        <w:rPr>
          <w:rStyle w:val="VerbatimChar"/>
        </w:rPr>
        <w:t xml:space="preserve">       Each weight scales its value vector; the output sums those weighted</w:t>
      </w:r>
      <w:r>
        <w:br/>
      </w:r>
      <w:r>
        <w:rPr>
          <w:rStyle w:val="VerbatimChar"/>
        </w:rPr>
        <w:t xml:space="preserve">       contributions. A causal mask can zero out positions after the current</w:t>
      </w:r>
      <w:r>
        <w:br/>
      </w:r>
      <w:r>
        <w:rPr>
          <w:rStyle w:val="VerbatimChar"/>
        </w:rPr>
        <w:t xml:space="preserve">       one before normalization.</w:t>
      </w:r>
      <w:r>
        <w:br/>
      </w:r>
      <w:r>
        <w:br/>
      </w:r>
      <w:r>
        <w:rPr>
          <w:rStyle w:val="VerbatimChar"/>
        </w:rPr>
        <w:t xml:space="preserve">       Holding the weight matrix fixed while changing only one value vector</w:t>
      </w:r>
      <w:r>
        <w:br/>
      </w:r>
      <w:r>
        <w:rPr>
          <w:rStyle w:val="VerbatimChar"/>
        </w:rPr>
        <w:t xml:space="preserve">       changes the output but not the displayed weights: a weight display</w:t>
      </w:r>
      <w:r>
        <w:br/>
      </w:r>
      <w:r>
        <w:rPr>
          <w:rStyle w:val="VerbatimChar"/>
        </w:rPr>
        <w:t xml:space="preserve">       alone does not specify the resulting numerical contribution.</w:t>
      </w:r>
      <w:r>
        <w:br/>
      </w:r>
      <w:r>
        <w:br/>
      </w:r>
      <w:r>
        <w:rPr>
          <w:rStyle w:val="VerbatimChar"/>
        </w:rPr>
        <w:t xml:space="preserve">NOTES</w:t>
      </w:r>
      <w:r>
        <w:br/>
      </w:r>
      <w:r>
        <w:rPr>
          <w:rStyle w:val="VerbatimChar"/>
        </w:rPr>
        <w:t xml:space="preserve">       Not Bayesian: no hypotheses, prior, likelihood model, or evidence-</w:t>
      </w:r>
      <w:r>
        <w:br/>
      </w:r>
      <w:r>
        <w:rPr>
          <w:rStyle w:val="VerbatimChar"/>
        </w:rPr>
        <w:t xml:space="preserve">       conditioning operation is present. Normalized weights are not Bayesian</w:t>
      </w:r>
      <w:r>
        <w:br/>
      </w:r>
      <w:r>
        <w:rPr>
          <w:rStyle w:val="VerbatimChar"/>
        </w:rPr>
        <w:t xml:space="preserve">       posteriors, causal explanations, or semantics (bayesian-update(3)). A</w:t>
      </w:r>
      <w:r>
        <w:br/>
      </w:r>
      <w:r>
        <w:rPr>
          <w:rStyle w:val="VerbatimChar"/>
        </w:rPr>
        <w:t xml:space="preserve">       direct query-key edge is not a runtime measurement; a large weight is</w:t>
      </w:r>
      <w:r>
        <w:br/>
      </w:r>
      <w:r>
        <w:rPr>
          <w:rStyle w:val="VerbatimChar"/>
        </w:rPr>
        <w:t xml:space="preserve">       not automatically causal importance; a masked zero has a different</w:t>
      </w:r>
      <w:r>
        <w:br/>
      </w:r>
      <w:r>
        <w:rPr>
          <w:rStyle w:val="VerbatimChar"/>
        </w:rPr>
        <w:t xml:space="preserve">       origin than a small unmasked weight. Attention is one operator inside</w:t>
      </w:r>
      <w:r>
        <w:br/>
      </w:r>
      <w:r>
        <w:rPr>
          <w:rStyle w:val="VerbatimChar"/>
        </w:rPr>
        <w:t xml:space="preserve">       transformer-block(8), not the whole architecture.</w:t>
      </w:r>
      <w:r>
        <w:br/>
      </w:r>
      <w:r>
        <w:br/>
      </w:r>
      <w:r>
        <w:rPr>
          <w:rStyle w:val="VerbatimChar"/>
        </w:rPr>
        <w:t xml:space="preserve">SEE ALSO</w:t>
      </w:r>
      <w:r>
        <w:br/>
      </w:r>
      <w:r>
        <w:rPr>
          <w:rStyle w:val="VerbatimChar"/>
        </w:rPr>
        <w:t xml:space="preserve">       softmax(3), bayesian-update(3), transformer-block(8)</w:t>
      </w:r>
      <w:r>
        <w:br/>
      </w:r>
      <w:r>
        <w:br/>
      </w:r>
      <w:r>
        <w:rPr>
          <w:rStyle w:val="VerbatimChar"/>
        </w:rPr>
        <w:t xml:space="preserve">SOURCE</w:t>
      </w:r>
      <w:r>
        <w:br/>
      </w:r>
      <w:r>
        <w:rPr>
          <w:rStyle w:val="VerbatimChar"/>
        </w:rPr>
        <w:t xml:space="preserve">       Chapter 10, attention-paths probe.</w:t>
      </w:r>
    </w:p>
    <w:bookmarkEnd w:id="299"/>
    <w:bookmarkStart w:id="300" w:name="man-softmax"/>
    <w:p>
      <w:pPr>
        <w:pStyle w:val="SourceCode"/>
      </w:pPr>
      <w:r>
        <w:rPr>
          <w:rStyle w:val="VerbatimChar"/>
        </w:rPr>
        <w:t xml:space="preserve">SOFTMAX(3)                       Book Two Man Pages                     SOFTMAX(3)</w:t>
      </w:r>
      <w:r>
        <w:br/>
      </w:r>
      <w:r>
        <w:br/>
      </w:r>
      <w:r>
        <w:rPr>
          <w:rStyle w:val="VerbatimChar"/>
        </w:rPr>
        <w:t xml:space="preserve">NAME</w:t>
      </w:r>
      <w:r>
        <w:br/>
      </w:r>
      <w:r>
        <w:rPr>
          <w:rStyle w:val="VerbatimChar"/>
        </w:rPr>
        <w:t xml:space="preserve">       softmax - normalize scores into a nonnegative row summing to one</w:t>
      </w:r>
      <w:r>
        <w:br/>
      </w:r>
      <w:r>
        <w:br/>
      </w:r>
      <w:r>
        <w:rPr>
          <w:rStyle w:val="VerbatimChar"/>
        </w:rPr>
        <w:t xml:space="preserve">SYNOPSIS</w:t>
      </w:r>
      <w:r>
        <w:br/>
      </w:r>
      <w:r>
        <w:rPr>
          <w:rStyle w:val="VerbatimChar"/>
        </w:rPr>
        <w:t xml:space="preserve">       alpha_j = exp(s_j) / sum_m exp(s_m)</w:t>
      </w:r>
      <w:r>
        <w:br/>
      </w:r>
      <w:r>
        <w:br/>
      </w:r>
      <w:r>
        <w:rPr>
          <w:rStyle w:val="VerbatimChar"/>
        </w:rPr>
        <w:t xml:space="preserve">DESCRIPTION</w:t>
      </w:r>
      <w:r>
        <w:br/>
      </w:r>
      <w:r>
        <w:rPr>
          <w:rStyle w:val="VerbatimChar"/>
        </w:rPr>
        <w:t xml:space="preserve">       Exponentiate every score in a row, sum the results, and divide each</w:t>
      </w:r>
      <w:r>
        <w:br/>
      </w:r>
      <w:r>
        <w:rPr>
          <w:rStyle w:val="VerbatimChar"/>
        </w:rPr>
        <w:t xml:space="preserve">       exponentiated score by that sum. The output row is nonnegative and</w:t>
      </w:r>
      <w:r>
        <w:br/>
      </w:r>
      <w:r>
        <w:rPr>
          <w:rStyle w:val="VerbatimChar"/>
        </w:rPr>
        <w:t xml:space="preserve">       sums to one. Every entry in the row is coupled: changing one admitted</w:t>
      </w:r>
      <w:r>
        <w:br/>
      </w:r>
      <w:r>
        <w:rPr>
          <w:rStyle w:val="VerbatimChar"/>
        </w:rPr>
        <w:t xml:space="preserve">       score changes the shared denominator and can change every normalized</w:t>
      </w:r>
      <w:r>
        <w:br/>
      </w:r>
      <w:r>
        <w:rPr>
          <w:rStyle w:val="VerbatimChar"/>
        </w:rPr>
        <w:t xml:space="preserve">       weight in the row.</w:t>
      </w:r>
      <w:r>
        <w:br/>
      </w:r>
      <w:r>
        <w:br/>
      </w:r>
      <w:r>
        <w:rPr>
          <w:rStyle w:val="VerbatimChar"/>
        </w:rPr>
        <w:t xml:space="preserve">NOTES</w:t>
      </w:r>
      <w:r>
        <w:br/>
      </w:r>
      <w:r>
        <w:rPr>
          <w:rStyle w:val="VerbatimChar"/>
        </w:rPr>
        <w:t xml:space="preserve">       A softmax row is a normalized weighting distribution, not a Bayesian</w:t>
      </w:r>
      <w:r>
        <w:br/>
      </w:r>
      <w:r>
        <w:rPr>
          <w:rStyle w:val="VerbatimChar"/>
        </w:rPr>
        <w:t xml:space="preserve">       posterior (bayesian-update(3)): no hypothesis space, prior, or</w:t>
      </w:r>
      <w:r>
        <w:br/>
      </w:r>
      <w:r>
        <w:rPr>
          <w:rStyle w:val="VerbatimChar"/>
        </w:rPr>
        <w:t xml:space="preserve">       likelihood model is conditioned here. On hardware this is exponentiate,</w:t>
      </w:r>
      <w:r>
        <w:br/>
      </w:r>
      <w:r>
        <w:rPr>
          <w:rStyle w:val="VerbatimChar"/>
        </w:rPr>
        <w:t xml:space="preserve">       reduce-sum, normalize - a fused kernel, not three independent passes in</w:t>
      </w:r>
      <w:r>
        <w:br/>
      </w:r>
      <w:r>
        <w:rPr>
          <w:rStyle w:val="VerbatimChar"/>
        </w:rPr>
        <w:t xml:space="preserve">       a production implementation. Shared arithmetic with bayesian-update(3)</w:t>
      </w:r>
      <w:r>
        <w:br/>
      </w:r>
      <w:r>
        <w:rPr>
          <w:rStyle w:val="VerbatimChar"/>
        </w:rPr>
        <w:t xml:space="preserve">       is not shared interpretation.</w:t>
      </w:r>
      <w:r>
        <w:br/>
      </w:r>
      <w:r>
        <w:br/>
      </w:r>
      <w:r>
        <w:rPr>
          <w:rStyle w:val="VerbatimChar"/>
        </w:rPr>
        <w:t xml:space="preserve">SEE ALSO</w:t>
      </w:r>
      <w:r>
        <w:br/>
      </w:r>
      <w:r>
        <w:rPr>
          <w:rStyle w:val="VerbatimChar"/>
        </w:rPr>
        <w:t xml:space="preserve">       attention(2), bayesian-update(3)</w:t>
      </w:r>
      <w:r>
        <w:br/>
      </w:r>
      <w:r>
        <w:br/>
      </w:r>
      <w:r>
        <w:rPr>
          <w:rStyle w:val="VerbatimChar"/>
        </w:rPr>
        <w:t xml:space="preserve">SOURCE</w:t>
      </w:r>
      <w:r>
        <w:br/>
      </w:r>
      <w:r>
        <w:rPr>
          <w:rStyle w:val="VerbatimChar"/>
        </w:rPr>
        <w:t xml:space="preserve">       Chapter 10, attention-paths probe.</w:t>
      </w:r>
    </w:p>
    <w:bookmarkEnd w:id="300"/>
    <w:bookmarkStart w:id="301" w:name="man-transformer-block"/>
    <w:p>
      <w:pPr>
        <w:pStyle w:val="SourceCode"/>
      </w:pPr>
      <w:r>
        <w:rPr>
          <w:rStyle w:val="VerbatimChar"/>
        </w:rPr>
        <w:t xml:space="preserve">TRANSFORMER-BLOCK(8)             Book Two Man Pages             TRANSFORMER-BLOCK(8)</w:t>
      </w:r>
      <w:r>
        <w:br/>
      </w:r>
      <w:r>
        <w:br/>
      </w:r>
      <w:r>
        <w:rPr>
          <w:rStyle w:val="VerbatimChar"/>
        </w:rPr>
        <w:t xml:space="preserve">NAME</w:t>
      </w:r>
      <w:r>
        <w:br/>
      </w:r>
      <w:r>
        <w:rPr>
          <w:rStyle w:val="VerbatimChar"/>
        </w:rPr>
        <w:t xml:space="preserve">       transformer-block - assembled attention, residual, normalization, feed-forward stage</w:t>
      </w:r>
      <w:r>
        <w:br/>
      </w:r>
      <w:r>
        <w:br/>
      </w:r>
      <w:r>
        <w:rPr>
          <w:rStyle w:val="VerbatimChar"/>
        </w:rPr>
        <w:t xml:space="preserve">SYNOPSIS</w:t>
      </w:r>
      <w:r>
        <w:br/>
      </w:r>
      <w:r>
        <w:rPr>
          <w:rStyle w:val="VerbatimChar"/>
        </w:rPr>
        <w:t xml:space="preserve">       H0 = X + P</w:t>
      </w:r>
      <w:r>
        <w:br/>
      </w:r>
      <w:r>
        <w:rPr>
          <w:rStyle w:val="VerbatimChar"/>
        </w:rPr>
        <w:t xml:space="preserve">       Q,K,V = H0 Wq, H0 Wk, H0 Wv</w:t>
      </w:r>
      <w:r>
        <w:br/>
      </w:r>
      <w:r>
        <w:rPr>
          <w:rStyle w:val="VerbatimChar"/>
        </w:rPr>
        <w:t xml:space="preserve">       Z = Concat(head_1..head_h) Wo</w:t>
      </w:r>
      <w:r>
        <w:br/>
      </w:r>
      <w:r>
        <w:rPr>
          <w:rStyle w:val="VerbatimChar"/>
        </w:rPr>
        <w:t xml:space="preserve">       R1 = H0 + Z ;  N1 = layer-norm(R1)</w:t>
      </w:r>
      <w:r>
        <w:br/>
      </w:r>
      <w:r>
        <w:rPr>
          <w:rStyle w:val="VerbatimChar"/>
        </w:rPr>
        <w:t xml:space="preserve">       F  = feed-forward(N1)</w:t>
      </w:r>
      <w:r>
        <w:br/>
      </w:r>
      <w:r>
        <w:rPr>
          <w:rStyle w:val="VerbatimChar"/>
        </w:rPr>
        <w:t xml:space="preserve">       R2 = N1 + F ;  N2 = layer-norm(R2)</w:t>
      </w:r>
      <w:r>
        <w:br/>
      </w:r>
      <w:r>
        <w:br/>
      </w:r>
      <w:r>
        <w:rPr>
          <w:rStyle w:val="VerbatimChar"/>
        </w:rPr>
        <w:t xml:space="preserve">DESCRIPTION</w:t>
      </w:r>
      <w:r>
        <w:br/>
      </w:r>
      <w:r>
        <w:rPr>
          <w:rStyle w:val="VerbatimChar"/>
        </w:rPr>
        <w:t xml:space="preserve">       Input rows are combined with positional information, projected into</w:t>
      </w:r>
      <w:r>
        <w:br/>
      </w:r>
      <w:r>
        <w:rPr>
          <w:rStyle w:val="VerbatimChar"/>
        </w:rPr>
        <w:t xml:space="preserve">       per-head queries/keys/values, passed through attention(2), concatenated</w:t>
      </w:r>
      <w:r>
        <w:br/>
      </w:r>
      <w:r>
        <w:rPr>
          <w:rStyle w:val="VerbatimChar"/>
        </w:rPr>
        <w:t xml:space="preserve">       and output-projected, composed with the entry path by a residual(3)</w:t>
      </w:r>
      <w:r>
        <w:br/>
      </w:r>
      <w:r>
        <w:rPr>
          <w:rStyle w:val="VerbatimChar"/>
        </w:rPr>
        <w:t xml:space="preserve">       addition, normalized (layer-norm(3)), transformed per-position by</w:t>
      </w:r>
      <w:r>
        <w:br/>
      </w:r>
      <w:r>
        <w:rPr>
          <w:rStyle w:val="VerbatimChar"/>
        </w:rPr>
        <w:t xml:space="preserve">       feed-forward(3), and composed and normalized a second time. Zeroing</w:t>
      </w:r>
      <w:r>
        <w:br/>
      </w:r>
      <w:r>
        <w:rPr>
          <w:rStyle w:val="VerbatimChar"/>
        </w:rPr>
        <w:t xml:space="preserve">       the projected attention contribution before the first residual, with</w:t>
      </w:r>
      <w:r>
        <w:br/>
      </w:r>
      <w:r>
        <w:rPr>
          <w:rStyle w:val="VerbatimChar"/>
        </w:rPr>
        <w:t xml:space="preserve">       everything else fixed, measurably changes every final output row.</w:t>
      </w:r>
      <w:r>
        <w:br/>
      </w:r>
      <w:r>
        <w:br/>
      </w:r>
      <w:r>
        <w:rPr>
          <w:rStyle w:val="VerbatimChar"/>
        </w:rPr>
        <w:t xml:space="preserve">NOTES</w:t>
      </w:r>
      <w:r>
        <w:br/>
      </w:r>
      <w:r>
        <w:rPr>
          <w:rStyle w:val="VerbatimChar"/>
        </w:rPr>
        <w:t xml:space="preserve">       Attention alone is not this block: removing the surrounding interfaces</w:t>
      </w:r>
      <w:r>
        <w:br/>
      </w:r>
      <w:r>
        <w:rPr>
          <w:rStyle w:val="VerbatimChar"/>
        </w:rPr>
        <w:t xml:space="preserve">       loses positional entry, multi-head subspaces, residual routing,</w:t>
      </w:r>
      <w:r>
        <w:br/>
      </w:r>
      <w:r>
        <w:rPr>
          <w:rStyle w:val="VerbatimChar"/>
        </w:rPr>
        <w:t xml:space="preserve">       normalization, and the feed-forward stage. This is a fixed,</w:t>
      </w:r>
      <w:r>
        <w:br/>
      </w:r>
      <w:r>
        <w:rPr>
          <w:rStyle w:val="VerbatimChar"/>
        </w:rPr>
        <w:t xml:space="preserve">       deterministic, untrained fixture: no optimizer, no corpus loss, no</w:t>
      </w:r>
      <w:r>
        <w:br/>
      </w:r>
      <w:r>
        <w:rPr>
          <w:rStyle w:val="VerbatimChar"/>
        </w:rPr>
        <w:t xml:space="preserve">       tokenization or decoding pipeline, no encoder-decoder cross-attention,</w:t>
      </w:r>
      <w:r>
        <w:br/>
      </w:r>
      <w:r>
        <w:rPr>
          <w:rStyle w:val="VerbatimChar"/>
        </w:rPr>
        <w:t xml:space="preserve">       no causal decoder mask. It is an encoder-style block slice, not a full</w:t>
      </w:r>
      <w:r>
        <w:br/>
      </w:r>
      <w:r>
        <w:rPr>
          <w:rStyle w:val="VerbatimChar"/>
        </w:rPr>
        <w:t xml:space="preserve">       stack or production model.</w:t>
      </w:r>
      <w:r>
        <w:br/>
      </w:r>
      <w:r>
        <w:br/>
      </w:r>
      <w:r>
        <w:rPr>
          <w:rStyle w:val="VerbatimChar"/>
        </w:rPr>
        <w:t xml:space="preserve">SEE ALSO</w:t>
      </w:r>
      <w:r>
        <w:br/>
      </w:r>
      <w:r>
        <w:rPr>
          <w:rStyle w:val="VerbatimChar"/>
        </w:rPr>
        <w:t xml:space="preserve">       attention(2), residual(3), layer-norm(3), feed-forward(3),</w:t>
      </w:r>
      <w:r>
        <w:br/>
      </w:r>
      <w:r>
        <w:rPr>
          <w:rStyle w:val="VerbatimChar"/>
        </w:rPr>
        <w:t xml:space="preserve">       architecture-scales(7), execution-trace(1)</w:t>
      </w:r>
      <w:r>
        <w:br/>
      </w:r>
      <w:r>
        <w:br/>
      </w:r>
      <w:r>
        <w:rPr>
          <w:rStyle w:val="VerbatimChar"/>
        </w:rPr>
        <w:t xml:space="preserve">SOURCE</w:t>
      </w:r>
      <w:r>
        <w:br/>
      </w:r>
      <w:r>
        <w:rPr>
          <w:rStyle w:val="VerbatimChar"/>
        </w:rPr>
        <w:t xml:space="preserve">       Chapter 11, transformer-block probe.</w:t>
      </w:r>
    </w:p>
    <w:bookmarkEnd w:id="301"/>
    <w:bookmarkStart w:id="302" w:name="man-residual"/>
    <w:p>
      <w:pPr>
        <w:pStyle w:val="SourceCode"/>
      </w:pPr>
      <w:r>
        <w:rPr>
          <w:rStyle w:val="VerbatimChar"/>
        </w:rPr>
        <w:t xml:space="preserve">RESIDUAL(3)                      Book Two Man Pages                    RESIDUAL(3)</w:t>
      </w:r>
      <w:r>
        <w:br/>
      </w:r>
      <w:r>
        <w:br/>
      </w:r>
      <w:r>
        <w:rPr>
          <w:rStyle w:val="VerbatimChar"/>
        </w:rPr>
        <w:t xml:space="preserve">NAME</w:t>
      </w:r>
      <w:r>
        <w:br/>
      </w:r>
      <w:r>
        <w:rPr>
          <w:rStyle w:val="VerbatimChar"/>
        </w:rPr>
        <w:t xml:space="preserve">       residual - compose a branch output with its entry path by addition</w:t>
      </w:r>
      <w:r>
        <w:br/>
      </w:r>
      <w:r>
        <w:br/>
      </w:r>
      <w:r>
        <w:rPr>
          <w:rStyle w:val="VerbatimChar"/>
        </w:rPr>
        <w:t xml:space="preserve">SYNOPSIS</w:t>
      </w:r>
      <w:r>
        <w:br/>
      </w:r>
      <w:r>
        <w:rPr>
          <w:rStyle w:val="VerbatimChar"/>
        </w:rPr>
        <w:t xml:space="preserve">       R = H + Z</w:t>
      </w:r>
      <w:r>
        <w:br/>
      </w:r>
      <w:r>
        <w:br/>
      </w:r>
      <w:r>
        <w:rPr>
          <w:rStyle w:val="VerbatimChar"/>
        </w:rPr>
        <w:t xml:space="preserve">DESCRIPTION</w:t>
      </w:r>
      <w:r>
        <w:br/>
      </w:r>
      <w:r>
        <w:rPr>
          <w:rStyle w:val="VerbatimChar"/>
        </w:rPr>
        <w:t xml:space="preserve">       The output of a transformed branch (e.g. attention or feed-forward) is</w:t>
      </w:r>
      <w:r>
        <w:br/>
      </w:r>
      <w:r>
        <w:rPr>
          <w:rStyle w:val="VerbatimChar"/>
        </w:rPr>
        <w:t xml:space="preserve">       added, coordinate-wise, to the value that entered the branch. Both</w:t>
      </w:r>
      <w:r>
        <w:br/>
      </w:r>
      <w:r>
        <w:rPr>
          <w:rStyle w:val="VerbatimChar"/>
        </w:rPr>
        <w:t xml:space="preserve">       operands must share dimension. The equation is verified row-by-row</w:t>
      </w:r>
      <w:r>
        <w:br/>
      </w:r>
      <w:r>
        <w:rPr>
          <w:rStyle w:val="VerbatimChar"/>
        </w:rPr>
        <w:t xml:space="preserve">       against declared fixture values.</w:t>
      </w:r>
      <w:r>
        <w:br/>
      </w:r>
      <w:r>
        <w:br/>
      </w:r>
      <w:r>
        <w:rPr>
          <w:rStyle w:val="VerbatimChar"/>
        </w:rPr>
        <w:t xml:space="preserve">NOTES</w:t>
      </w:r>
      <w:r>
        <w:br/>
      </w:r>
      <w:r>
        <w:rPr>
          <w:rStyle w:val="VerbatimChar"/>
        </w:rPr>
        <w:t xml:space="preserve">       Residual composition is not normalization and not the branch</w:t>
      </w:r>
      <w:r>
        <w:br/>
      </w:r>
      <w:r>
        <w:rPr>
          <w:rStyle w:val="VerbatimChar"/>
        </w:rPr>
        <w:t xml:space="preserve">       transformation itself; each stage in transformer-block(8) has a</w:t>
      </w:r>
      <w:r>
        <w:br/>
      </w:r>
      <w:r>
        <w:rPr>
          <w:rStyle w:val="VerbatimChar"/>
        </w:rPr>
        <w:t xml:space="preserve">       distinct contract. This page does not establish why residual paths aid</w:t>
      </w:r>
      <w:r>
        <w:br/>
      </w:r>
      <w:r>
        <w:rPr>
          <w:rStyle w:val="VerbatimChar"/>
        </w:rPr>
        <w:t xml:space="preserve">       trainability at depth beyond citing the architectural principle.</w:t>
      </w:r>
      <w:r>
        <w:br/>
      </w:r>
      <w:r>
        <w:br/>
      </w:r>
      <w:r>
        <w:rPr>
          <w:rStyle w:val="VerbatimChar"/>
        </w:rPr>
        <w:t xml:space="preserve">SEE ALSO</w:t>
      </w:r>
      <w:r>
        <w:br/>
      </w:r>
      <w:r>
        <w:rPr>
          <w:rStyle w:val="VerbatimChar"/>
        </w:rPr>
        <w:t xml:space="preserve">       transformer-block(8), layer-norm(3)</w:t>
      </w:r>
      <w:r>
        <w:br/>
      </w:r>
      <w:r>
        <w:br/>
      </w:r>
      <w:r>
        <w:rPr>
          <w:rStyle w:val="VerbatimChar"/>
        </w:rPr>
        <w:t xml:space="preserve">SOURCE</w:t>
      </w:r>
      <w:r>
        <w:br/>
      </w:r>
      <w:r>
        <w:rPr>
          <w:rStyle w:val="VerbatimChar"/>
        </w:rPr>
        <w:t xml:space="preserve">       Chapter 11, transformer-block probe; He et al. (residual networks).</w:t>
      </w:r>
    </w:p>
    <w:bookmarkEnd w:id="302"/>
    <w:bookmarkStart w:id="303" w:name="man-layer-norm"/>
    <w:p>
      <w:pPr>
        <w:pStyle w:val="SourceCode"/>
      </w:pPr>
      <w:r>
        <w:rPr>
          <w:rStyle w:val="VerbatimChar"/>
        </w:rPr>
        <w:t xml:space="preserve">LAYER-NORM(3)                    Book Two Man Pages                  LAYER-NORM(3)</w:t>
      </w:r>
      <w:r>
        <w:br/>
      </w:r>
      <w:r>
        <w:br/>
      </w:r>
      <w:r>
        <w:rPr>
          <w:rStyle w:val="VerbatimChar"/>
        </w:rPr>
        <w:t xml:space="preserve">NAME</w:t>
      </w:r>
      <w:r>
        <w:br/>
      </w:r>
      <w:r>
        <w:rPr>
          <w:rStyle w:val="VerbatimChar"/>
        </w:rPr>
        <w:t xml:space="preserve">       layer-norm - rescale a row to near-zero mean and near-unit variance</w:t>
      </w:r>
      <w:r>
        <w:br/>
      </w:r>
      <w:r>
        <w:br/>
      </w:r>
      <w:r>
        <w:rPr>
          <w:rStyle w:val="VerbatimChar"/>
        </w:rPr>
        <w:t xml:space="preserve">SYNOPSIS</w:t>
      </w:r>
      <w:r>
        <w:br/>
      </w:r>
      <w:r>
        <w:rPr>
          <w:rStyle w:val="VerbatimChar"/>
        </w:rPr>
        <w:t xml:space="preserve">       LN(x) = (x - mean(x)) / sqrt(var(x) + epsilon)</w:t>
      </w:r>
      <w:r>
        <w:br/>
      </w:r>
      <w:r>
        <w:br/>
      </w:r>
      <w:r>
        <w:rPr>
          <w:rStyle w:val="VerbatimChar"/>
        </w:rPr>
        <w:t xml:space="preserve">DESCRIPTION</w:t>
      </w:r>
      <w:r>
        <w:br/>
      </w:r>
      <w:r>
        <w:rPr>
          <w:rStyle w:val="VerbatimChar"/>
        </w:rPr>
        <w:t xml:space="preserve">       For each row, subtract its mean and divide by the square root of its</w:t>
      </w:r>
      <w:r>
        <w:br/>
      </w:r>
      <w:r>
        <w:rPr>
          <w:rStyle w:val="VerbatimChar"/>
        </w:rPr>
        <w:t xml:space="preserve">       variance plus a small epsilon. Applied per row (per example), not</w:t>
      </w:r>
      <w:r>
        <w:br/>
      </w:r>
      <w:r>
        <w:rPr>
          <w:rStyle w:val="VerbatimChar"/>
        </w:rPr>
        <w:t xml:space="preserve">       across a batch. In the fixture, recorded output rows have mean near</w:t>
      </w:r>
      <w:r>
        <w:br/>
      </w:r>
      <w:r>
        <w:rPr>
          <w:rStyle w:val="VerbatimChar"/>
        </w:rPr>
        <w:t xml:space="preserve">       zero and variance near one under this exact formula.</w:t>
      </w:r>
      <w:r>
        <w:br/>
      </w:r>
      <w:r>
        <w:br/>
      </w:r>
      <w:r>
        <w:rPr>
          <w:rStyle w:val="VerbatimChar"/>
        </w:rPr>
        <w:t xml:space="preserve">NOTES</w:t>
      </w:r>
      <w:r>
        <w:br/>
      </w:r>
      <w:r>
        <w:rPr>
          <w:rStyle w:val="VerbatimChar"/>
        </w:rPr>
        <w:t xml:space="preserve">       The check validates the declared arithmetic for this fixture; it does</w:t>
      </w:r>
      <w:r>
        <w:br/>
      </w:r>
      <w:r>
        <w:rPr>
          <w:rStyle w:val="VerbatimChar"/>
        </w:rPr>
        <w:t xml:space="preserve">       not assert training behavior or optimization dynamics. Normalization is</w:t>
      </w:r>
      <w:r>
        <w:br/>
      </w:r>
      <w:r>
        <w:rPr>
          <w:rStyle w:val="VerbatimChar"/>
        </w:rPr>
        <w:t xml:space="preserve">       not the residual(3) addition and not the feed-forward(3) stage that</w:t>
      </w:r>
      <w:r>
        <w:br/>
      </w:r>
      <w:r>
        <w:rPr>
          <w:rStyle w:val="VerbatimChar"/>
        </w:rPr>
        <w:t xml:space="preserve">       follows it.</w:t>
      </w:r>
      <w:r>
        <w:br/>
      </w:r>
      <w:r>
        <w:br/>
      </w:r>
      <w:r>
        <w:rPr>
          <w:rStyle w:val="VerbatimChar"/>
        </w:rPr>
        <w:t xml:space="preserve">SEE ALSO</w:t>
      </w:r>
      <w:r>
        <w:br/>
      </w:r>
      <w:r>
        <w:rPr>
          <w:rStyle w:val="VerbatimChar"/>
        </w:rPr>
        <w:t xml:space="preserve">       transformer-block(8), residual(3)</w:t>
      </w:r>
      <w:r>
        <w:br/>
      </w:r>
      <w:r>
        <w:br/>
      </w:r>
      <w:r>
        <w:rPr>
          <w:rStyle w:val="VerbatimChar"/>
        </w:rPr>
        <w:t xml:space="preserve">SOURCE</w:t>
      </w:r>
      <w:r>
        <w:br/>
      </w:r>
      <w:r>
        <w:rPr>
          <w:rStyle w:val="VerbatimChar"/>
        </w:rPr>
        <w:t xml:space="preserve">       Chapter 11, transformer-block probe; Ba, Kiros, Hinton (layer normalization).</w:t>
      </w:r>
    </w:p>
    <w:bookmarkEnd w:id="303"/>
    <w:bookmarkStart w:id="304" w:name="man-feed-forward"/>
    <w:p>
      <w:pPr>
        <w:pStyle w:val="SourceCode"/>
      </w:pPr>
      <w:r>
        <w:rPr>
          <w:rStyle w:val="VerbatimChar"/>
        </w:rPr>
        <w:t xml:space="preserve">FEED-FORWARD(3)                  Book Two Man Pages                 FEED-FORWARD(3)</w:t>
      </w:r>
      <w:r>
        <w:br/>
      </w:r>
      <w:r>
        <w:br/>
      </w:r>
      <w:r>
        <w:rPr>
          <w:rStyle w:val="VerbatimChar"/>
        </w:rPr>
        <w:t xml:space="preserve">NAME</w:t>
      </w:r>
      <w:r>
        <w:br/>
      </w:r>
      <w:r>
        <w:rPr>
          <w:rStyle w:val="VerbatimChar"/>
        </w:rPr>
        <w:t xml:space="preserve">       feed-forward - per-position nonlinear transformation between two projections</w:t>
      </w:r>
      <w:r>
        <w:br/>
      </w:r>
      <w:r>
        <w:br/>
      </w:r>
      <w:r>
        <w:rPr>
          <w:rStyle w:val="VerbatimChar"/>
        </w:rPr>
        <w:t xml:space="preserve">SYNOPSIS</w:t>
      </w:r>
      <w:r>
        <w:br/>
      </w:r>
      <w:r>
        <w:rPr>
          <w:rStyle w:val="VerbatimChar"/>
        </w:rPr>
        <w:t xml:space="preserve">       F1 = ReLU(N W1 + b1)</w:t>
      </w:r>
      <w:r>
        <w:br/>
      </w:r>
      <w:r>
        <w:rPr>
          <w:rStyle w:val="VerbatimChar"/>
        </w:rPr>
        <w:t xml:space="preserve">       F2 = F1 W2 + b2</w:t>
      </w:r>
      <w:r>
        <w:br/>
      </w:r>
      <w:r>
        <w:br/>
      </w:r>
      <w:r>
        <w:rPr>
          <w:rStyle w:val="VerbatimChar"/>
        </w:rPr>
        <w:t xml:space="preserve">DESCRIPTION</w:t>
      </w:r>
      <w:r>
        <w:br/>
      </w:r>
      <w:r>
        <w:rPr>
          <w:rStyle w:val="VerbatimChar"/>
        </w:rPr>
        <w:t xml:space="preserve">       Each row is projected to a wider hidden dimension, passed through</w:t>
      </w:r>
      <w:r>
        <w:br/>
      </w:r>
      <w:r>
        <w:rPr>
          <w:rStyle w:val="VerbatimChar"/>
        </w:rPr>
        <w:t xml:space="preserve">       ReLU, then projected back to model dimension with a second bias. The</w:t>
      </w:r>
      <w:r>
        <w:br/>
      </w:r>
      <w:r>
        <w:rPr>
          <w:rStyle w:val="VerbatimChar"/>
        </w:rPr>
        <w:t xml:space="preserve">       transformation is applied independently per position: it does not mix</w:t>
      </w:r>
      <w:r>
        <w:br/>
      </w:r>
      <w:r>
        <w:rPr>
          <w:rStyle w:val="VerbatimChar"/>
        </w:rPr>
        <w:t xml:space="preserve">       information across positions the way attention(2) does.</w:t>
      </w:r>
      <w:r>
        <w:br/>
      </w:r>
      <w:r>
        <w:br/>
      </w:r>
      <w:r>
        <w:rPr>
          <w:rStyle w:val="VerbatimChar"/>
        </w:rPr>
        <w:t xml:space="preserve">NOTES</w:t>
      </w:r>
      <w:r>
        <w:br/>
      </w:r>
      <w:r>
        <w:rPr>
          <w:rStyle w:val="VerbatimChar"/>
        </w:rPr>
        <w:t xml:space="preserve">       Feed-forward is a distinct sublayer contract inside transformer-block(8),</w:t>
      </w:r>
      <w:r>
        <w:br/>
      </w:r>
      <w:r>
        <w:rPr>
          <w:rStyle w:val="VerbatimChar"/>
        </w:rPr>
        <w:t xml:space="preserve">       not a substitute for attention's cross-position mixing role. Its role</w:t>
      </w:r>
      <w:r>
        <w:br/>
      </w:r>
      <w:r>
        <w:rPr>
          <w:rStyle w:val="VerbatimChar"/>
        </w:rPr>
        <w:t xml:space="preserve">       is transformation of a row's content, not comparison across rows.</w:t>
      </w:r>
      <w:r>
        <w:br/>
      </w:r>
      <w:r>
        <w:br/>
      </w:r>
      <w:r>
        <w:rPr>
          <w:rStyle w:val="VerbatimChar"/>
        </w:rPr>
        <w:t xml:space="preserve">SEE ALSO</w:t>
      </w:r>
      <w:r>
        <w:br/>
      </w:r>
      <w:r>
        <w:rPr>
          <w:rStyle w:val="VerbatimChar"/>
        </w:rPr>
        <w:t xml:space="preserve">       transformer-block(8), attention(2)</w:t>
      </w:r>
      <w:r>
        <w:br/>
      </w:r>
      <w:r>
        <w:br/>
      </w:r>
      <w:r>
        <w:rPr>
          <w:rStyle w:val="VerbatimChar"/>
        </w:rPr>
        <w:t xml:space="preserve">SOURCE</w:t>
      </w:r>
      <w:r>
        <w:br/>
      </w:r>
      <w:r>
        <w:rPr>
          <w:rStyle w:val="VerbatimChar"/>
        </w:rPr>
        <w:t xml:space="preserve">       Chapter 11, transformer-block probe.</w:t>
      </w:r>
    </w:p>
    <w:bookmarkEnd w:id="304"/>
    <w:bookmarkStart w:id="305" w:name="man-callable-package"/>
    <w:p>
      <w:pPr>
        <w:pStyle w:val="SourceCode"/>
      </w:pPr>
      <w:r>
        <w:rPr>
          <w:rStyle w:val="VerbatimChar"/>
        </w:rPr>
        <w:t xml:space="preserve">CALLABLE-PACKAGE(8)              Book Two Man Pages             CALLABLE-PACKAGE(8)</w:t>
      </w:r>
      <w:r>
        <w:br/>
      </w:r>
      <w:r>
        <w:br/>
      </w:r>
      <w:r>
        <w:rPr>
          <w:rStyle w:val="VerbatimChar"/>
        </w:rPr>
        <w:t xml:space="preserve">NAME</w:t>
      </w:r>
      <w:r>
        <w:br/>
      </w:r>
      <w:r>
        <w:rPr>
          <w:rStyle w:val="VerbatimChar"/>
        </w:rPr>
        <w:t xml:space="preserve">       callable-package - validated serialized model bound to a runtime and interface</w:t>
      </w:r>
      <w:r>
        <w:br/>
      </w:r>
      <w:r>
        <w:br/>
      </w:r>
      <w:r>
        <w:rPr>
          <w:rStyle w:val="VerbatimChar"/>
        </w:rPr>
        <w:t xml:space="preserve">SYNOPSIS</w:t>
      </w:r>
      <w:r>
        <w:br/>
      </w:r>
      <w:r>
        <w:rPr>
          <w:rStyle w:val="VerbatimChar"/>
        </w:rPr>
        <w:t xml:space="preserve">       load(package) -&gt; PACKAGE_VALID | error_code</w:t>
      </w:r>
      <w:r>
        <w:br/>
      </w:r>
      <w:r>
        <w:rPr>
          <w:rStyle w:val="VerbatimChar"/>
        </w:rPr>
        <w:t xml:space="preserve">       construct(spec, params, op, runtime) -&gt; callable</w:t>
      </w:r>
      <w:r>
        <w:br/>
      </w:r>
      <w:r>
        <w:rPr>
          <w:rStyle w:val="VerbatimChar"/>
        </w:rPr>
        <w:t xml:space="preserve">       callable(request) -&gt; response</w:t>
      </w:r>
      <w:r>
        <w:br/>
      </w:r>
      <w:r>
        <w:br/>
      </w:r>
      <w:r>
        <w:rPr>
          <w:rStyle w:val="VerbatimChar"/>
        </w:rPr>
        <w:t xml:space="preserve">DESCRIPTION</w:t>
      </w:r>
      <w:r>
        <w:br/>
      </w:r>
      <w:r>
        <w:rPr>
          <w:rStyle w:val="VerbatimChar"/>
        </w:rPr>
        <w:t xml:space="preserve">       A package binds four contract-bearing sections: manifest (format,</w:t>
      </w:r>
      <w:r>
        <w:br/>
      </w:r>
      <w:r>
        <w:rPr>
          <w:rStyle w:val="VerbatimChar"/>
        </w:rPr>
        <w:t xml:space="preserve">       required runtime capability), architecture (identity, version,</w:t>
      </w:r>
      <w:r>
        <w:br/>
      </w:r>
      <w:r>
        <w:rPr>
          <w:rStyle w:val="VerbatimChar"/>
        </w:rPr>
        <w:t xml:space="preserve">       operation, dimensions), parameters (weights, bias), and interface</w:t>
      </w:r>
      <w:r>
        <w:br/>
      </w:r>
      <w:r>
        <w:rPr>
          <w:rStyle w:val="VerbatimChar"/>
        </w:rPr>
        <w:t xml:space="preserve">       (request/response schema). A loader validates required fields,</w:t>
      </w:r>
      <w:r>
        <w:br/>
      </w:r>
      <w:r>
        <w:rPr>
          <w:rStyle w:val="VerbatimChar"/>
        </w:rPr>
        <w:t xml:space="preserve">       declared dimensions against payload shapes, framework operation</w:t>
      </w:r>
      <w:r>
        <w:br/>
      </w:r>
      <w:r>
        <w:rPr>
          <w:rStyle w:val="VerbatimChar"/>
        </w:rPr>
        <w:t xml:space="preserve">       availability, runtime capability, and interface schemas, in that</w:t>
      </w:r>
      <w:r>
        <w:br/>
      </w:r>
      <w:r>
        <w:rPr>
          <w:rStyle w:val="VerbatimChar"/>
        </w:rPr>
        <w:t xml:space="preserve">       order, before constructing a callable object. Reloading an identical</w:t>
      </w:r>
      <w:r>
        <w:br/>
      </w:r>
      <w:r>
        <w:rPr>
          <w:rStyle w:val="VerbatimChar"/>
        </w:rPr>
        <w:t xml:space="preserve">       package and resending an identical request reproduces identical</w:t>
      </w:r>
      <w:r>
        <w:br/>
      </w:r>
      <w:r>
        <w:rPr>
          <w:rStyle w:val="VerbatimChar"/>
        </w:rPr>
        <w:t xml:space="preserve">       results.</w:t>
      </w:r>
      <w:r>
        <w:br/>
      </w:r>
      <w:r>
        <w:br/>
      </w:r>
      <w:r>
        <w:rPr>
          <w:rStyle w:val="VerbatimChar"/>
        </w:rPr>
        <w:t xml:space="preserve">NOTES</w:t>
      </w:r>
      <w:r>
        <w:br/>
      </w:r>
      <w:r>
        <w:rPr>
          <w:rStyle w:val="VerbatimChar"/>
        </w:rPr>
        <w:t xml:space="preserve">       An architecture specification is not an executable; a package on disk</w:t>
      </w:r>
      <w:r>
        <w:br/>
      </w:r>
      <w:r>
        <w:rPr>
          <w:rStyle w:val="VerbatimChar"/>
        </w:rPr>
        <w:t xml:space="preserve">       is not an in-memory object; a framework supporting an operation does</w:t>
      </w:r>
      <w:r>
        <w:br/>
      </w:r>
      <w:r>
        <w:rPr>
          <w:rStyle w:val="VerbatimChar"/>
        </w:rPr>
        <w:t xml:space="preserve">       not mean a specific package is valid. A dimension mismatch is rejected</w:t>
      </w:r>
      <w:r>
        <w:br/>
      </w:r>
      <w:r>
        <w:rPr>
          <w:rStyle w:val="VerbatimChar"/>
        </w:rPr>
        <w:t xml:space="preserve">       before construction, with zero downstream invocations - failure does</w:t>
      </w:r>
      <w:r>
        <w:br/>
      </w:r>
      <w:r>
        <w:rPr>
          <w:rStyle w:val="VerbatimChar"/>
        </w:rPr>
        <w:t xml:space="preserve">       not hide inside a later arithmetic exception. This page does not</w:t>
      </w:r>
      <w:r>
        <w:br/>
      </w:r>
      <w:r>
        <w:rPr>
          <w:rStyle w:val="VerbatimChar"/>
        </w:rPr>
        <w:t xml:space="preserve">       measure latency, throughput, or hardware utilization, and claims no</w:t>
      </w:r>
      <w:r>
        <w:br/>
      </w:r>
      <w:r>
        <w:rPr>
          <w:rStyle w:val="VerbatimChar"/>
        </w:rPr>
        <w:t xml:space="preserve">       compatibility with any real model-serialization format.</w:t>
      </w:r>
      <w:r>
        <w:br/>
      </w:r>
      <w:r>
        <w:br/>
      </w:r>
      <w:r>
        <w:rPr>
          <w:rStyle w:val="VerbatimChar"/>
        </w:rPr>
        <w:t xml:space="preserve">SEE ALSO</w:t>
      </w:r>
      <w:r>
        <w:br/>
      </w:r>
      <w:r>
        <w:rPr>
          <w:rStyle w:val="VerbatimChar"/>
        </w:rPr>
        <w:t xml:space="preserve">       transformer-block(8), alignment(7)</w:t>
      </w:r>
      <w:r>
        <w:br/>
      </w:r>
      <w:r>
        <w:br/>
      </w:r>
      <w:r>
        <w:rPr>
          <w:rStyle w:val="VerbatimChar"/>
        </w:rPr>
        <w:t xml:space="preserve">SOURCE</w:t>
      </w:r>
      <w:r>
        <w:br/>
      </w:r>
      <w:r>
        <w:rPr>
          <w:rStyle w:val="VerbatimChar"/>
        </w:rPr>
        <w:t xml:space="preserve">       Chapter 12, callable-tool probe.</w:t>
      </w:r>
    </w:p>
    <w:bookmarkEnd w:id="305"/>
    <w:bookmarkStart w:id="306" w:name="man-alignment"/>
    <w:p>
      <w:pPr>
        <w:pStyle w:val="SourceCode"/>
      </w:pPr>
      <w:r>
        <w:rPr>
          <w:rStyle w:val="VerbatimChar"/>
        </w:rPr>
        <w:t xml:space="preserve">ALIGNMENT(7)                     Book Two Man Pages                   ALIGNMENT(7)</w:t>
      </w:r>
      <w:r>
        <w:br/>
      </w:r>
      <w:r>
        <w:br/>
      </w:r>
      <w:r>
        <w:rPr>
          <w:rStyle w:val="VerbatimChar"/>
        </w:rPr>
        <w:t xml:space="preserve">NAME</w:t>
      </w:r>
      <w:r>
        <w:br/>
      </w:r>
      <w:r>
        <w:rPr>
          <w:rStyle w:val="VerbatimChar"/>
        </w:rPr>
        <w:t xml:space="preserve">       alignment - exact typed match between an export and a destination requirement</w:t>
      </w:r>
      <w:r>
        <w:br/>
      </w:r>
      <w:r>
        <w:br/>
      </w:r>
      <w:r>
        <w:rPr>
          <w:rStyle w:val="VerbatimChar"/>
        </w:rPr>
        <w:t xml:space="preserve">SYNOPSIS</w:t>
      </w:r>
      <w:r>
        <w:br/>
      </w:r>
      <w:r>
        <w:rPr>
          <w:rStyle w:val="VerbatimChar"/>
        </w:rPr>
        <w:t xml:space="preserve">       accept(source_module, capability_id, interface_id) iff</w:t>
      </w:r>
      <w:r>
        <w:br/>
      </w:r>
      <w:r>
        <w:rPr>
          <w:rStyle w:val="VerbatimChar"/>
        </w:rPr>
        <w:t xml:space="preserve">           graph edge exists AND triple matches a destination requirement exactly</w:t>
      </w:r>
      <w:r>
        <w:br/>
      </w:r>
      <w:r>
        <w:br/>
      </w:r>
      <w:r>
        <w:rPr>
          <w:rStyle w:val="VerbatimChar"/>
        </w:rPr>
        <w:t xml:space="preserve">DESCRIPTION</w:t>
      </w:r>
      <w:r>
        <w:br/>
      </w:r>
      <w:r>
        <w:rPr>
          <w:rStyle w:val="VerbatimChar"/>
        </w:rPr>
        <w:t xml:space="preserve">       Three lineage exports - an architectural relation (AI), a declared</w:t>
      </w:r>
      <w:r>
        <w:br/>
      </w:r>
      <w:r>
        <w:rPr>
          <w:rStyle w:val="VerbatimChar"/>
        </w:rPr>
        <w:t xml:space="preserve">       transform/compare rule (mathematics), and a validated callable-package(8)</w:t>
      </w:r>
      <w:r>
        <w:br/>
      </w:r>
      <w:r>
        <w:rPr>
          <w:rStyle w:val="VerbatimChar"/>
        </w:rPr>
        <w:t xml:space="preserve">       contract (programming) - are matched against named destination</w:t>
      </w:r>
      <w:r>
        <w:br/>
      </w:r>
      <w:r>
        <w:rPr>
          <w:rStyle w:val="VerbatimChar"/>
        </w:rPr>
        <w:t xml:space="preserve">       requirements by an exact typed triple, not by vocabulary resemblance.</w:t>
      </w:r>
      <w:r>
        <w:br/>
      </w:r>
      <w:r>
        <w:rPr>
          <w:rStyle w:val="VerbatimChar"/>
        </w:rPr>
        <w:t xml:space="preserve">       Every requirement must be satisfied exactly once: no missing match, no</w:t>
      </w:r>
      <w:r>
        <w:br/>
      </w:r>
      <w:r>
        <w:rPr>
          <w:rStyle w:val="VerbatimChar"/>
        </w:rPr>
        <w:t xml:space="preserve">       duplicate match. Source identity is retained through the match, not</w:t>
      </w:r>
      <w:r>
        <w:br/>
      </w:r>
      <w:r>
        <w:rPr>
          <w:rStyle w:val="VerbatimChar"/>
        </w:rPr>
        <w:t xml:space="preserve">       discarded.</w:t>
      </w:r>
      <w:r>
        <w:br/>
      </w:r>
      <w:r>
        <w:br/>
      </w:r>
      <w:r>
        <w:rPr>
          <w:rStyle w:val="VerbatimChar"/>
        </w:rPr>
        <w:t xml:space="preserve">NOTES</w:t>
      </w:r>
      <w:r>
        <w:br/>
      </w:r>
      <w:r>
        <w:rPr>
          <w:rStyle w:val="VerbatimChar"/>
        </w:rPr>
        <w:t xml:space="preserve">       A shared word (e.g. "transform") does not authorize substitution for a</w:t>
      </w:r>
      <w:r>
        <w:br/>
      </w:r>
      <w:r>
        <w:rPr>
          <w:rStyle w:val="VerbatimChar"/>
        </w:rPr>
        <w:t xml:space="preserve">       different requirement; a missing dependency-graph edge is a distinct</w:t>
      </w:r>
      <w:r>
        <w:br/>
      </w:r>
      <w:r>
        <w:rPr>
          <w:rStyle w:val="VerbatimChar"/>
        </w:rPr>
        <w:t xml:space="preserve">       failure from an available but non-matching export. Alignment produces</w:t>
      </w:r>
      <w:r>
        <w:br/>
      </w:r>
      <w:r>
        <w:rPr>
          <w:rStyle w:val="VerbatimChar"/>
        </w:rPr>
        <w:t xml:space="preserve">       one outgoing edge to architecture-scales(7); it does not itself</w:t>
      </w:r>
      <w:r>
        <w:br/>
      </w:r>
      <w:r>
        <w:rPr>
          <w:rStyle w:val="VerbatimChar"/>
        </w:rPr>
        <w:t xml:space="preserve">       inspect the resulting object.</w:t>
      </w:r>
      <w:r>
        <w:br/>
      </w:r>
      <w:r>
        <w:br/>
      </w:r>
      <w:r>
        <w:rPr>
          <w:rStyle w:val="VerbatimChar"/>
        </w:rPr>
        <w:t xml:space="preserve">SEE ALSO</w:t>
      </w:r>
      <w:r>
        <w:br/>
      </w:r>
      <w:r>
        <w:rPr>
          <w:rStyle w:val="VerbatimChar"/>
        </w:rPr>
        <w:t xml:space="preserve">       transformer-block(8), callable-package(8), architecture-scales(7)</w:t>
      </w:r>
      <w:r>
        <w:br/>
      </w:r>
      <w:r>
        <w:br/>
      </w:r>
      <w:r>
        <w:rPr>
          <w:rStyle w:val="VerbatimChar"/>
        </w:rPr>
        <w:t xml:space="preserve">SOURCE</w:t>
      </w:r>
      <w:r>
        <w:br/>
      </w:r>
      <w:r>
        <w:rPr>
          <w:rStyle w:val="VerbatimChar"/>
        </w:rPr>
        <w:t xml:space="preserve">       Chapter 13, lineage-alignment probe.</w:t>
      </w:r>
    </w:p>
    <w:bookmarkEnd w:id="306"/>
    <w:bookmarkStart w:id="307" w:name="man-architecture-scales"/>
    <w:p>
      <w:pPr>
        <w:pStyle w:val="SourceCode"/>
      </w:pPr>
      <w:r>
        <w:rPr>
          <w:rStyle w:val="VerbatimChar"/>
        </w:rPr>
        <w:t xml:space="preserve">ARCHITECTURE-SCALES(7)           Book Two Man Pages           ARCHITECTURE-SCALES(7)</w:t>
      </w:r>
      <w:r>
        <w:br/>
      </w:r>
      <w:r>
        <w:br/>
      </w:r>
      <w:r>
        <w:rPr>
          <w:rStyle w:val="VerbatimChar"/>
        </w:rPr>
        <w:t xml:space="preserve">NAME</w:t>
      </w:r>
      <w:r>
        <w:br/>
      </w:r>
      <w:r>
        <w:rPr>
          <w:rStyle w:val="VerbatimChar"/>
        </w:rPr>
        <w:t xml:space="preserve">       architecture-scales - one architecture identity viewed at system, stack, block, operation scope</w:t>
      </w:r>
      <w:r>
        <w:br/>
      </w:r>
      <w:r>
        <w:br/>
      </w:r>
      <w:r>
        <w:rPr>
          <w:rStyle w:val="VerbatimChar"/>
        </w:rPr>
        <w:t xml:space="preserve">SYNOPSIS</w:t>
      </w:r>
      <w:r>
        <w:br/>
      </w:r>
      <w:r>
        <w:rPr>
          <w:rStyle w:val="VerbatimChar"/>
        </w:rPr>
        <w:t xml:space="preserve">       system { contains stack { contains block[0..n] { contains attention, ffn, ... } } }</w:t>
      </w:r>
      <w:r>
        <w:br/>
      </w:r>
      <w:r>
        <w:br/>
      </w:r>
      <w:r>
        <w:rPr>
          <w:rStyle w:val="VerbatimChar"/>
        </w:rPr>
        <w:t xml:space="preserve">DESCRIPTION</w:t>
      </w:r>
      <w:r>
        <w:br/>
      </w:r>
      <w:r>
        <w:rPr>
          <w:rStyle w:val="VerbatimChar"/>
        </w:rPr>
        <w:t xml:space="preserve">       One fixed architecture ID is inspected at four scopes: system (external</w:t>
      </w:r>
      <w:r>
        <w:br/>
      </w:r>
      <w:r>
        <w:rPr>
          <w:rStyle w:val="VerbatimChar"/>
        </w:rPr>
        <w:t xml:space="preserve">       token-in / logits-out boundary), stack (repeated block instances sharing</w:t>
      </w:r>
      <w:r>
        <w:br/>
      </w:r>
      <w:r>
        <w:rPr>
          <w:rStyle w:val="VerbatimChar"/>
        </w:rPr>
        <w:t xml:space="preserve">       one contract), block (attention plus residual/normalization/feed-forward</w:t>
      </w:r>
      <w:r>
        <w:br/>
      </w:r>
      <w:r>
        <w:rPr>
          <w:rStyle w:val="VerbatimChar"/>
        </w:rPr>
        <w:t xml:space="preserve">       children), and operation (one selected component, e.g. attention). Each</w:t>
      </w:r>
      <w:r>
        <w:br/>
      </w:r>
      <w:r>
        <w:rPr>
          <w:rStyle w:val="VerbatimChar"/>
        </w:rPr>
        <w:t xml:space="preserve">       scope exposes only its own owned interfaces; containment edges are</w:t>
      </w:r>
      <w:r>
        <w:br/>
      </w:r>
      <w:r>
        <w:rPr>
          <w:rStyle w:val="VerbatimChar"/>
        </w:rPr>
        <w:t xml:space="preserve">       exact and acyclic.</w:t>
      </w:r>
      <w:r>
        <w:br/>
      </w:r>
      <w:r>
        <w:br/>
      </w:r>
      <w:r>
        <w:rPr>
          <w:rStyle w:val="VerbatimChar"/>
        </w:rPr>
        <w:t xml:space="preserve">NOTES</w:t>
      </w:r>
      <w:r>
        <w:br/>
      </w:r>
      <w:r>
        <w:rPr>
          <w:rStyle w:val="VerbatimChar"/>
        </w:rPr>
        <w:t xml:space="preserve">       Containment is not execution order: "which object owns this" and</w:t>
      </w:r>
      <w:r>
        <w:br/>
      </w:r>
      <w:r>
        <w:rPr>
          <w:rStyle w:val="VerbatimChar"/>
        </w:rPr>
        <w:t xml:space="preserve">       "which operation runs next" are different relations, verified</w:t>
      </w:r>
      <w:r>
        <w:br/>
      </w:r>
      <w:r>
        <w:rPr>
          <w:rStyle w:val="VerbatimChar"/>
        </w:rPr>
        <w:t xml:space="preserve">       separately. A complete, exact attention(2) row cannot stand in for the</w:t>
      </w:r>
      <w:r>
        <w:br/>
      </w:r>
      <w:r>
        <w:rPr>
          <w:rStyle w:val="VerbatimChar"/>
        </w:rPr>
        <w:t xml:space="preserve">       system scope - it lacks the required system interfaces even though it</w:t>
      </w:r>
      <w:r>
        <w:br/>
      </w:r>
      <w:r>
        <w:rPr>
          <w:rStyle w:val="VerbatimChar"/>
        </w:rPr>
        <w:t xml:space="preserve">       carries the same architecture ID. Repetition (three blocks, one</w:t>
      </w:r>
      <w:r>
        <w:br/>
      </w:r>
      <w:r>
        <w:rPr>
          <w:rStyle w:val="VerbatimChar"/>
        </w:rPr>
        <w:t xml:space="preserve">       contract) is not one block existing in three places.</w:t>
      </w:r>
      <w:r>
        <w:br/>
      </w:r>
      <w:r>
        <w:br/>
      </w:r>
      <w:r>
        <w:rPr>
          <w:rStyle w:val="VerbatimChar"/>
        </w:rPr>
        <w:t xml:space="preserve">SEE ALSO</w:t>
      </w:r>
      <w:r>
        <w:br/>
      </w:r>
      <w:r>
        <w:rPr>
          <w:rStyle w:val="VerbatimChar"/>
        </w:rPr>
        <w:t xml:space="preserve">       transformer-block(8), execution-trace(1), alignment(7)</w:t>
      </w:r>
      <w:r>
        <w:br/>
      </w:r>
      <w:r>
        <w:br/>
      </w:r>
      <w:r>
        <w:rPr>
          <w:rStyle w:val="VerbatimChar"/>
        </w:rPr>
        <w:t xml:space="preserve">SOURCE</w:t>
      </w:r>
      <w:r>
        <w:br/>
      </w:r>
      <w:r>
        <w:rPr>
          <w:rStyle w:val="VerbatimChar"/>
        </w:rPr>
        <w:t xml:space="preserve">       Chapter 14, four-scales probe.</w:t>
      </w:r>
    </w:p>
    <w:bookmarkEnd w:id="307"/>
    <w:bookmarkStart w:id="308" w:name="man-execution-trace"/>
    <w:p>
      <w:pPr>
        <w:pStyle w:val="SourceCode"/>
      </w:pPr>
      <w:r>
        <w:rPr>
          <w:rStyle w:val="VerbatimChar"/>
        </w:rPr>
        <w:t xml:space="preserve">EXECUTION-TRACE(1)               Book Two Man Pages              EXECUTION-TRACE(1)</w:t>
      </w:r>
      <w:r>
        <w:br/>
      </w:r>
      <w:r>
        <w:br/>
      </w:r>
      <w:r>
        <w:rPr>
          <w:rStyle w:val="VerbatimChar"/>
        </w:rPr>
        <w:t xml:space="preserve">NAME</w:t>
      </w:r>
      <w:r>
        <w:br/>
      </w:r>
      <w:r>
        <w:rPr>
          <w:rStyle w:val="VerbatimChar"/>
        </w:rPr>
        <w:t xml:space="preserve">       execution-trace - one request moved through validated stages in runtime order</w:t>
      </w:r>
      <w:r>
        <w:br/>
      </w:r>
      <w:r>
        <w:br/>
      </w:r>
      <w:r>
        <w:rPr>
          <w:rStyle w:val="VerbatimChar"/>
        </w:rPr>
        <w:t xml:space="preserve">SYNOPSIS</w:t>
      </w:r>
      <w:r>
        <w:br/>
      </w:r>
      <w:r>
        <w:rPr>
          <w:rStyle w:val="VerbatimChar"/>
        </w:rPr>
        <w:t xml:space="preserve">       text -&gt; tokens -&gt; ids -&gt; embed+position -&gt; [gate] -&gt; block -&gt; select-row</w:t>
      </w:r>
      <w:r>
        <w:br/>
      </w:r>
      <w:r>
        <w:rPr>
          <w:rStyle w:val="VerbatimChar"/>
        </w:rPr>
        <w:t xml:space="preserve">            -&gt; project -&gt; argmax -&gt; decode</w:t>
      </w:r>
      <w:r>
        <w:br/>
      </w:r>
      <w:r>
        <w:br/>
      </w:r>
      <w:r>
        <w:rPr>
          <w:rStyle w:val="VerbatimChar"/>
        </w:rPr>
        <w:t xml:space="preserve">DESCRIPTION</w:t>
      </w:r>
      <w:r>
        <w:br/>
      </w:r>
      <w:r>
        <w:rPr>
          <w:rStyle w:val="VerbatimChar"/>
        </w:rPr>
        <w:t xml:space="preserve">       A fixed request crosses tokenization, vocabulary lookup, embedding and</w:t>
      </w:r>
      <w:r>
        <w:br/>
      </w:r>
      <w:r>
        <w:rPr>
          <w:rStyle w:val="VerbatimChar"/>
        </w:rPr>
        <w:t xml:space="preserve">       positional addition, a shape-validation gate, transformer-block(8)</w:t>
      </w:r>
      <w:r>
        <w:br/>
      </w:r>
      <w:r>
        <w:rPr>
          <w:rStyle w:val="VerbatimChar"/>
        </w:rPr>
        <w:t xml:space="preserve">       execution, final-row selection, vocabulary projection, deterministic</w:t>
      </w:r>
      <w:r>
        <w:br/>
      </w:r>
      <w:r>
        <w:rPr>
          <w:rStyle w:val="VerbatimChar"/>
        </w:rPr>
        <w:t xml:space="preserve">       argmax (lowest-ID tie rule), and decode. Every stage records status,</w:t>
      </w:r>
      <w:r>
        <w:br/>
      </w:r>
      <w:r>
        <w:rPr>
          <w:rStyle w:val="VerbatimChar"/>
        </w:rPr>
        <w:t xml:space="preserve">       input/output shape, expected shape, a work-count inventory, and a</w:t>
      </w:r>
      <w:r>
        <w:br/>
      </w:r>
      <w:r>
        <w:rPr>
          <w:rStyle w:val="VerbatimChar"/>
        </w:rPr>
        <w:t xml:space="preserve">       digest or concrete value. A corrupted-width control fails at the first</w:t>
      </w:r>
      <w:r>
        <w:br/>
      </w:r>
      <w:r>
        <w:rPr>
          <w:rStyle w:val="VerbatimChar"/>
        </w:rPr>
        <w:t xml:space="preserve">       gate and marks every downstream stage "unexecuted" rather than filling</w:t>
      </w:r>
      <w:r>
        <w:br/>
      </w:r>
      <w:r>
        <w:rPr>
          <w:rStyle w:val="VerbatimChar"/>
        </w:rPr>
        <w:t xml:space="preserve">       in guessed values.</w:t>
      </w:r>
      <w:r>
        <w:br/>
      </w:r>
      <w:r>
        <w:br/>
      </w:r>
      <w:r>
        <w:rPr>
          <w:rStyle w:val="VerbatimChar"/>
        </w:rPr>
        <w:t xml:space="preserve">NOTES</w:t>
      </w:r>
      <w:r>
        <w:br/>
      </w:r>
      <w:r>
        <w:rPr>
          <w:rStyle w:val="VerbatimChar"/>
        </w:rPr>
        <w:t xml:space="preserve">       Work counts (multiplications, additions, exponentials) are structural</w:t>
      </w:r>
      <w:r>
        <w:br/>
      </w:r>
      <w:r>
        <w:rPr>
          <w:rStyle w:val="VerbatimChar"/>
        </w:rPr>
        <w:t xml:space="preserve">       arithmetic inventories, not elapsed time, latency, throughput, memory</w:t>
      </w:r>
      <w:r>
        <w:br/>
      </w:r>
      <w:r>
        <w:rPr>
          <w:rStyle w:val="VerbatimChar"/>
        </w:rPr>
        <w:t xml:space="preserve">       traffic, or hardware utilization. Output is judged for arithmetic</w:t>
      </w:r>
      <w:r>
        <w:br/>
      </w:r>
      <w:r>
        <w:rPr>
          <w:rStyle w:val="VerbatimChar"/>
        </w:rPr>
        <w:t xml:space="preserve">       correctness, not fluency or semantic appropriateness.</w:t>
      </w:r>
      <w:r>
        <w:br/>
      </w:r>
      <w:r>
        <w:br/>
      </w:r>
      <w:r>
        <w:rPr>
          <w:rStyle w:val="VerbatimChar"/>
        </w:rPr>
        <w:t xml:space="preserve">SEE ALSO</w:t>
      </w:r>
      <w:r>
        <w:br/>
      </w:r>
      <w:r>
        <w:rPr>
          <w:rStyle w:val="VerbatimChar"/>
        </w:rPr>
        <w:t xml:space="preserve">       transformer-block(8), architecture-scales(7), limits(7)</w:t>
      </w:r>
      <w:r>
        <w:br/>
      </w:r>
      <w:r>
        <w:br/>
      </w:r>
      <w:r>
        <w:rPr>
          <w:rStyle w:val="VerbatimChar"/>
        </w:rPr>
        <w:t xml:space="preserve">SOURCE</w:t>
      </w:r>
      <w:r>
        <w:br/>
      </w:r>
      <w:r>
        <w:rPr>
          <w:rStyle w:val="VerbatimChar"/>
        </w:rPr>
        <w:t xml:space="preserve">       Chapter 15, token-through-machine probe.</w:t>
      </w:r>
    </w:p>
    <w:bookmarkEnd w:id="308"/>
    <w:bookmarkStart w:id="309" w:name="man-limits"/>
    <w:p>
      <w:pPr>
        <w:pStyle w:val="SourceCode"/>
      </w:pPr>
      <w:r>
        <w:rPr>
          <w:rStyle w:val="VerbatimChar"/>
        </w:rPr>
        <w:t xml:space="preserve">LIMITS(7)                        Book Two Man Pages                      LIMITS(7)</w:t>
      </w:r>
      <w:r>
        <w:br/>
      </w:r>
      <w:r>
        <w:br/>
      </w:r>
      <w:r>
        <w:rPr>
          <w:rStyle w:val="VerbatimChar"/>
        </w:rPr>
        <w:t xml:space="preserve">NAME</w:t>
      </w:r>
      <w:r>
        <w:br/>
      </w:r>
      <w:r>
        <w:rPr>
          <w:rStyle w:val="VerbatimChar"/>
        </w:rPr>
        <w:t xml:space="preserve">       limits - typed constraint boundaries: context, representation, compute, vocabulary, decoding, contribution</w:t>
      </w:r>
      <w:r>
        <w:br/>
      </w:r>
      <w:r>
        <w:br/>
      </w:r>
      <w:r>
        <w:rPr>
          <w:rStyle w:val="VerbatimChar"/>
        </w:rPr>
        <w:t xml:space="preserve">SYNOPSIS</w:t>
      </w:r>
      <w:r>
        <w:br/>
      </w:r>
      <w:r>
        <w:rPr>
          <w:rStyle w:val="VerbatimChar"/>
        </w:rPr>
        <w:t xml:space="preserve">       CONTEXT_CAPACITY_EXCEEDED</w:t>
      </w:r>
      <w:r>
        <w:br/>
      </w:r>
      <w:r>
        <w:rPr>
          <w:rStyle w:val="VerbatimChar"/>
        </w:rPr>
        <w:t xml:space="preserve">       BLOCK_INPUT_WIDTH_MISMATCH</w:t>
      </w:r>
      <w:r>
        <w:br/>
      </w:r>
      <w:r>
        <w:rPr>
          <w:rStyle w:val="VerbatimChar"/>
        </w:rPr>
        <w:t xml:space="preserve">       M(n,d), A(n,d), E(n)          (structural operation counts)</w:t>
      </w:r>
      <w:r>
        <w:br/>
      </w:r>
      <w:r>
        <w:rPr>
          <w:rStyle w:val="VerbatimChar"/>
        </w:rPr>
        <w:t xml:space="preserve">       &lt;unk&gt; collision</w:t>
      </w:r>
      <w:r>
        <w:br/>
      </w:r>
      <w:r>
        <w:rPr>
          <w:rStyle w:val="VerbatimChar"/>
        </w:rPr>
        <w:t xml:space="preserve">       policy-dependent argmax</w:t>
      </w:r>
      <w:r>
        <w:br/>
      </w:r>
      <w:r>
        <w:rPr>
          <w:rStyle w:val="VerbatimChar"/>
        </w:rPr>
        <w:t xml:space="preserve">       contribution-control output delta</w:t>
      </w:r>
      <w:r>
        <w:br/>
      </w:r>
      <w:r>
        <w:br/>
      </w:r>
      <w:r>
        <w:rPr>
          <w:rStyle w:val="VerbatimChar"/>
        </w:rPr>
        <w:t xml:space="preserve">DESCRIPTION</w:t>
      </w:r>
      <w:r>
        <w:br/>
      </w:r>
      <w:r>
        <w:rPr>
          <w:rStyle w:val="VerbatimChar"/>
        </w:rPr>
        <w:t xml:space="preserve">       Six constraints on the Chapter 15 execution-trace(1) fixture are varied</w:t>
      </w:r>
      <w:r>
        <w:br/>
      </w:r>
      <w:r>
        <w:rPr>
          <w:rStyle w:val="VerbatimChar"/>
        </w:rPr>
        <w:t xml:space="preserve">       one at a time, each producing its own result type: an admission record</w:t>
      </w:r>
      <w:r>
        <w:br/>
      </w:r>
      <w:r>
        <w:rPr>
          <w:rStyle w:val="VerbatimChar"/>
        </w:rPr>
        <w:t xml:space="preserve">       (context), an interface-gate record (representation width),</w:t>
      </w:r>
      <w:r>
        <w:br/>
      </w:r>
      <w:r>
        <w:rPr>
          <w:rStyle w:val="VerbatimChar"/>
        </w:rPr>
        <w:t xml:space="preserve">       sequence-dependent structural counts (compute), an ID collision</w:t>
      </w:r>
      <w:r>
        <w:br/>
      </w:r>
      <w:r>
        <w:rPr>
          <w:rStyle w:val="VerbatimChar"/>
        </w:rPr>
        <w:t xml:space="preserve">       (vocabulary coverage), a selected-ID change under an explicit</w:t>
      </w:r>
      <w:r>
        <w:br/>
      </w:r>
      <w:r>
        <w:rPr>
          <w:rStyle w:val="VerbatimChar"/>
        </w:rPr>
        <w:t xml:space="preserve">       eligibility set (decoding), and a numerical output difference</w:t>
      </w:r>
      <w:r>
        <w:br/>
      </w:r>
      <w:r>
        <w:rPr>
          <w:rStyle w:val="VerbatimChar"/>
        </w:rPr>
        <w:t xml:space="preserve">       (zeroing the attention contribution before the first residual).</w:t>
      </w:r>
      <w:r>
        <w:br/>
      </w:r>
      <w:r>
        <w:br/>
      </w:r>
      <w:r>
        <w:rPr>
          <w:rStyle w:val="VerbatimChar"/>
        </w:rPr>
        <w:t xml:space="preserve">NOTES</w:t>
      </w:r>
      <w:r>
        <w:br/>
      </w:r>
      <w:r>
        <w:rPr>
          <w:rStyle w:val="VerbatimChar"/>
        </w:rPr>
        <w:t xml:space="preserve">       These six result types are not interchangeable measurements: a</w:t>
      </w:r>
      <w:r>
        <w:br/>
      </w:r>
      <w:r>
        <w:rPr>
          <w:rStyle w:val="VerbatimChar"/>
        </w:rPr>
        <w:t xml:space="preserve">       rejected shape, an arithmetic count, and a changed token ID answer</w:t>
      </w:r>
      <w:r>
        <w:br/>
      </w:r>
      <w:r>
        <w:rPr>
          <w:rStyle w:val="VerbatimChar"/>
        </w:rPr>
        <w:t xml:space="preserve">       different questions. None of them establishes production usable</w:t>
      </w:r>
      <w:r>
        <w:br/>
      </w:r>
      <w:r>
        <w:rPr>
          <w:rStyle w:val="VerbatimChar"/>
        </w:rPr>
        <w:t xml:space="preserve">       context, benchmark performance, semantic understanding, or which</w:t>
      </w:r>
      <w:r>
        <w:br/>
      </w:r>
      <w:r>
        <w:rPr>
          <w:rStyle w:val="VerbatimChar"/>
        </w:rPr>
        <w:t xml:space="preserve">       component is "most important" in a trained model. Structural counts</w:t>
      </w:r>
      <w:r>
        <w:br/>
      </w:r>
      <w:r>
        <w:rPr>
          <w:rStyle w:val="VerbatimChar"/>
        </w:rPr>
        <w:t xml:space="preserve">       are not timings; a numerical sensitivity is not semantic importance.</w:t>
      </w:r>
      <w:r>
        <w:br/>
      </w:r>
      <w:r>
        <w:br/>
      </w:r>
      <w:r>
        <w:rPr>
          <w:rStyle w:val="VerbatimChar"/>
        </w:rPr>
        <w:t xml:space="preserve">SEE ALSO</w:t>
      </w:r>
      <w:r>
        <w:br/>
      </w:r>
      <w:r>
        <w:rPr>
          <w:rStyle w:val="VerbatimChar"/>
        </w:rPr>
        <w:t xml:space="preserve">       execution-trace(1), tensor(7), attention(2)</w:t>
      </w:r>
      <w:r>
        <w:br/>
      </w:r>
      <w:r>
        <w:br/>
      </w:r>
      <w:r>
        <w:rPr>
          <w:rStyle w:val="VerbatimChar"/>
        </w:rPr>
        <w:t xml:space="preserve">SOURCE</w:t>
      </w:r>
      <w:r>
        <w:br/>
      </w:r>
      <w:r>
        <w:rPr>
          <w:rStyle w:val="VerbatimChar"/>
        </w:rPr>
        <w:t xml:space="preserve">       Chapter 16, measured-limits probe.</w:t>
      </w:r>
    </w:p>
    <w:bookmarkEnd w:id="309"/>
    <w:p>
      <w:pPr>
        <w:pStyle w:val="Heading1"/>
      </w:pPr>
      <w:bookmarkStart w:id="310" w:name="continue-to-book-three"/>
      <w:r>
        <w:t xml:space="preserve">Continue to Book Three</w:t>
      </w:r>
      <w:bookmarkEnd w:id="310"/>
    </w:p>
    <w:p>
      <w:pPr>
        <w:pStyle w:val="FirstParagraph"/>
      </w:pPr>
      <w:r>
        <w:t xml:space="preserve">Book Two ends at a measured boundary.</w:t>
      </w:r>
    </w:p>
    <w:p>
      <w:pPr>
        <w:pStyle w:val="BodyText"/>
      </w:pPr>
      <w:r>
        <w:t xml:space="preserve">The transformer has become inspectable as an engineered architecture: representations enter, tensor operations transform them, programs and runtimes execute those operations, decoding policy shapes observable output, and explicit constraints limit what the resulting evidence can support. None of those measurements, alone, settles what an output means, what action it warrants, or who remains responsible for using it.</w:t>
      </w:r>
    </w:p>
    <w:p>
      <w:pPr>
        <w:pStyle w:val="BodyText"/>
      </w:pPr>
      <w:r>
        <w:t xml:space="preserve">Book Three,</w:t>
      </w:r>
      <w:r>
        <w:t xml:space="preserve"> </w:t>
      </w:r>
      <w:r>
        <w:rPr>
          <w:i/>
        </w:rPr>
        <w:t xml:space="preserve">The Architecture of Geometric Semantics: Berkeley, Transformers, and the Geometry of Inquiry</w:t>
      </w:r>
      <w:r>
        <w:t xml:space="preserve">, begins at that unresolved interface. It brings the technical excursion back to human purpose, interpretation, provenance, judgment, and accountability.</w:t>
      </w:r>
    </w:p>
    <w:p>
      <w:pPr>
        <w:pStyle w:val="BodyText"/>
      </w:pPr>
      <w:r>
        <w:t xml:space="preserve">The movement of the trilogy is therefore:</w:t>
      </w:r>
    </w:p>
    <w:p>
      <w:pPr>
        <w:pStyle w:val="BlockText"/>
      </w:pPr>
      <w:r>
        <w:t xml:space="preserve">Book One encounters the tool. Book Two inspects the architecture. Book Three returns the architecture to accountable human inquiry.</w:t>
      </w:r>
    </w:p>
    <w:p>
      <w:pPr>
        <w:pStyle w:val="FirstParagraph"/>
      </w:pPr>
      <w:r>
        <w:t xml:space="preserve">Architecture supplies bounded evidence. Philosophy states the assumptions. Interpretation remains accountable.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3" Target="media/rId33.svg" /><Relationship Type="http://schemas.openxmlformats.org/officeDocument/2006/relationships/image" Id="rId47" Target="media/rId47.svg" /><Relationship Type="http://schemas.openxmlformats.org/officeDocument/2006/relationships/image" Id="rId60" Target="media/rId60.svg" /><Relationship Type="http://schemas.openxmlformats.org/officeDocument/2006/relationships/image" Id="rId76" Target="media/rId76.svg" /><Relationship Type="http://schemas.openxmlformats.org/officeDocument/2006/relationships/image" Id="rId92" Target="media/rId92.svg" /><Relationship Type="http://schemas.openxmlformats.org/officeDocument/2006/relationships/image" Id="rId109" Target="media/rId109.svg" /><Relationship Type="http://schemas.openxmlformats.org/officeDocument/2006/relationships/image" Id="rId125" Target="media/rId125.svg" /><Relationship Type="http://schemas.openxmlformats.org/officeDocument/2006/relationships/image" Id="rId142" Target="media/rId142.svg" /><Relationship Type="http://schemas.openxmlformats.org/officeDocument/2006/relationships/image" Id="rId156" Target="media/rId156.svg" /><Relationship Type="http://schemas.openxmlformats.org/officeDocument/2006/relationships/image" Id="rId173" Target="media/rId173.svg" /><Relationship Type="http://schemas.openxmlformats.org/officeDocument/2006/relationships/image" Id="rId191" Target="media/rId191.svg" /><Relationship Type="http://schemas.openxmlformats.org/officeDocument/2006/relationships/image" Id="rId210" Target="media/rId210.svg" /><Relationship Type="http://schemas.openxmlformats.org/officeDocument/2006/relationships/image" Id="rId227" Target="media/rId227.svg" /><Relationship Type="http://schemas.openxmlformats.org/officeDocument/2006/relationships/image" Id="rId243" Target="media/rId243.svg" /><Relationship Type="http://schemas.openxmlformats.org/officeDocument/2006/relationships/image" Id="rId258" Target="media/rId258.svg" /><Relationship Type="http://schemas.openxmlformats.org/officeDocument/2006/relationships/image" Id="rId277" Target="media/rId277.svg" /><Relationship Type="http://schemas.openxmlformats.org/officeDocument/2006/relationships/hyperlink" Id="rId38" Target="https://github.com/tjpools/embedding-geometry-lab/blob/main/book2/evidence/chapter_01_door_model.md" TargetMode="External" /><Relationship Type="http://schemas.openxmlformats.org/officeDocument/2006/relationships/hyperlink" Id="rId39" Target="https://github.com/tjpools/embedding-geometry-lab/blob/main/book2/evidence/chapter_01_door_model.rs" TargetMode="External" /><Relationship Type="http://schemas.openxmlformats.org/officeDocument/2006/relationships/hyperlink" Id="rId37" Target="https://github.com/tjpools/embedding-geometry-lab/blob/main/book2/evidence/chapter_01_sources.md" TargetMode="External" /><Relationship Type="http://schemas.openxmlformats.org/officeDocument/2006/relationships/hyperlink" Id="rId53" Target="https://github.com/tjpools/embedding-geometry-lab/blob/main/book2/evidence/chapter_02_representation_probe.md" TargetMode="External" /><Relationship Type="http://schemas.openxmlformats.org/officeDocument/2006/relationships/hyperlink" Id="rId54" Target="https://github.com/tjpools/embedding-geometry-lab/blob/main/book2/evidence/chapter_02_representation_probe.py" TargetMode="External" /><Relationship Type="http://schemas.openxmlformats.org/officeDocument/2006/relationships/hyperlink" Id="rId52" Target="https://github.com/tjpools/embedding-geometry-lab/blob/main/book2/evidence/chapter_02_sources.md" TargetMode="External" /><Relationship Type="http://schemas.openxmlformats.org/officeDocument/2006/relationships/hyperlink" Id="rId68" Target="https://github.com/tjpools/embedding-geometry-lab/blob/main/book2/evidence/chapter_03_bayesian_update_probe.md" TargetMode="External" /><Relationship Type="http://schemas.openxmlformats.org/officeDocument/2006/relationships/hyperlink" Id="rId69" Target="https://github.com/tjpools/embedding-geometry-lab/blob/main/book2/evidence/chapter_03_bayesian_update_probe.py" TargetMode="External" /><Relationship Type="http://schemas.openxmlformats.org/officeDocument/2006/relationships/hyperlink" Id="rId67" Target="https://github.com/tjpools/embedding-geometry-lab/blob/main/book2/evidence/chapter_03_sources.md" TargetMode="External" /><Relationship Type="http://schemas.openxmlformats.org/officeDocument/2006/relationships/hyperlink" Id="rId83" Target="https://github.com/tjpools/embedding-geometry-lab/blob/main/book2/evidence/chapter_04_map_and_local_change_probe.md" TargetMode="External" /><Relationship Type="http://schemas.openxmlformats.org/officeDocument/2006/relationships/hyperlink" Id="rId84" Target="https://github.com/tjpools/embedding-geometry-lab/blob/main/book2/evidence/chapter_04_map_and_local_change_probe.py" TargetMode="External" /><Relationship Type="http://schemas.openxmlformats.org/officeDocument/2006/relationships/hyperlink" Id="rId82" Target="https://github.com/tjpools/embedding-geometry-lab/blob/main/book2/evidence/chapter_04_sources.md" TargetMode="External" /><Relationship Type="http://schemas.openxmlformats.org/officeDocument/2006/relationships/hyperlink" Id="rId100" Target="https://github.com/tjpools/embedding-geometry-lab/blob/main/book2/evidence/chapter_05_intent_through_compiler.rs" TargetMode="External" /><Relationship Type="http://schemas.openxmlformats.org/officeDocument/2006/relationships/hyperlink" Id="rId99" Target="https://github.com/tjpools/embedding-geometry-lab/blob/main/book2/evidence/chapter_05_intent_through_compiler_probe.md" TargetMode="External" /><Relationship Type="http://schemas.openxmlformats.org/officeDocument/2006/relationships/hyperlink" Id="rId101" Target="https://github.com/tjpools/embedding-geometry-lab/blob/main/book2/evidence/chapter_05_intent_through_compiler_probe.py" TargetMode="External" /><Relationship Type="http://schemas.openxmlformats.org/officeDocument/2006/relationships/hyperlink" Id="rId98" Target="https://github.com/tjpools/embedding-geometry-lab/blob/main/book2/evidence/chapter_05_sources.md" TargetMode="External" /><Relationship Type="http://schemas.openxmlformats.org/officeDocument/2006/relationships/hyperlink" Id="rId117" Target="https://github.com/tjpools/embedding-geometry-lab/blob/main/book2/evidence/chapter_06_learning_loop_probe.md" TargetMode="External" /><Relationship Type="http://schemas.openxmlformats.org/officeDocument/2006/relationships/hyperlink" Id="rId118" Target="https://github.com/tjpools/embedding-geometry-lab/blob/main/book2/evidence/chapter_06_learning_loop_probe.py" TargetMode="External" /><Relationship Type="http://schemas.openxmlformats.org/officeDocument/2006/relationships/hyperlink" Id="rId116" Target="https://github.com/tjpools/embedding-geometry-lab/blob/main/book2/evidence/chapter_06_sources.md" TargetMode="External" /><Relationship Type="http://schemas.openxmlformats.org/officeDocument/2006/relationships/hyperlink" Id="rId132" Target="https://github.com/tjpools/embedding-geometry-lab/blob/main/book2/evidence/chapter_07_sources.md" TargetMode="External" /><Relationship Type="http://schemas.openxmlformats.org/officeDocument/2006/relationships/hyperlink" Id="rId133" Target="https://github.com/tjpools/embedding-geometry-lab/blob/main/book2/evidence/chapter_07_tensor_parallel_probe.md" TargetMode="External" /><Relationship Type="http://schemas.openxmlformats.org/officeDocument/2006/relationships/hyperlink" Id="rId134" Target="https://github.com/tjpools/embedding-geometry-lab/blob/main/book2/evidence/chapter_07_tensor_parallel_probe.py" TargetMode="External" /><Relationship Type="http://schemas.openxmlformats.org/officeDocument/2006/relationships/hyperlink" Id="rId149" Target="https://github.com/tjpools/embedding-geometry-lab/blob/main/book2/evidence/chapter_08_learned_space_probe.md" TargetMode="External" /><Relationship Type="http://schemas.openxmlformats.org/officeDocument/2006/relationships/hyperlink" Id="rId150" Target="https://github.com/tjpools/embedding-geometry-lab/blob/main/book2/evidence/chapter_08_learned_space_probe.py" TargetMode="External" /><Relationship Type="http://schemas.openxmlformats.org/officeDocument/2006/relationships/hyperlink" Id="rId148" Target="https://github.com/tjpools/embedding-geometry-lab/blob/main/book2/evidence/chapter_08_sources.md" TargetMode="External" /><Relationship Type="http://schemas.openxmlformats.org/officeDocument/2006/relationships/hyperlink" Id="rId165" Target="https://github.com/tjpools/embedding-geometry-lab/blob/main/book2/evidence/chapter_09_recurrent_runtime_probe.md" TargetMode="External" /><Relationship Type="http://schemas.openxmlformats.org/officeDocument/2006/relationships/hyperlink" Id="rId166" Target="https://github.com/tjpools/embedding-geometry-lab/blob/main/book2/evidence/chapter_09_recurrent_runtime_probe.py" TargetMode="External" /><Relationship Type="http://schemas.openxmlformats.org/officeDocument/2006/relationships/hyperlink" Id="rId164" Target="https://github.com/tjpools/embedding-geometry-lab/blob/main/book2/evidence/chapter_09_sources.md" TargetMode="External" /><Relationship Type="http://schemas.openxmlformats.org/officeDocument/2006/relationships/hyperlink" Id="rId182" Target="https://github.com/tjpools/embedding-geometry-lab/blob/main/book2/evidence/chapter_10_attention_paths_probe.md" TargetMode="External" /><Relationship Type="http://schemas.openxmlformats.org/officeDocument/2006/relationships/hyperlink" Id="rId183" Target="https://github.com/tjpools/embedding-geometry-lab/blob/main/book2/evidence/chapter_10_attention_paths_probe.py" TargetMode="External" /><Relationship Type="http://schemas.openxmlformats.org/officeDocument/2006/relationships/hyperlink" Id="rId181" Target="https://github.com/tjpools/embedding-geometry-lab/blob/main/book2/evidence/chapter_10_sources.md" TargetMode="External" /><Relationship Type="http://schemas.openxmlformats.org/officeDocument/2006/relationships/hyperlink" Id="rId200" Target="https://github.com/tjpools/embedding-geometry-lab/blob/main/book2/evidence/chapter_11_sources.md" TargetMode="External" /><Relationship Type="http://schemas.openxmlformats.org/officeDocument/2006/relationships/hyperlink" Id="rId201" Target="https://github.com/tjpools/embedding-geometry-lab/blob/main/book2/evidence/chapter_11_transformer_block_probe.md" TargetMode="External" /><Relationship Type="http://schemas.openxmlformats.org/officeDocument/2006/relationships/hyperlink" Id="rId202" Target="https://github.com/tjpools/embedding-geometry-lab/blob/main/book2/evidence/chapter_11_transformer_block_probe.py" TargetMode="External" /><Relationship Type="http://schemas.openxmlformats.org/officeDocument/2006/relationships/hyperlink" Id="rId218" Target="https://github.com/tjpools/embedding-geometry-lab/blob/main/book2/evidence/chapter_12_callable_tool_probe.md" TargetMode="External" /><Relationship Type="http://schemas.openxmlformats.org/officeDocument/2006/relationships/hyperlink" Id="rId219" Target="https://github.com/tjpools/embedding-geometry-lab/blob/main/book2/evidence/chapter_12_callable_tool_probe.py" TargetMode="External" /><Relationship Type="http://schemas.openxmlformats.org/officeDocument/2006/relationships/hyperlink" Id="rId217" Target="https://github.com/tjpools/embedding-geometry-lab/blob/main/book2/evidence/chapter_12_sources.md" TargetMode="External" /><Relationship Type="http://schemas.openxmlformats.org/officeDocument/2006/relationships/hyperlink" Id="rId234" Target="https://github.com/tjpools/embedding-geometry-lab/blob/main/book2/evidence/chapter_13_lineage_alignment_probe.md" TargetMode="External" /><Relationship Type="http://schemas.openxmlformats.org/officeDocument/2006/relationships/hyperlink" Id="rId235" Target="https://github.com/tjpools/embedding-geometry-lab/blob/main/book2/evidence/chapter_13_lineage_alignment_probe.py" TargetMode="External" /><Relationship Type="http://schemas.openxmlformats.org/officeDocument/2006/relationships/hyperlink" Id="rId233" Target="https://github.com/tjpools/embedding-geometry-lab/blob/main/book2/evidence/chapter_13_sources.md" TargetMode="External" /><Relationship Type="http://schemas.openxmlformats.org/officeDocument/2006/relationships/hyperlink" Id="rId251" Target="https://github.com/tjpools/embedding-geometry-lab/blob/main/book2/evidence/chapter_14_four_scales_probe.md" TargetMode="External" /><Relationship Type="http://schemas.openxmlformats.org/officeDocument/2006/relationships/hyperlink" Id="rId252" Target="https://github.com/tjpools/embedding-geometry-lab/blob/main/book2/evidence/chapter_14_four_scales_probe.py" TargetMode="External" /><Relationship Type="http://schemas.openxmlformats.org/officeDocument/2006/relationships/hyperlink" Id="rId250" Target="https://github.com/tjpools/embedding-geometry-lab/blob/main/book2/evidence/chapter_14_sources.md" TargetMode="External" /><Relationship Type="http://schemas.openxmlformats.org/officeDocument/2006/relationships/hyperlink" Id="rId265" Target="https://github.com/tjpools/embedding-geometry-lab/blob/main/book2/evidence/chapter_15_sources.md" TargetMode="External" /><Relationship Type="http://schemas.openxmlformats.org/officeDocument/2006/relationships/hyperlink" Id="rId266" Target="https://github.com/tjpools/embedding-geometry-lab/blob/main/book2/evidence/chapter_15_token_execution_probe.md" TargetMode="External" /><Relationship Type="http://schemas.openxmlformats.org/officeDocument/2006/relationships/hyperlink" Id="rId267" Target="https://github.com/tjpools/embedding-geometry-lab/blob/main/book2/evidence/chapter_15_token_execution_probe.py" TargetMode="External" /><Relationship Type="http://schemas.openxmlformats.org/officeDocument/2006/relationships/hyperlink" Id="rId282" Target="https://github.com/tjpools/embedding-geometry-lab/blob/main/book2/evidence/chapter_16_constraint_envelope_probe.md" TargetMode="External" /><Relationship Type="http://schemas.openxmlformats.org/officeDocument/2006/relationships/hyperlink" Id="rId283" Target="https://github.com/tjpools/embedding-geometry-lab/blob/main/book2/evidence/chapter_16_constraint_envelope_probe.py" TargetMode="External" /><Relationship Type="http://schemas.openxmlformats.org/officeDocument/2006/relationships/hyperlink" Id="rId281" Target="https://github.com/tjpools/embedding-geometry-lab/blob/main/book2/evidence/chapter_16_sources.md" TargetMode="External" /><Relationship Type="http://schemas.openxmlformats.org/officeDocument/2006/relationships/hyperlink" Id="rId40" Target="https://github.com/tjpools/embedding-geometry-lab/blob/main/book2/visuals/chapter_01_three_forms_of_constraint.md" TargetMode="External" /><Relationship Type="http://schemas.openxmlformats.org/officeDocument/2006/relationships/hyperlink" Id="rId55" Target="https://github.com/tjpools/embedding-geometry-lab/blob/main/book2/visuals/chapter_02_from_token_to_coordinate.md" TargetMode="External" /><Relationship Type="http://schemas.openxmlformats.org/officeDocument/2006/relationships/hyperlink" Id="rId70" Target="https://github.com/tjpools/embedding-geometry-lab/blob/main/book2/visuals/chapter_03_shape_of_updated_belief.md" TargetMode="External" /><Relationship Type="http://schemas.openxmlformats.org/officeDocument/2006/relationships/hyperlink" Id="rId85" Target="https://github.com/tjpools/embedding-geometry-lab/blob/main/book2/visuals/chapter_04_map_and_local_change.md" TargetMode="External" /><Relationship Type="http://schemas.openxmlformats.org/officeDocument/2006/relationships/hyperlink" Id="rId102" Target="https://github.com/tjpools/embedding-geometry-lab/blob/main/book2/visuals/chapter_05_intent_through_compiler.md" TargetMode="External" /><Relationship Type="http://schemas.openxmlformats.org/officeDocument/2006/relationships/hyperlink" Id="rId119" Target="https://github.com/tjpools/embedding-geometry-lab/blob/main/book2/visuals/chapter_06_learning_loop.md" TargetMode="External" /><Relationship Type="http://schemas.openxmlformats.org/officeDocument/2006/relationships/hyperlink" Id="rId135" Target="https://github.com/tjpools/embedding-geometry-lab/blob/main/book2/visuals/chapter_07_tensor_parallel.md" TargetMode="External" /><Relationship Type="http://schemas.openxmlformats.org/officeDocument/2006/relationships/hyperlink" Id="rId151" Target="https://github.com/tjpools/embedding-geometry-lab/blob/main/book2/visuals/chapter_08_learned_space.md" TargetMode="External" /><Relationship Type="http://schemas.openxmlformats.org/officeDocument/2006/relationships/hyperlink" Id="rId167" Target="https://github.com/tjpools/embedding-geometry-lab/blob/main/book2/visuals/chapter_09_recurrent_bottleneck.md" TargetMode="External" /><Relationship Type="http://schemas.openxmlformats.org/officeDocument/2006/relationships/hyperlink" Id="rId184" Target="https://github.com/tjpools/embedding-geometry-lab/blob/main/book2/visuals/chapter_10_attention_direct_paths.md" TargetMode="External" /><Relationship Type="http://schemas.openxmlformats.org/officeDocument/2006/relationships/hyperlink" Id="rId203" Target="https://github.com/tjpools/embedding-geometry-lab/blob/main/book2/visuals/chapter_11_transformer_architectural_elevation.md" TargetMode="External" /><Relationship Type="http://schemas.openxmlformats.org/officeDocument/2006/relationships/hyperlink" Id="rId220" Target="https://github.com/tjpools/embedding-geometry-lab/blob/main/book2/visuals/chapter_12_specification_to_callable_tool.md" TargetMode="External" /><Relationship Type="http://schemas.openxmlformats.org/officeDocument/2006/relationships/hyperlink" Id="rId236" Target="https://github.com/tjpools/embedding-geometry-lab/blob/main/book2/visuals/chapter_13_three_lineage_interface.md" TargetMode="External" /><Relationship Type="http://schemas.openxmlformats.org/officeDocument/2006/relationships/hyperlink" Id="rId253" Target="https://github.com/tjpools/embedding-geometry-lab/blob/main/book2/visuals/chapter_14_one_architecture_four_scales.md" TargetMode="External" /><Relationship Type="http://schemas.openxmlformats.org/officeDocument/2006/relationships/hyperlink" Id="rId268" Target="https://github.com/tjpools/embedding-geometry-lab/blob/main/book2/visuals/chapter_15_token_through_machine.md" TargetMode="External" /><Relationship Type="http://schemas.openxmlformats.org/officeDocument/2006/relationships/hyperlink" Id="rId284" Target="https://github.com/tjpools/embedding-geometry-lab/blob/main/book2/visuals/chapter_16_constraint_envelope.md" TargetMode="External" /></Relationships>
</file>

<file path=word/_rels/footnotes.xml.rels><?xml version="1.0" encoding="UTF-8"?>
<Relationships xmlns="http://schemas.openxmlformats.org/package/2006/relationships"><Relationship Type="http://schemas.openxmlformats.org/officeDocument/2006/relationships/hyperlink" Id="rId38" Target="https://github.com/tjpools/embedding-geometry-lab/blob/main/book2/evidence/chapter_01_door_model.md" TargetMode="External" /><Relationship Type="http://schemas.openxmlformats.org/officeDocument/2006/relationships/hyperlink" Id="rId39" Target="https://github.com/tjpools/embedding-geometry-lab/blob/main/book2/evidence/chapter_01_door_model.rs" TargetMode="External" /><Relationship Type="http://schemas.openxmlformats.org/officeDocument/2006/relationships/hyperlink" Id="rId37" Target="https://github.com/tjpools/embedding-geometry-lab/blob/main/book2/evidence/chapter_01_sources.md" TargetMode="External" /><Relationship Type="http://schemas.openxmlformats.org/officeDocument/2006/relationships/hyperlink" Id="rId53" Target="https://github.com/tjpools/embedding-geometry-lab/blob/main/book2/evidence/chapter_02_representation_probe.md" TargetMode="External" /><Relationship Type="http://schemas.openxmlformats.org/officeDocument/2006/relationships/hyperlink" Id="rId54" Target="https://github.com/tjpools/embedding-geometry-lab/blob/main/book2/evidence/chapter_02_representation_probe.py" TargetMode="External" /><Relationship Type="http://schemas.openxmlformats.org/officeDocument/2006/relationships/hyperlink" Id="rId52" Target="https://github.com/tjpools/embedding-geometry-lab/blob/main/book2/evidence/chapter_02_sources.md" TargetMode="External" /><Relationship Type="http://schemas.openxmlformats.org/officeDocument/2006/relationships/hyperlink" Id="rId68" Target="https://github.com/tjpools/embedding-geometry-lab/blob/main/book2/evidence/chapter_03_bayesian_update_probe.md" TargetMode="External" /><Relationship Type="http://schemas.openxmlformats.org/officeDocument/2006/relationships/hyperlink" Id="rId69" Target="https://github.com/tjpools/embedding-geometry-lab/blob/main/book2/evidence/chapter_03_bayesian_update_probe.py" TargetMode="External" /><Relationship Type="http://schemas.openxmlformats.org/officeDocument/2006/relationships/hyperlink" Id="rId67" Target="https://github.com/tjpools/embedding-geometry-lab/blob/main/book2/evidence/chapter_03_sources.md" TargetMode="External" /><Relationship Type="http://schemas.openxmlformats.org/officeDocument/2006/relationships/hyperlink" Id="rId83" Target="https://github.com/tjpools/embedding-geometry-lab/blob/main/book2/evidence/chapter_04_map_and_local_change_probe.md" TargetMode="External" /><Relationship Type="http://schemas.openxmlformats.org/officeDocument/2006/relationships/hyperlink" Id="rId84" Target="https://github.com/tjpools/embedding-geometry-lab/blob/main/book2/evidence/chapter_04_map_and_local_change_probe.py" TargetMode="External" /><Relationship Type="http://schemas.openxmlformats.org/officeDocument/2006/relationships/hyperlink" Id="rId82" Target="https://github.com/tjpools/embedding-geometry-lab/blob/main/book2/evidence/chapter_04_sources.md" TargetMode="External" /><Relationship Type="http://schemas.openxmlformats.org/officeDocument/2006/relationships/hyperlink" Id="rId100" Target="https://github.com/tjpools/embedding-geometry-lab/blob/main/book2/evidence/chapter_05_intent_through_compiler.rs" TargetMode="External" /><Relationship Type="http://schemas.openxmlformats.org/officeDocument/2006/relationships/hyperlink" Id="rId99" Target="https://github.com/tjpools/embedding-geometry-lab/blob/main/book2/evidence/chapter_05_intent_through_compiler_probe.md" TargetMode="External" /><Relationship Type="http://schemas.openxmlformats.org/officeDocument/2006/relationships/hyperlink" Id="rId101" Target="https://github.com/tjpools/embedding-geometry-lab/blob/main/book2/evidence/chapter_05_intent_through_compiler_probe.py" TargetMode="External" /><Relationship Type="http://schemas.openxmlformats.org/officeDocument/2006/relationships/hyperlink" Id="rId98" Target="https://github.com/tjpools/embedding-geometry-lab/blob/main/book2/evidence/chapter_05_sources.md" TargetMode="External" /><Relationship Type="http://schemas.openxmlformats.org/officeDocument/2006/relationships/hyperlink" Id="rId117" Target="https://github.com/tjpools/embedding-geometry-lab/blob/main/book2/evidence/chapter_06_learning_loop_probe.md" TargetMode="External" /><Relationship Type="http://schemas.openxmlformats.org/officeDocument/2006/relationships/hyperlink" Id="rId118" Target="https://github.com/tjpools/embedding-geometry-lab/blob/main/book2/evidence/chapter_06_learning_loop_probe.py" TargetMode="External" /><Relationship Type="http://schemas.openxmlformats.org/officeDocument/2006/relationships/hyperlink" Id="rId116" Target="https://github.com/tjpools/embedding-geometry-lab/blob/main/book2/evidence/chapter_06_sources.md" TargetMode="External" /><Relationship Type="http://schemas.openxmlformats.org/officeDocument/2006/relationships/hyperlink" Id="rId132" Target="https://github.com/tjpools/embedding-geometry-lab/blob/main/book2/evidence/chapter_07_sources.md" TargetMode="External" /><Relationship Type="http://schemas.openxmlformats.org/officeDocument/2006/relationships/hyperlink" Id="rId133" Target="https://github.com/tjpools/embedding-geometry-lab/blob/main/book2/evidence/chapter_07_tensor_parallel_probe.md" TargetMode="External" /><Relationship Type="http://schemas.openxmlformats.org/officeDocument/2006/relationships/hyperlink" Id="rId134" Target="https://github.com/tjpools/embedding-geometry-lab/blob/main/book2/evidence/chapter_07_tensor_parallel_probe.py" TargetMode="External" /><Relationship Type="http://schemas.openxmlformats.org/officeDocument/2006/relationships/hyperlink" Id="rId149" Target="https://github.com/tjpools/embedding-geometry-lab/blob/main/book2/evidence/chapter_08_learned_space_probe.md" TargetMode="External" /><Relationship Type="http://schemas.openxmlformats.org/officeDocument/2006/relationships/hyperlink" Id="rId150" Target="https://github.com/tjpools/embedding-geometry-lab/blob/main/book2/evidence/chapter_08_learned_space_probe.py" TargetMode="External" /><Relationship Type="http://schemas.openxmlformats.org/officeDocument/2006/relationships/hyperlink" Id="rId148" Target="https://github.com/tjpools/embedding-geometry-lab/blob/main/book2/evidence/chapter_08_sources.md" TargetMode="External" /><Relationship Type="http://schemas.openxmlformats.org/officeDocument/2006/relationships/hyperlink" Id="rId165" Target="https://github.com/tjpools/embedding-geometry-lab/blob/main/book2/evidence/chapter_09_recurrent_runtime_probe.md" TargetMode="External" /><Relationship Type="http://schemas.openxmlformats.org/officeDocument/2006/relationships/hyperlink" Id="rId166" Target="https://github.com/tjpools/embedding-geometry-lab/blob/main/book2/evidence/chapter_09_recurrent_runtime_probe.py" TargetMode="External" /><Relationship Type="http://schemas.openxmlformats.org/officeDocument/2006/relationships/hyperlink" Id="rId164" Target="https://github.com/tjpools/embedding-geometry-lab/blob/main/book2/evidence/chapter_09_sources.md" TargetMode="External" /><Relationship Type="http://schemas.openxmlformats.org/officeDocument/2006/relationships/hyperlink" Id="rId182" Target="https://github.com/tjpools/embedding-geometry-lab/blob/main/book2/evidence/chapter_10_attention_paths_probe.md" TargetMode="External" /><Relationship Type="http://schemas.openxmlformats.org/officeDocument/2006/relationships/hyperlink" Id="rId183" Target="https://github.com/tjpools/embedding-geometry-lab/blob/main/book2/evidence/chapter_10_attention_paths_probe.py" TargetMode="External" /><Relationship Type="http://schemas.openxmlformats.org/officeDocument/2006/relationships/hyperlink" Id="rId181" Target="https://github.com/tjpools/embedding-geometry-lab/blob/main/book2/evidence/chapter_10_sources.md" TargetMode="External" /><Relationship Type="http://schemas.openxmlformats.org/officeDocument/2006/relationships/hyperlink" Id="rId200" Target="https://github.com/tjpools/embedding-geometry-lab/blob/main/book2/evidence/chapter_11_sources.md" TargetMode="External" /><Relationship Type="http://schemas.openxmlformats.org/officeDocument/2006/relationships/hyperlink" Id="rId201" Target="https://github.com/tjpools/embedding-geometry-lab/blob/main/book2/evidence/chapter_11_transformer_block_probe.md" TargetMode="External" /><Relationship Type="http://schemas.openxmlformats.org/officeDocument/2006/relationships/hyperlink" Id="rId202" Target="https://github.com/tjpools/embedding-geometry-lab/blob/main/book2/evidence/chapter_11_transformer_block_probe.py" TargetMode="External" /><Relationship Type="http://schemas.openxmlformats.org/officeDocument/2006/relationships/hyperlink" Id="rId218" Target="https://github.com/tjpools/embedding-geometry-lab/blob/main/book2/evidence/chapter_12_callable_tool_probe.md" TargetMode="External" /><Relationship Type="http://schemas.openxmlformats.org/officeDocument/2006/relationships/hyperlink" Id="rId219" Target="https://github.com/tjpools/embedding-geometry-lab/blob/main/book2/evidence/chapter_12_callable_tool_probe.py" TargetMode="External" /><Relationship Type="http://schemas.openxmlformats.org/officeDocument/2006/relationships/hyperlink" Id="rId217" Target="https://github.com/tjpools/embedding-geometry-lab/blob/main/book2/evidence/chapter_12_sources.md" TargetMode="External" /><Relationship Type="http://schemas.openxmlformats.org/officeDocument/2006/relationships/hyperlink" Id="rId234" Target="https://github.com/tjpools/embedding-geometry-lab/blob/main/book2/evidence/chapter_13_lineage_alignment_probe.md" TargetMode="External" /><Relationship Type="http://schemas.openxmlformats.org/officeDocument/2006/relationships/hyperlink" Id="rId235" Target="https://github.com/tjpools/embedding-geometry-lab/blob/main/book2/evidence/chapter_13_lineage_alignment_probe.py" TargetMode="External" /><Relationship Type="http://schemas.openxmlformats.org/officeDocument/2006/relationships/hyperlink" Id="rId233" Target="https://github.com/tjpools/embedding-geometry-lab/blob/main/book2/evidence/chapter_13_sources.md" TargetMode="External" /><Relationship Type="http://schemas.openxmlformats.org/officeDocument/2006/relationships/hyperlink" Id="rId251" Target="https://github.com/tjpools/embedding-geometry-lab/blob/main/book2/evidence/chapter_14_four_scales_probe.md" TargetMode="External" /><Relationship Type="http://schemas.openxmlformats.org/officeDocument/2006/relationships/hyperlink" Id="rId252" Target="https://github.com/tjpools/embedding-geometry-lab/blob/main/book2/evidence/chapter_14_four_scales_probe.py" TargetMode="External" /><Relationship Type="http://schemas.openxmlformats.org/officeDocument/2006/relationships/hyperlink" Id="rId250" Target="https://github.com/tjpools/embedding-geometry-lab/blob/main/book2/evidence/chapter_14_sources.md" TargetMode="External" /><Relationship Type="http://schemas.openxmlformats.org/officeDocument/2006/relationships/hyperlink" Id="rId265" Target="https://github.com/tjpools/embedding-geometry-lab/blob/main/book2/evidence/chapter_15_sources.md" TargetMode="External" /><Relationship Type="http://schemas.openxmlformats.org/officeDocument/2006/relationships/hyperlink" Id="rId266" Target="https://github.com/tjpools/embedding-geometry-lab/blob/main/book2/evidence/chapter_15_token_execution_probe.md" TargetMode="External" /><Relationship Type="http://schemas.openxmlformats.org/officeDocument/2006/relationships/hyperlink" Id="rId267" Target="https://github.com/tjpools/embedding-geometry-lab/blob/main/book2/evidence/chapter_15_token_execution_probe.py" TargetMode="External" /><Relationship Type="http://schemas.openxmlformats.org/officeDocument/2006/relationships/hyperlink" Id="rId282" Target="https://github.com/tjpools/embedding-geometry-lab/blob/main/book2/evidence/chapter_16_constraint_envelope_probe.md" TargetMode="External" /><Relationship Type="http://schemas.openxmlformats.org/officeDocument/2006/relationships/hyperlink" Id="rId283" Target="https://github.com/tjpools/embedding-geometry-lab/blob/main/book2/evidence/chapter_16_constraint_envelope_probe.py" TargetMode="External" /><Relationship Type="http://schemas.openxmlformats.org/officeDocument/2006/relationships/hyperlink" Id="rId281" Target="https://github.com/tjpools/embedding-geometry-lab/blob/main/book2/evidence/chapter_16_sources.md" TargetMode="External" /><Relationship Type="http://schemas.openxmlformats.org/officeDocument/2006/relationships/hyperlink" Id="rId40" Target="https://github.com/tjpools/embedding-geometry-lab/blob/main/book2/visuals/chapter_01_three_forms_of_constraint.md" TargetMode="External" /><Relationship Type="http://schemas.openxmlformats.org/officeDocument/2006/relationships/hyperlink" Id="rId55" Target="https://github.com/tjpools/embedding-geometry-lab/blob/main/book2/visuals/chapter_02_from_token_to_coordinate.md" TargetMode="External" /><Relationship Type="http://schemas.openxmlformats.org/officeDocument/2006/relationships/hyperlink" Id="rId70" Target="https://github.com/tjpools/embedding-geometry-lab/blob/main/book2/visuals/chapter_03_shape_of_updated_belief.md" TargetMode="External" /><Relationship Type="http://schemas.openxmlformats.org/officeDocument/2006/relationships/hyperlink" Id="rId85" Target="https://github.com/tjpools/embedding-geometry-lab/blob/main/book2/visuals/chapter_04_map_and_local_change.md" TargetMode="External" /><Relationship Type="http://schemas.openxmlformats.org/officeDocument/2006/relationships/hyperlink" Id="rId102" Target="https://github.com/tjpools/embedding-geometry-lab/blob/main/book2/visuals/chapter_05_intent_through_compiler.md" TargetMode="External" /><Relationship Type="http://schemas.openxmlformats.org/officeDocument/2006/relationships/hyperlink" Id="rId119" Target="https://github.com/tjpools/embedding-geometry-lab/blob/main/book2/visuals/chapter_06_learning_loop.md" TargetMode="External" /><Relationship Type="http://schemas.openxmlformats.org/officeDocument/2006/relationships/hyperlink" Id="rId135" Target="https://github.com/tjpools/embedding-geometry-lab/blob/main/book2/visuals/chapter_07_tensor_parallel.md" TargetMode="External" /><Relationship Type="http://schemas.openxmlformats.org/officeDocument/2006/relationships/hyperlink" Id="rId151" Target="https://github.com/tjpools/embedding-geometry-lab/blob/main/book2/visuals/chapter_08_learned_space.md" TargetMode="External" /><Relationship Type="http://schemas.openxmlformats.org/officeDocument/2006/relationships/hyperlink" Id="rId167" Target="https://github.com/tjpools/embedding-geometry-lab/blob/main/book2/visuals/chapter_09_recurrent_bottleneck.md" TargetMode="External" /><Relationship Type="http://schemas.openxmlformats.org/officeDocument/2006/relationships/hyperlink" Id="rId184" Target="https://github.com/tjpools/embedding-geometry-lab/blob/main/book2/visuals/chapter_10_attention_direct_paths.md" TargetMode="External" /><Relationship Type="http://schemas.openxmlformats.org/officeDocument/2006/relationships/hyperlink" Id="rId203" Target="https://github.com/tjpools/embedding-geometry-lab/blob/main/book2/visuals/chapter_11_transformer_architectural_elevation.md" TargetMode="External" /><Relationship Type="http://schemas.openxmlformats.org/officeDocument/2006/relationships/hyperlink" Id="rId220" Target="https://github.com/tjpools/embedding-geometry-lab/blob/main/book2/visuals/chapter_12_specification_to_callable_tool.md" TargetMode="External" /><Relationship Type="http://schemas.openxmlformats.org/officeDocument/2006/relationships/hyperlink" Id="rId236" Target="https://github.com/tjpools/embedding-geometry-lab/blob/main/book2/visuals/chapter_13_three_lineage_interface.md" TargetMode="External" /><Relationship Type="http://schemas.openxmlformats.org/officeDocument/2006/relationships/hyperlink" Id="rId253" Target="https://github.com/tjpools/embedding-geometry-lab/blob/main/book2/visuals/chapter_14_one_architecture_four_scales.md" TargetMode="External" /><Relationship Type="http://schemas.openxmlformats.org/officeDocument/2006/relationships/hyperlink" Id="rId268" Target="https://github.com/tjpools/embedding-geometry-lab/blob/main/book2/visuals/chapter_15_token_through_machine.md" TargetMode="External" /><Relationship Type="http://schemas.openxmlformats.org/officeDocument/2006/relationships/hyperlink" Id="rId284" Target="https://github.com/tjpools/embedding-geometry-lab/blob/main/book2/visuals/chapter_16_constraint_envelope.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Follow the three journeys that converge in the transformer: artificial intelligence, mathematics, and programming. This inspectable account shows how ideas become representations, operations become executable systems, and components become an architecture whose powers and limits can be tested.</dc:description>
  <dc:subject/>
  <cp:keywords/>
  <dcterms:created xsi:type="dcterms:W3CDTF">2026-09-01T18:25:47Z</dcterms:created>
  <dcterms:modified xsi:type="dcterms:W3CDTF">2026-09-01T18:25:47Z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
  </property>
  <property fmtid="{D5CDD505-2E9C-101B-9397-08002B2CF9AE}" pid="3" name="date">
    <vt:lpwstr>2026-09-30</vt:lpwstr>
  </property>
  <property fmtid="{D5CDD505-2E9C-101B-9397-08002B2CF9AE}" pid="4" name="identifier">
    <vt:lpwstr/>
  </property>
  <property fmtid="{D5CDD505-2E9C-101B-9397-08002B2CF9AE}" pid="5" name="language">
    <vt:lpwstr>en-US</vt:lpwstr>
  </property>
  <property fmtid="{D5CDD505-2E9C-101B-9397-08002B2CF9AE}" pid="6" name="mainfont">
    <vt:lpwstr>DejaVu Serif</vt:lpwstr>
  </property>
  <property fmtid="{D5CDD505-2E9C-101B-9397-08002B2CF9AE}" pid="7" name="monofont">
    <vt:lpwstr>DejaVu Sans Mono</vt:lpwstr>
  </property>
  <property fmtid="{D5CDD505-2E9C-101B-9397-08002B2CF9AE}" pid="8" name="publisher">
    <vt:lpwstr>McLaughlin Tools Press</vt:lpwstr>
  </property>
  <property fmtid="{D5CDD505-2E9C-101B-9397-08002B2CF9AE}" pid="9" name="rights">
    <vt:lpwstr>Copyright 2026 Terrence J McLaughlin. Distributed as part of a public cognitive instrument; see the project homepage for repository, tools, and supporting materials.</vt:lpwstr>
  </property>
  <property fmtid="{D5CDD505-2E9C-101B-9397-08002B2CF9AE}" pid="10" name="sansfont">
    <vt:lpwstr>DejaVu Sans</vt:lpwstr>
  </property>
  <property fmtid="{D5CDD505-2E9C-101B-9397-08002B2CF9AE}" pid="11" name="series">
    <vt:lpwstr>The Geometry of Meaning</vt:lpwstr>
  </property>
  <property fmtid="{D5CDD505-2E9C-101B-9397-08002B2CF9AE}" pid="12" name="series_number">
    <vt:lpwstr>2</vt:lpwstr>
  </property>
  <property fmtid="{D5CDD505-2E9C-101B-9397-08002B2CF9AE}" pid="13" name="type">
    <vt:lpwstr>Text</vt:lpwstr>
  </property>
  <property fmtid="{D5CDD505-2E9C-101B-9397-08002B2CF9AE}" pid="14" name="version">
    <vt:lpwstr>1.0</vt:lpwstr>
  </property>
</Properties>
</file>