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2A4A"/>
          <w:spacing w:val="120"/>
          <w:sz w:val="36"/>
          <w:szCs w:val="36"/>
        </w:rPr>
        <w:t xml:space="preserve">TAYLOR RILEY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Fairfax, VA  •  563.564.9379  •  tjriley33@gmail.com  •  linkedin.com/in/taylor-riley-b662a964</w:t>
      </w:r>
    </w:p>
    <w:p>
      <w:pPr>
        <w:pBdr>
          <w:bottom w:val="single" w:color="1B2A4A" w:sz="6" w:space="1"/>
        </w:pBdr>
        <w:spacing w:after="180" w:before="60"/>
      </w:pP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Technical leader with 15 years in tax software who builds production systems and leads the teams that ship them. Currently running a 28-person federal tax development organization across two major product lines (TaxAct, Drake), managing three managers and owning the full lifecycle from IRS regulation interpretation through calculation engine development to e-file certification. Built and deployed AI-powered development tooling—including custom MCP servers, code intelligence platforms, and automated triage systems—that fundamentally changed how the team works. Looking for a Director or VP-level role where I can pair deep regulated-industry expertise with hands-on technical leadership to drive platform modernization and AI adoption at scale.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PROFESSIONAL EXPERIENCE</w:t>
      </w:r>
    </w:p>
    <w:p>
      <w:pPr>
        <w:pBdr>
          <w:bottom w:val="single" w:color="2C5F8A" w:sz="3" w:space="1"/>
        </w:pBdr>
        <w:spacing w:after="120" w:before="0"/>
      </w:pP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Senior Manager, Federal Tax Development</w:t>
      </w:r>
      <w:r>
        <w:rPr>
          <w:rFonts w:ascii="Calibri" w:cs="Calibri" w:eastAsia="Calibri" w:hAnsi="Calibri"/>
          <w:color w:val="CCCCCC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Taxwell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Remote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2023 – Present</w:t>
      </w:r>
    </w:p>
    <w:p>
      <w:pPr>
        <w:spacing w:after="100" w:before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Taxwell owns TaxAct and Drake Tax, serving 5M+ individual and professional tax filers. Federal Tax Development owns all federal form calculations, e-file schemas, and IRS compliance across both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Organization Leadership: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Direct a 28-person cross-functional org (3 managers, 2 senior ICs) responsible for 100+ federal tax forms across two codebases, two product families, and a multi-year engine consolidation initiative.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Consolidated two previously separate tax development departments into a single unified team, establishing the career ladder (Analyst I through Principal), writing all four job descriptions, and creating individual development plans for direct reports.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Promoted a senior analyst to Federal 1040 Manager and navigated a sensitive role transition moving a team lead to a state tax principal position—both executed with zero attrition or disruption.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AI Platform Innovation: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and personally built a code intelligence platform (Python, FastMCP, SQLite FTS5, PyQt6) that indexes 63 repositories, 660K+ calculations, and 1.5M+ cross-references into a 2 GB knowledge graph with 37 MCP tools—83 commits over 6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a 150-file AI documentation system that eliminated LLM fabrication of proprietary DSL syntax—previously the single largest source of wasted developer time when using AI tools. System includes compiler-extracted token validation, 16 automated checks, and a fabrication linter running in CI.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two additional MCP servers (TypeScript) wrapping the internal compiler and regression test harness, closing the loop on a fully AI-assisted write-build-test-analyze development cycle.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Championed enterprise Claude adoption, secured pilot access for the team, and integrated AI Builder into 3 Power Automate flows for ticket triage, email classification, and daily operational recaps.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Data-Driven Operations: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Built 6 production Power BI dashboards from scratch (HappyFox, ADO Analytics, ATS Reporting, Federal Readiness, FormsTracker, TY25 Readiness), replacing manual spreadsheet processes with real-time self-service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Identified and drove SLA breach rate from ~38% to ~5.6% through dashboard visibility. Surfaced workload concentration risk (top 5 analysts handling 69% of tickets) that led to redistribution and process changes.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deployed 7 Power Automate flows automating ticket recaps, critical-issue triage, email routing, deployment notifications, and change request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Platform Modernization: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Led the strategic analysis and sprint planning for the PowerBASIC-to-MathMaster DSL engine consolidation—the department’s largest multi-year initiative. Selected 1041 (Fiduciary) as the pilot product and personally converted 9+ complex IRS forms through full-lifecycle migration.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Drove Schedule H regression diffs from initial failures to 0 diffs over 4 rounds. Identified and fixed a Form 2441 calculation bug affecting ~3,000 e-filed returns with up to $700/return in missed credits—deployed to production within 48 hours.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the weekly executive briefing (VP Tax Dev, CTO, peer Directors), producing data-backed slide decks with quantified metrics and actionable recommendations—shifting the conversation from status reporting to strategic advising.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Redesigned the Drake patching cadence from daily releases to twice-weekly, cutting context-switching by ~60% and freeing ~3–4 hours/week. Initiated cross-training to eliminate single-point-of-failure risk in the release process.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Reduced ADO OData API calls from 100+ to ~5 per refresh by rewriting the Power Query architecture, cutting dashboard refresh time by ~80%.</w:t>
      </w:r>
    </w:p>
    <w:p>
      <w:r>
        <w:br w:type="page"/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Principal Tax Analyst</w:t>
      </w:r>
      <w:r>
        <w:rPr>
          <w:rFonts w:ascii="Calibri" w:cs="Calibri" w:eastAsia="Calibri" w:hAnsi="Calibri"/>
          <w:color w:val="CCCCCC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C5F8A"/>
          <w:sz w:val="22"/>
          <w:szCs w:val="22"/>
        </w:rPr>
        <w:t xml:space="preserve">TaxAct (now Taxwell)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|  Remote / Cedar Rapids, 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2011 – 2023</w:t>
      </w:r>
    </w:p>
    <w:p>
      <w:pPr>
        <w:spacing w:after="100" w:before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Individual contributor and senior technical expert across all TaxAct product lines—individual, corporate, partnership, estate, and trust returns.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calculations, functionality, UX flows, and XML e-file schemas for TaxAct’s full suite of consumer and professional tax products.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Launched revenue-generating products including All-Inclusive Bundle, TaxAct Complete, and E-File Concierge. Owned products like TaxPlan, Refund Booster (W-4 calculator), and Tax Calculator.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deployed features with direct regulatory impact: e-file for amended returns, PayPal integration, Economic Impact Payments (EIP), and California Health Care Mandate compliance.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fraud and security measures for IRS, state agencies, and internal systems. Maintained relationships with IRS and state departments through working groups and industry conferences.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user behavior and product performance using Google Analytics, Amazon Athena, Splunk, and Tableau to drive roadmap decisions.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Contributed to hiring, training, and mentoring across the TaxAct organization, laying the foundation for the management role that followed.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TECHNICAL PROFICIENCIES</w:t>
      </w:r>
    </w:p>
    <w:p>
      <w:pPr>
        <w:pBdr>
          <w:bottom w:val="single" w:color="2C5F8A" w:sz="3" w:space="1"/>
        </w:pBdr>
        <w:spacing w:after="120" w:before="0"/>
      </w:pP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Languages &amp; Frameworks: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TypeScript/Node.js, PowerShell, DAX, Power Query M, SQL, PowerBASIC, MathMaster DSL, HTML/CSS/JS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AI &amp; LLM Tooling: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Model Context Protocol (MCP) server design, Claude Code (skills, hooks, CLAUDE.md), AI Builder, prompt engineering, RAG architecture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Platforms &amp; Infrastructure: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Azure DevOps (Git, Pipelines, OData Analytics), Power BI, Power Automate, AWS S3, SQLite/FTS5, Jira, HappyFox, Snowflake, Splunk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Development 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FastMCP, PyQt6, ReportLab, Apryse SDK, zod, Git/SVN, VS Code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2A4A"/>
          <w:sz w:val="19"/>
          <w:szCs w:val="19"/>
        </w:rPr>
        <w:t xml:space="preserve">Domain: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Federal tax law (individual, corporate, partnership, fiduciary, exempt), multi-state tax (CA, OH, MI, AL, DC, CO, IL, NM), IRS e-file schemas, ATS certification, tax engine architecture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COMMUNITY</w:t>
      </w:r>
    </w:p>
    <w:p>
      <w:pPr>
        <w:pBdr>
          <w:bottom w:val="single" w:color="2C5F8A" w:sz="3" w:space="1"/>
        </w:pBdr>
        <w:spacing w:after="12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VITA Volunteer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Prepared individual income tax returns for lower-income taxpayers. IRS-certified.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B2A4A"/>
          <w:spacing w:val="80"/>
          <w:sz w:val="22"/>
          <w:szCs w:val="22"/>
        </w:rPr>
        <w:t xml:space="preserve">EDUCATION</w:t>
      </w:r>
    </w:p>
    <w:p>
      <w:pPr>
        <w:pBdr>
          <w:bottom w:val="single" w:color="2C5F8A" w:sz="3" w:space="1"/>
        </w:pBdr>
        <w:spacing w:after="120" w:before="0"/>
      </w:pPr>
    </w:p>
    <w:p>
      <w:pPr>
        <w:tabs>
          <w:tab w:val="right" w:pos="9360"/>
        </w:tabs>
        <w:spacing w:after="20" w:before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Accounting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St. Ambrose University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BBA, Accounting  &amp;  BBA, Finance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University of Iowa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0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2026-03-08T00:14:30.834Z</dcterms:created>
  <dcterms:modified xsi:type="dcterms:W3CDTF">2026-03-08T00:14:30.835Z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