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Sustainability Report – GreenFuture Inc</w:t>
      </w:r>
    </w:p>
    <w:p>
      <w:r>
        <w:t>Date: 2025-06-12</w:t>
      </w:r>
    </w:p>
    <w:p>
      <w:pPr>
        <w:pStyle w:val="Heading1"/>
      </w:pPr>
      <w:r>
        <w:t>Key ESG Metrics</w:t>
      </w:r>
    </w:p>
    <w:p>
      <w:r>
        <w:t>Total emissions: 3,280</w:t>
      </w:r>
    </w:p>
    <w:p>
      <w:r>
        <w:t>Total energy: 41,000</w:t>
      </w:r>
    </w:p>
    <w:p>
      <w:r>
        <w:t>Total waste: 900</w:t>
      </w:r>
    </w:p>
    <w:p>
      <w:pPr>
        <w:pStyle w:val="Heading1"/>
      </w:pPr>
      <w:r>
        <w:t>Analysis Summary</w:t>
      </w:r>
    </w:p>
    <w:p>
      <w:r>
        <w:t xml:space="preserve"> This quarter, GreenFuture Inc produced 3280 tCO2 emissions, consumed 41000 kWh energy, and generated 900 kg waste . This quarter also consumed 41,000 kWh of energy, consumed 900 kg of waste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