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2991" w14:textId="41008211" w:rsidR="00BF1E1E" w:rsidRDefault="00F844C2">
      <w:r>
        <w:tab/>
        <w:t xml:space="preserve">This trial performed a comparison between </w:t>
      </w:r>
      <w:r w:rsidR="005F75B0">
        <w:t>three</w:t>
      </w:r>
      <w:r>
        <w:t xml:space="preserve"> treatment methods to reduce the pre-diabetic progression to full diabetes. The 3 treatments were Metformin, Rosiglitazone, and lifestyle adjustments. A total of 699 observations were included in the dataset, with each observation being marked as either a success or failure to reduce pre-diabetic progression to full diabetes. We begin with a </w:t>
      </w:r>
      <w:r w:rsidR="00E7074E">
        <w:t>cross-tabulation</w:t>
      </w:r>
      <w:r>
        <w:t xml:space="preserve"> of the results:</w:t>
      </w:r>
    </w:p>
    <w:p w14:paraId="502D26B2" w14:textId="682A2CF1" w:rsidR="00F844C2" w:rsidRDefault="00F844C2" w:rsidP="00F844C2">
      <w:pPr>
        <w:jc w:val="center"/>
      </w:pPr>
      <w:r w:rsidRPr="00F844C2">
        <w:drawing>
          <wp:anchor distT="0" distB="0" distL="114300" distR="114300" simplePos="0" relativeHeight="251658240" behindDoc="0" locked="0" layoutInCell="1" allowOverlap="1" wp14:anchorId="754B9337" wp14:editId="4B81AD7F">
            <wp:simplePos x="0" y="0"/>
            <wp:positionH relativeFrom="column">
              <wp:posOffset>3355811</wp:posOffset>
            </wp:positionH>
            <wp:positionV relativeFrom="paragraph">
              <wp:posOffset>254292</wp:posOffset>
            </wp:positionV>
            <wp:extent cx="1628775" cy="762635"/>
            <wp:effectExtent l="0" t="0" r="9525" b="0"/>
            <wp:wrapSquare wrapText="bothSides"/>
            <wp:docPr id="618438519" name="Picture 1" descr="The image displays success proportions for different categories: Lifestyle at 0.53, Met at 0.48, and Rosi at 0.6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38519" name="Picture 1" descr="The image displays success proportions for different categories: Lifestyle at 0.53, Met at 0.48, and Rosi at 0.61.&#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628775" cy="762635"/>
                    </a:xfrm>
                    <a:prstGeom prst="rect">
                      <a:avLst/>
                    </a:prstGeom>
                  </pic:spPr>
                </pic:pic>
              </a:graphicData>
            </a:graphic>
          </wp:anchor>
        </w:drawing>
      </w:r>
      <w:r w:rsidRPr="00F844C2">
        <w:drawing>
          <wp:inline distT="0" distB="0" distL="0" distR="0" wp14:anchorId="6EAD62F4" wp14:editId="444E378E">
            <wp:extent cx="1930499" cy="1352620"/>
            <wp:effectExtent l="0" t="0" r="0" b="0"/>
            <wp:docPr id="1355829058" name="Picture 1" descr="Ros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9058" name="Picture 1" descr="Rosi,&#10;&#10;AI-generated content may be incorrect."/>
                    <pic:cNvPicPr/>
                  </pic:nvPicPr>
                  <pic:blipFill>
                    <a:blip r:embed="rId5"/>
                    <a:stretch>
                      <a:fillRect/>
                    </a:stretch>
                  </pic:blipFill>
                  <pic:spPr>
                    <a:xfrm>
                      <a:off x="0" y="0"/>
                      <a:ext cx="1930499" cy="1352620"/>
                    </a:xfrm>
                    <a:prstGeom prst="rect">
                      <a:avLst/>
                    </a:prstGeom>
                  </pic:spPr>
                </pic:pic>
              </a:graphicData>
            </a:graphic>
          </wp:inline>
        </w:drawing>
      </w:r>
    </w:p>
    <w:p w14:paraId="04C85FB9" w14:textId="4A4CC603" w:rsidR="00F844C2" w:rsidRDefault="00F844C2" w:rsidP="00F844C2">
      <w:r>
        <w:tab/>
        <w:t>We observed that from our sample, Rosiglitazone showed the greatest success proportion, however we want to quantify the level of variance around this point estimate. To do this we performed a bootstrap and observed the following:</w:t>
      </w:r>
    </w:p>
    <w:p w14:paraId="24A34694" w14:textId="5352364E" w:rsidR="00F844C2" w:rsidRDefault="00F844C2" w:rsidP="00F844C2">
      <w:pPr>
        <w:jc w:val="center"/>
      </w:pPr>
      <w:r w:rsidRPr="00F844C2">
        <w:drawing>
          <wp:inline distT="0" distB="0" distL="0" distR="0" wp14:anchorId="13FA216F" wp14:editId="32A679D4">
            <wp:extent cx="5943600" cy="2336800"/>
            <wp:effectExtent l="0" t="0" r="0" b="6350"/>
            <wp:docPr id="1364860310" name="Picture 1" descr="The image displays two overlaid density plots, one for bootstrapped empirical cumulative distribution function (ECDF) and one for KDE (Kernel Density Estimate), with the y-axis showing success rates ranging from 0.0 to 0.75 and the x-axis showing values from -2 to 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60310" name="Picture 1" descr="The image displays two overlaid density plots, one for bootstrapped empirical cumulative distribution function (ECDF) and one for KDE (Kernel Density Estimate), with the y-axis showing success rates ranging from 0.0 to 0.75 and the x-axis showing values from -2 to 12.&#10;&#10;AI-generated content may be incorrect."/>
                    <pic:cNvPicPr/>
                  </pic:nvPicPr>
                  <pic:blipFill>
                    <a:blip r:embed="rId6"/>
                    <a:stretch>
                      <a:fillRect/>
                    </a:stretch>
                  </pic:blipFill>
                  <pic:spPr>
                    <a:xfrm>
                      <a:off x="0" y="0"/>
                      <a:ext cx="5943600" cy="2336800"/>
                    </a:xfrm>
                    <a:prstGeom prst="rect">
                      <a:avLst/>
                    </a:prstGeom>
                  </pic:spPr>
                </pic:pic>
              </a:graphicData>
            </a:graphic>
          </wp:inline>
        </w:drawing>
      </w:r>
    </w:p>
    <w:p w14:paraId="1E796864" w14:textId="2C1FAB18" w:rsidR="00F844C2" w:rsidRDefault="00F844C2" w:rsidP="005F75B0">
      <w:pPr>
        <w:ind w:firstLine="720"/>
      </w:pPr>
      <w:r>
        <w:t>We can see that Rosiglitazone performed noticeabl</w:t>
      </w:r>
      <w:r w:rsidR="005F75B0">
        <w:t>y</w:t>
      </w:r>
      <w:r>
        <w:t xml:space="preserve"> better than lifestyle changes or Metformin</w:t>
      </w:r>
      <w:r w:rsidR="005F75B0">
        <w:t xml:space="preserve"> based upon the ECDF showing Rosiglitazone at higher success rates given any proportion of the data, and the KDE showing a concentration of data above that of the other two treatments. However, this alone is not convincing evidence that Rosiglitazone has higher success rates at a statistically significant level. Below are the bootstrapped KDE and ECDF’s of the average treatment effects between each pair of medications:</w:t>
      </w:r>
    </w:p>
    <w:p w14:paraId="79132FED" w14:textId="19805BFE" w:rsidR="005F75B0" w:rsidRDefault="005F75B0" w:rsidP="00F844C2">
      <w:r w:rsidRPr="005F75B0">
        <w:lastRenderedPageBreak/>
        <w:drawing>
          <wp:inline distT="0" distB="0" distL="0" distR="0" wp14:anchorId="6C55D3F2" wp14:editId="37BE4E35">
            <wp:extent cx="5943600" cy="2388235"/>
            <wp:effectExtent l="0" t="0" r="0" b="0"/>
            <wp:docPr id="1028427243" name="Picture 1" descr="The image shows two overlaid graphs: one is a bootstrapped kernel density estimation (KDE) with a dashed line at 1.0, and the other is an empirical cumulative distribution function (ECDF) with a dashed line at 2.0, both depicting different data distrib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27243" name="Picture 1" descr="The image shows two overlaid graphs: one is a bootstrapped kernel density estimation (KDE) with a dashed line at 1.0, and the other is an empirical cumulative distribution function (ECDF) with a dashed line at 2.0, both depicting different data distributions.&#10;&#10;AI-generated content may be incorrect."/>
                    <pic:cNvPicPr/>
                  </pic:nvPicPr>
                  <pic:blipFill>
                    <a:blip r:embed="rId7"/>
                    <a:stretch>
                      <a:fillRect/>
                    </a:stretch>
                  </pic:blipFill>
                  <pic:spPr>
                    <a:xfrm>
                      <a:off x="0" y="0"/>
                      <a:ext cx="5943600" cy="2388235"/>
                    </a:xfrm>
                    <a:prstGeom prst="rect">
                      <a:avLst/>
                    </a:prstGeom>
                  </pic:spPr>
                </pic:pic>
              </a:graphicData>
            </a:graphic>
          </wp:inline>
        </w:drawing>
      </w:r>
    </w:p>
    <w:p w14:paraId="0F5CC94B" w14:textId="2AC59335" w:rsidR="005F75B0" w:rsidRDefault="005F75B0" w:rsidP="00F844C2">
      <w:pPr>
        <w:rPr>
          <w:rFonts w:eastAsiaTheme="minorEastAsia"/>
        </w:rPr>
      </w:pPr>
      <w:r>
        <w:t xml:space="preserve">From these graphs we can observe that Rosiglitazone performs better than lifestyle changes, and better than Metformin (based upon the KDE’s concentration around positive and negative </w:t>
      </w:r>
      <m:oMath>
        <m:acc>
          <m:accPr>
            <m:ctrlPr>
              <w:rPr>
                <w:rFonts w:ascii="Cambria Math" w:hAnsi="Cambria Math"/>
                <w:i/>
              </w:rPr>
            </m:ctrlPr>
          </m:accPr>
          <m:e>
            <m:r>
              <w:rPr>
                <w:rFonts w:ascii="Cambria Math" w:hAnsi="Cambria Math"/>
              </w:rPr>
              <m:t>β</m:t>
            </m:r>
          </m:e>
        </m:acc>
      </m:oMath>
      <w:r>
        <w:rPr>
          <w:rFonts w:eastAsiaTheme="minorEastAsia"/>
        </w:rPr>
        <w:t>’s, respectively). We perform confidence interval testing on these results below:</w:t>
      </w:r>
    </w:p>
    <w:p w14:paraId="23D85D64" w14:textId="36442D67" w:rsidR="005F75B0" w:rsidRDefault="005F75B0" w:rsidP="00F844C2">
      <w:r w:rsidRPr="005F75B0">
        <w:drawing>
          <wp:inline distT="0" distB="0" distL="0" distR="0" wp14:anchorId="708E9D9C" wp14:editId="4D585033">
            <wp:extent cx="5943600" cy="3390265"/>
            <wp:effectExtent l="0" t="0" r="0" b="635"/>
            <wp:docPr id="1755731407" name="Picture 1" descr="The image displays a series of kernel density estimation (KDE) plots, which are used to estimate the probability distribution of a dataset. The plots show the density distribution of data points, with various confidence intervals (CI) plotted to indicate the statistical confidence level. There are multiple density plots, some of which are bootstrapped, meaning they are derived from resampling the original data to assess the stability of the KDE. Additionally, some plots show the empirical cumulative distribution function (ECDF) and proportions, which provide insights into the distribution and percentiles of th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31407" name="Picture 1" descr="The image displays a series of kernel density estimation (KDE) plots, which are used to estimate the probability distribution of a dataset. The plots show the density distribution of data points, with various confidence intervals (CI) plotted to indicate the statistical confidence level. There are multiple density plots, some of which are bootstrapped, meaning they are derived from resampling the original data to assess the stability of the KDE. Additionally, some plots show the empirical cumulative distribution function (ECDF) and proportions, which provide insights into the distribution and percentiles of the data.&#10;&#10;AI-generated content may be incorrect."/>
                    <pic:cNvPicPr/>
                  </pic:nvPicPr>
                  <pic:blipFill>
                    <a:blip r:embed="rId8"/>
                    <a:stretch>
                      <a:fillRect/>
                    </a:stretch>
                  </pic:blipFill>
                  <pic:spPr>
                    <a:xfrm>
                      <a:off x="0" y="0"/>
                      <a:ext cx="5943600" cy="3390265"/>
                    </a:xfrm>
                    <a:prstGeom prst="rect">
                      <a:avLst/>
                    </a:prstGeom>
                  </pic:spPr>
                </pic:pic>
              </a:graphicData>
            </a:graphic>
          </wp:inline>
        </w:drawing>
      </w:r>
    </w:p>
    <w:p w14:paraId="0D30637B" w14:textId="064A6920" w:rsidR="005F75B0" w:rsidRDefault="005F75B0" w:rsidP="00F844C2">
      <w:r>
        <w:tab/>
        <w:t>From these results, we can see that the only statistically significant results we achieved were the 99% significant</w:t>
      </w:r>
      <w:r>
        <w:t xml:space="preserve"> </w:t>
      </w:r>
      <m:oMath>
        <m:acc>
          <m:accPr>
            <m:ctrlPr>
              <w:rPr>
                <w:rFonts w:ascii="Cambria Math" w:hAnsi="Cambria Math"/>
                <w:i/>
              </w:rPr>
            </m:ctrlPr>
          </m:accPr>
          <m:e>
            <m:r>
              <w:rPr>
                <w:rFonts w:ascii="Cambria Math" w:hAnsi="Cambria Math"/>
              </w:rPr>
              <m:t>β</m:t>
            </m:r>
          </m:e>
        </m:acc>
      </m:oMath>
      <w:r>
        <w:rPr>
          <w:rFonts w:eastAsiaTheme="minorEastAsia"/>
        </w:rPr>
        <w:t xml:space="preserve"> (ATE) between Metformin and Rosiglitazone (indicating that Rosiglitazone performs more effectively than Metformin), and the 90% significant</w:t>
      </w:r>
      <w:r>
        <w:t xml:space="preserve"> </w:t>
      </w:r>
      <m:oMath>
        <m:acc>
          <m:accPr>
            <m:ctrlPr>
              <w:rPr>
                <w:rFonts w:ascii="Cambria Math" w:hAnsi="Cambria Math"/>
                <w:i/>
              </w:rPr>
            </m:ctrlPr>
          </m:accPr>
          <m:e>
            <m:r>
              <w:rPr>
                <w:rFonts w:ascii="Cambria Math" w:hAnsi="Cambria Math"/>
              </w:rPr>
              <m:t>β</m:t>
            </m:r>
          </m:e>
        </m:acc>
      </m:oMath>
      <w:r>
        <w:rPr>
          <w:rFonts w:eastAsiaTheme="minorEastAsia"/>
        </w:rPr>
        <w:t xml:space="preserve"> between Rosiglitazone and lifestyle changes (indicating that Rosiglitazone performed more effectively than lifestyle changes). Taken all together, with an </w:t>
      </w:r>
      <m:oMath>
        <m:r>
          <w:rPr>
            <w:rFonts w:ascii="Cambria Math" w:eastAsiaTheme="minorEastAsia" w:hAnsi="Cambria Math"/>
          </w:rPr>
          <m:t xml:space="preserve">α= </m:t>
        </m:r>
        <m:r>
          <w:rPr>
            <w:rFonts w:ascii="Cambria Math" w:eastAsiaTheme="minorEastAsia" w:hAnsi="Cambria Math"/>
          </w:rPr>
          <m:t>0</m:t>
        </m:r>
        <m:r>
          <w:rPr>
            <w:rFonts w:ascii="Cambria Math" w:eastAsiaTheme="minorEastAsia" w:hAnsi="Cambria Math"/>
          </w:rPr>
          <m:t>.10</m:t>
        </m:r>
      </m:oMath>
      <w:r>
        <w:rPr>
          <w:rFonts w:eastAsiaTheme="minorEastAsia"/>
        </w:rPr>
        <w:t xml:space="preserve"> we can say that </w:t>
      </w:r>
      <w:r>
        <w:rPr>
          <w:rFonts w:eastAsiaTheme="minorEastAsia"/>
        </w:rPr>
        <w:lastRenderedPageBreak/>
        <w:t xml:space="preserve">Rosiglitazone performed more effectively than Metformin or Lifestyle changes, and we reject the null hypothesis that </w:t>
      </w:r>
      <w:r w:rsidR="008C67C9">
        <w:rPr>
          <w:rFonts w:eastAsiaTheme="minorEastAsia"/>
        </w:rPr>
        <w:t>there is no difference between these treatment methods.</w:t>
      </w:r>
    </w:p>
    <w:sectPr w:rsidR="005F7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4C2"/>
    <w:rsid w:val="004F398A"/>
    <w:rsid w:val="00593402"/>
    <w:rsid w:val="005F75B0"/>
    <w:rsid w:val="0067672A"/>
    <w:rsid w:val="00881FA0"/>
    <w:rsid w:val="008C67C9"/>
    <w:rsid w:val="00BF1E1E"/>
    <w:rsid w:val="00E7074E"/>
    <w:rsid w:val="00F84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6E26"/>
  <w15:chartTrackingRefBased/>
  <w15:docId w15:val="{033D42FF-3AAE-471F-AEE4-FEAA70D21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4C2"/>
    <w:rPr>
      <w:rFonts w:eastAsiaTheme="majorEastAsia" w:cstheme="majorBidi"/>
      <w:color w:val="272727" w:themeColor="text1" w:themeTint="D8"/>
    </w:rPr>
  </w:style>
  <w:style w:type="paragraph" w:styleId="Title">
    <w:name w:val="Title"/>
    <w:basedOn w:val="Normal"/>
    <w:next w:val="Normal"/>
    <w:link w:val="TitleChar"/>
    <w:uiPriority w:val="10"/>
    <w:qFormat/>
    <w:rsid w:val="00F8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4C2"/>
    <w:pPr>
      <w:spacing w:before="160"/>
      <w:jc w:val="center"/>
    </w:pPr>
    <w:rPr>
      <w:i/>
      <w:iCs/>
      <w:color w:val="404040" w:themeColor="text1" w:themeTint="BF"/>
    </w:rPr>
  </w:style>
  <w:style w:type="character" w:customStyle="1" w:styleId="QuoteChar">
    <w:name w:val="Quote Char"/>
    <w:basedOn w:val="DefaultParagraphFont"/>
    <w:link w:val="Quote"/>
    <w:uiPriority w:val="29"/>
    <w:rsid w:val="00F844C2"/>
    <w:rPr>
      <w:i/>
      <w:iCs/>
      <w:color w:val="404040" w:themeColor="text1" w:themeTint="BF"/>
    </w:rPr>
  </w:style>
  <w:style w:type="paragraph" w:styleId="ListParagraph">
    <w:name w:val="List Paragraph"/>
    <w:basedOn w:val="Normal"/>
    <w:uiPriority w:val="34"/>
    <w:qFormat/>
    <w:rsid w:val="00F844C2"/>
    <w:pPr>
      <w:ind w:left="720"/>
      <w:contextualSpacing/>
    </w:pPr>
  </w:style>
  <w:style w:type="character" w:styleId="IntenseEmphasis">
    <w:name w:val="Intense Emphasis"/>
    <w:basedOn w:val="DefaultParagraphFont"/>
    <w:uiPriority w:val="21"/>
    <w:qFormat/>
    <w:rsid w:val="00F844C2"/>
    <w:rPr>
      <w:i/>
      <w:iCs/>
      <w:color w:val="0F4761" w:themeColor="accent1" w:themeShade="BF"/>
    </w:rPr>
  </w:style>
  <w:style w:type="paragraph" w:styleId="IntenseQuote">
    <w:name w:val="Intense Quote"/>
    <w:basedOn w:val="Normal"/>
    <w:next w:val="Normal"/>
    <w:link w:val="IntenseQuoteChar"/>
    <w:uiPriority w:val="30"/>
    <w:qFormat/>
    <w:rsid w:val="00F84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4C2"/>
    <w:rPr>
      <w:i/>
      <w:iCs/>
      <w:color w:val="0F4761" w:themeColor="accent1" w:themeShade="BF"/>
    </w:rPr>
  </w:style>
  <w:style w:type="character" w:styleId="IntenseReference">
    <w:name w:val="Intense Reference"/>
    <w:basedOn w:val="DefaultParagraphFont"/>
    <w:uiPriority w:val="32"/>
    <w:qFormat/>
    <w:rsid w:val="00F844C2"/>
    <w:rPr>
      <w:b/>
      <w:bCs/>
      <w:smallCaps/>
      <w:color w:val="0F4761" w:themeColor="accent1" w:themeShade="BF"/>
      <w:spacing w:val="5"/>
    </w:rPr>
  </w:style>
  <w:style w:type="character" w:styleId="Hyperlink">
    <w:name w:val="Hyperlink"/>
    <w:basedOn w:val="DefaultParagraphFont"/>
    <w:uiPriority w:val="99"/>
    <w:unhideWhenUsed/>
    <w:rsid w:val="00F844C2"/>
    <w:rPr>
      <w:color w:val="467886" w:themeColor="hyperlink"/>
      <w:u w:val="single"/>
    </w:rPr>
  </w:style>
  <w:style w:type="character" w:styleId="UnresolvedMention">
    <w:name w:val="Unresolved Mention"/>
    <w:basedOn w:val="DefaultParagraphFont"/>
    <w:uiPriority w:val="99"/>
    <w:semiHidden/>
    <w:unhideWhenUsed/>
    <w:rsid w:val="00F844C2"/>
    <w:rPr>
      <w:color w:val="605E5C"/>
      <w:shd w:val="clear" w:color="auto" w:fill="E1DFDD"/>
    </w:rPr>
  </w:style>
  <w:style w:type="character" w:styleId="PlaceholderText">
    <w:name w:val="Placeholder Text"/>
    <w:basedOn w:val="DefaultParagraphFont"/>
    <w:uiPriority w:val="99"/>
    <w:semiHidden/>
    <w:rsid w:val="005F75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Smith</dc:creator>
  <cp:keywords/>
  <dc:description/>
  <cp:lastModifiedBy>TJ Smith</cp:lastModifiedBy>
  <cp:revision>3</cp:revision>
  <dcterms:created xsi:type="dcterms:W3CDTF">2026-10-17T01:29:00Z</dcterms:created>
  <dcterms:modified xsi:type="dcterms:W3CDTF">2026-10-17T01:54:00Z</dcterms:modified>
</cp:coreProperties>
</file>