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 Analyzer Demo Script</w:t>
      </w:r>
    </w:p>
    <w:p>
      <w:pPr>
        <w:spacing w:after="180"/>
      </w:pPr>
      <w:r>
        <w:rPr>
          <w:rFonts w:ascii="Arial" w:hAnsi="Arial"/>
          <w:color w:val="59636B"/>
          <w:sz w:val="24"/>
        </w:rPr>
        <w:t>Six slide section · about five minutes thirty five seconds</w:t>
      </w:r>
    </w:p>
    <w:p>
      <w:pPr>
        <w:spacing w:after="180"/>
      </w:pPr>
      <w:r>
        <w:t>Anthony opens and closes the section. Amon explains how the rule engine and learned clause model work. TJ operates the browser and leads the entire live demo.</w:t>
      </w:r>
    </w:p>
    <w:p>
      <w:pPr>
        <w:pStyle w:val="Heading1"/>
      </w:pPr>
      <w:r>
        <w:t>Speaker roles</w:t>
      </w:r>
    </w:p>
    <w:tbl>
      <w:tblPr>
        <w:tblW w:type="auto" w:w="0"/>
        <w:jc w:val="center"/>
        <w:tblLayout w:type="fixed"/>
        <w:tblLook w:firstColumn="1" w:firstRow="1" w:lastColumn="0" w:lastRow="0" w:noHBand="0" w:noVBand="1" w:val="04A0"/>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Pr>
      <w:tblGrid>
        <w:gridCol w:w="3389"/>
        <w:gridCol w:w="3389"/>
        <w:gridCol w:w="3389"/>
      </w:tblGrid>
      <w:tr>
        <w:trPr>
          <w:tblHeader w:val="true"/>
        </w:trPr>
        <w:tc>
          <w:tcPr>
            <w:tcW w:type="dxa" w:w="1440"/>
            <w:shd w:fill="1B6B57"/>
            <w:vAlign w:val="center"/>
            <w:tcMar>
              <w:top w:w="110" w:type="dxa"/>
              <w:start w:w="125" w:type="dxa"/>
              <w:bottom w:w="110" w:type="dxa"/>
              <w:end w:w="125" w:type="dxa"/>
            </w:tcMar>
          </w:tcPr>
          <w:p>
            <w:r>
              <w:rPr>
                <w:rFonts w:ascii="Arial" w:hAnsi="Arial"/>
                <w:b/>
                <w:color w:val="FFFFFF"/>
                <w:sz w:val="20"/>
              </w:rPr>
              <w:t>Speaker</w:t>
            </w:r>
          </w:p>
        </w:tc>
        <w:tc>
          <w:tcPr>
            <w:tcW w:type="dxa" w:w="2232"/>
            <w:shd w:fill="1B6B57"/>
            <w:vAlign w:val="center"/>
            <w:tcMar>
              <w:top w:w="110" w:type="dxa"/>
              <w:start w:w="125" w:type="dxa"/>
              <w:bottom w:w="110" w:type="dxa"/>
              <w:end w:w="125" w:type="dxa"/>
            </w:tcMar>
          </w:tcPr>
          <w:p>
            <w:r>
              <w:rPr>
                <w:rFonts w:ascii="Arial" w:hAnsi="Arial"/>
                <w:b/>
                <w:color w:val="FFFFFF"/>
                <w:sz w:val="20"/>
              </w:rPr>
              <w:t>Slides</w:t>
            </w:r>
          </w:p>
        </w:tc>
        <w:tc>
          <w:tcPr>
            <w:tcW w:type="dxa" w:w="6264"/>
            <w:shd w:fill="1B6B57"/>
            <w:vAlign w:val="center"/>
            <w:tcMar>
              <w:top w:w="110" w:type="dxa"/>
              <w:start w:w="125" w:type="dxa"/>
              <w:bottom w:w="110" w:type="dxa"/>
              <w:end w:w="125" w:type="dxa"/>
            </w:tcMar>
          </w:tcPr>
          <w:p>
            <w:r>
              <w:rPr>
                <w:rFonts w:ascii="Arial" w:hAnsi="Arial"/>
                <w:b/>
                <w:color w:val="FFFFFF"/>
                <w:sz w:val="20"/>
              </w:rPr>
              <w:t>Role</w:t>
            </w:r>
          </w:p>
        </w:tc>
      </w:tr>
      <w:tr>
        <w:tc>
          <w:tcPr>
            <w:tcW w:type="dxa" w:w="1440"/>
            <w:vAlign w:val="center"/>
            <w:tcMar>
              <w:top w:w="110" w:type="dxa"/>
              <w:start w:w="125" w:type="dxa"/>
              <w:bottom w:w="110" w:type="dxa"/>
              <w:end w:w="125" w:type="dxa"/>
            </w:tcMar>
          </w:tcPr>
          <w:p>
            <w:r>
              <w:rPr>
                <w:rFonts w:ascii="Arial" w:hAnsi="Arial"/>
                <w:b/>
                <w:sz w:val="21"/>
              </w:rPr>
              <w:t>Anthony</w:t>
            </w:r>
          </w:p>
        </w:tc>
        <w:tc>
          <w:tcPr>
            <w:tcW w:type="dxa" w:w="2232"/>
            <w:vAlign w:val="center"/>
            <w:tcMar>
              <w:top w:w="110" w:type="dxa"/>
              <w:start w:w="125" w:type="dxa"/>
              <w:bottom w:w="110" w:type="dxa"/>
              <w:end w:w="125" w:type="dxa"/>
            </w:tcMar>
          </w:tcPr>
          <w:p>
            <w:r>
              <w:rPr>
                <w:rFonts w:ascii="Arial" w:hAnsi="Arial"/>
                <w:sz w:val="21"/>
              </w:rPr>
              <w:t>1, 4, 6</w:t>
            </w:r>
          </w:p>
        </w:tc>
        <w:tc>
          <w:tcPr>
            <w:tcW w:type="dxa" w:w="6264"/>
            <w:vAlign w:val="center"/>
            <w:tcMar>
              <w:top w:w="110" w:type="dxa"/>
              <w:start w:w="125" w:type="dxa"/>
              <w:bottom w:w="110" w:type="dxa"/>
              <w:end w:w="125" w:type="dxa"/>
            </w:tcMar>
          </w:tcPr>
          <w:p>
            <w:r>
              <w:rPr>
                <w:rFonts w:ascii="Arial" w:hAnsi="Arial"/>
                <w:sz w:val="21"/>
              </w:rPr>
              <w:t>Set context, explain how to read the output, close.</w:t>
            </w:r>
          </w:p>
        </w:tc>
      </w:tr>
      <w:tr>
        <w:tc>
          <w:tcPr>
            <w:tcW w:type="dxa" w:w="1440"/>
            <w:vAlign w:val="center"/>
            <w:tcMar>
              <w:top w:w="110" w:type="dxa"/>
              <w:start w:w="125" w:type="dxa"/>
              <w:bottom w:w="110" w:type="dxa"/>
              <w:end w:w="125" w:type="dxa"/>
            </w:tcMar>
            <w:shd w:fill="EAF2EE"/>
          </w:tcPr>
          <w:p>
            <w:r>
              <w:rPr>
                <w:rFonts w:ascii="Arial" w:hAnsi="Arial"/>
                <w:b/>
                <w:sz w:val="21"/>
              </w:rPr>
              <w:t>Amon</w:t>
            </w:r>
          </w:p>
        </w:tc>
        <w:tc>
          <w:tcPr>
            <w:tcW w:type="dxa" w:w="2232"/>
            <w:vAlign w:val="center"/>
            <w:tcMar>
              <w:top w:w="110" w:type="dxa"/>
              <w:start w:w="125" w:type="dxa"/>
              <w:bottom w:w="110" w:type="dxa"/>
              <w:end w:w="125" w:type="dxa"/>
            </w:tcMar>
            <w:shd w:fill="EAF2EE"/>
          </w:tcPr>
          <w:p>
            <w:r>
              <w:rPr>
                <w:rFonts w:ascii="Arial" w:hAnsi="Arial"/>
                <w:sz w:val="21"/>
              </w:rPr>
              <w:t>2, 3</w:t>
            </w:r>
          </w:p>
        </w:tc>
        <w:tc>
          <w:tcPr>
            <w:tcW w:type="dxa" w:w="6264"/>
            <w:vAlign w:val="center"/>
            <w:tcMar>
              <w:top w:w="110" w:type="dxa"/>
              <w:start w:w="125" w:type="dxa"/>
              <w:bottom w:w="110" w:type="dxa"/>
              <w:end w:w="125" w:type="dxa"/>
            </w:tcMar>
            <w:shd w:fill="EAF2EE"/>
          </w:tcPr>
          <w:p>
            <w:r>
              <w:rPr>
                <w:rFonts w:ascii="Arial" w:hAnsi="Arial"/>
                <w:sz w:val="21"/>
              </w:rPr>
              <w:t>Explain system structure, training, and validation.</w:t>
            </w:r>
          </w:p>
        </w:tc>
      </w:tr>
      <w:tr>
        <w:tc>
          <w:tcPr>
            <w:tcW w:type="dxa" w:w="1440"/>
            <w:vAlign w:val="center"/>
            <w:tcMar>
              <w:top w:w="110" w:type="dxa"/>
              <w:start w:w="125" w:type="dxa"/>
              <w:bottom w:w="110" w:type="dxa"/>
              <w:end w:w="125" w:type="dxa"/>
            </w:tcMar>
          </w:tcPr>
          <w:p>
            <w:r>
              <w:rPr>
                <w:rFonts w:ascii="Arial" w:hAnsi="Arial"/>
                <w:b/>
                <w:sz w:val="21"/>
              </w:rPr>
              <w:t>TJ</w:t>
            </w:r>
          </w:p>
        </w:tc>
        <w:tc>
          <w:tcPr>
            <w:tcW w:type="dxa" w:w="2232"/>
            <w:vAlign w:val="center"/>
            <w:tcMar>
              <w:top w:w="110" w:type="dxa"/>
              <w:start w:w="125" w:type="dxa"/>
              <w:bottom w:w="110" w:type="dxa"/>
              <w:end w:w="125" w:type="dxa"/>
            </w:tcMar>
          </w:tcPr>
          <w:p>
            <w:r>
              <w:rPr>
                <w:rFonts w:ascii="Arial" w:hAnsi="Arial"/>
                <w:sz w:val="21"/>
              </w:rPr>
              <w:t>5</w:t>
            </w:r>
          </w:p>
        </w:tc>
        <w:tc>
          <w:tcPr>
            <w:tcW w:type="dxa" w:w="6264"/>
            <w:vAlign w:val="center"/>
            <w:tcMar>
              <w:top w:w="110" w:type="dxa"/>
              <w:start w:w="125" w:type="dxa"/>
              <w:bottom w:w="110" w:type="dxa"/>
              <w:end w:w="125" w:type="dxa"/>
            </w:tcMar>
          </w:tcPr>
          <w:p>
            <w:r>
              <w:rPr>
                <w:rFonts w:ascii="Arial" w:hAnsi="Arial"/>
                <w:sz w:val="21"/>
              </w:rPr>
              <w:t>Control the browser and narrate every demo action.</w:t>
            </w:r>
          </w:p>
        </w:tc>
      </w:tr>
    </w:tbl>
    <w:p>
      <w:pPr>
        <w:pStyle w:val="Heading1"/>
      </w:pPr>
      <w:r>
        <w:t>Setup before the presentation</w:t>
      </w:r>
    </w:p>
    <w:p>
      <w:pPr>
        <w:pStyle w:val="ListBullet"/>
        <w:spacing w:after="60"/>
      </w:pPr>
      <w:r>
        <w:t>Start the Flask API and Vite interface before presenting. From the project root, run python backend/app.py and pnpm dev in separate terminals.</w:t>
      </w:r>
    </w:p>
    <w:p>
      <w:pPr>
        <w:pStyle w:val="ListBullet"/>
        <w:spacing w:after="60"/>
      </w:pPr>
      <w:r>
        <w:t>Open the local app in a browser and leave it at the top of the page. Do not load the example until TJ begins the demo.</w:t>
      </w:r>
    </w:p>
    <w:p>
      <w:pPr>
        <w:pStyle w:val="ListBullet"/>
        <w:spacing w:after="60"/>
      </w:pPr>
      <w:r>
        <w:t>Keep browser control with TJ during Slide 5. Use the fictional sample policy supplied with the project.</w:t>
      </w:r>
    </w:p>
    <w:p>
      <w:pPr>
        <w:pStyle w:val="Heading1"/>
      </w:pPr>
      <w:r>
        <w:t>Slide by slide script</w:t>
      </w:r>
    </w:p>
    <w:p>
      <w:pPr>
        <w:pStyle w:val="Heading1"/>
        <w:keepNext/>
      </w:pPr>
      <w:r>
        <w:t>Slide 1  Opening</w:t>
      </w:r>
    </w:p>
    <w:p>
      <w:pPr>
        <w:spacing w:after="120"/>
      </w:pPr>
      <w:r>
        <w:rPr>
          <w:b/>
          <w:color w:val="1B6B57"/>
          <w:sz w:val="21"/>
        </w:rPr>
        <w:t>Anthony  ·  20 seconds</w:t>
      </w:r>
    </w:p>
    <w:p>
      <w:pPr>
        <w:spacing w:after="160"/>
        <w:ind w:left="72"/>
      </w:pPr>
      <w:r>
        <w:rPr>
          <w:b/>
        </w:rPr>
        <w:t xml:space="preserve">Anthony: </w:t>
      </w:r>
      <w:r>
        <w:t>“Hi, we’re TJ, Anthony, and Amon. We built ClearPolicy to help readers locate privacy practices worth reviewing. I’ll set the context, Amon will explain how the new clause model fits beside the rule engine, and TJ will run the live example.”</w:t>
      </w:r>
    </w:p>
    <w:p>
      <w:pPr>
        <w:pStyle w:val="Heading1"/>
        <w:keepNext/>
      </w:pPr>
      <w:r>
        <w:t>Slide 2  System structure</w:t>
      </w:r>
    </w:p>
    <w:p>
      <w:pPr>
        <w:spacing w:after="120"/>
      </w:pPr>
      <w:r>
        <w:rPr>
          <w:b/>
          <w:color w:val="1B6B57"/>
          <w:sz w:val="21"/>
        </w:rPr>
        <w:t>Amon  ·  55 seconds</w:t>
      </w:r>
    </w:p>
    <w:p>
      <w:pPr>
        <w:spacing w:after="160"/>
        <w:ind w:left="72"/>
      </w:pPr>
      <w:r>
        <w:rPr>
          <w:b/>
        </w:rPr>
        <w:t xml:space="preserve">Amon: </w:t>
      </w:r>
      <w:r>
        <w:t>“After a reader selects Analyze, the interface sends the policy text to our local API, which splits it into clauses. The deterministic path applies versioned phrase rules and attaches matched wording, an explanation, and a next step. It also calculates a Trust Score from weighted categories: data sharing, readability, data collection, legal language, and user agency. If the text does not support a category, the response reports insufficient evidence rather than treating it as a positive result. Readability comes from a separate sentence-length heuristic. In parallel, the learned classifier suggests privacy topics for clauses. Those tags return with the findings but stay out of the score. The API processes the submitted text in memory.”</w:t>
      </w:r>
    </w:p>
    <w:p>
      <w:pPr>
        <w:pStyle w:val="Heading1"/>
        <w:keepNext/>
      </w:pPr>
      <w:r>
        <w:t>Slide 3  The learned clause tagger</w:t>
      </w:r>
    </w:p>
    <w:p>
      <w:pPr>
        <w:spacing w:after="120"/>
      </w:pPr>
      <w:r>
        <w:rPr>
          <w:b/>
          <w:color w:val="1B6B57"/>
          <w:sz w:val="21"/>
        </w:rPr>
        <w:t>Amon  ·  65 seconds</w:t>
      </w:r>
    </w:p>
    <w:p>
      <w:pPr>
        <w:spacing w:after="160"/>
        <w:ind w:left="72"/>
      </w:pPr>
      <w:r>
        <w:rPr>
          <w:b/>
        </w:rPr>
        <w:t xml:space="preserve">Amon: </w:t>
      </w:r>
      <w:r>
        <w:t>“The new tagger is a multi-label Multinomial Naive Bayes model. It uses consolidated OPP-115 annotations and 3,790 sanitized policy segments. We held out complete policies, rather than random clauses, so the 862 validation segments came from 23 policies the evaluator had not seen. The training split used 92 policies. The tokenizer creates binary features for individual words and adjacent word pairs. For each clause, the classifier ranks topic labels and returns up to three that clear its 0.5 display threshold. On that holdout, micro F1 was 0.7119, macro F1 was 0.6150, and exact set match was 0.3805. Performance varies by topic. After evaluation, the distributed version 1 artifact was fit on all 115 policies. This is a historical English-language baseline, not a guarantee for current policies.”</w:t>
      </w:r>
    </w:p>
    <w:p>
      <w:pPr>
        <w:pStyle w:val="Heading1"/>
        <w:keepNext/>
      </w:pPr>
      <w:r>
        <w:t>Slide 4  Reading the output</w:t>
      </w:r>
    </w:p>
    <w:p>
      <w:pPr>
        <w:spacing w:after="120"/>
      </w:pPr>
      <w:r>
        <w:rPr>
          <w:b/>
          <w:color w:val="1B6B57"/>
          <w:sz w:val="21"/>
        </w:rPr>
        <w:t>Anthony  ·  25 seconds</w:t>
      </w:r>
    </w:p>
    <w:p>
      <w:pPr>
        <w:spacing w:after="160"/>
        <w:ind w:left="72"/>
      </w:pPr>
      <w:r>
        <w:rPr>
          <w:b/>
        </w:rPr>
        <w:t xml:space="preserve">Anthony: </w:t>
      </w:r>
      <w:r>
        <w:t>“These outputs answer different questions. The Trust Score summarizes rule signals for categories with enough evidence, and the coverage line shows what the supplied text did not support. A rule finding points to a phrase and gives a reason to review it. A model tag suggests a topic that may help us find a clause; its score is not a calibrated probability. Keep the original wording in view. The app is an educational aid, not a legal compliance determination. TJ will take us through the live example.”</w:t>
      </w:r>
    </w:p>
    <w:p>
      <w:pPr>
        <w:pStyle w:val="Heading1"/>
        <w:keepNext/>
        <w:pageBreakBefore/>
      </w:pPr>
      <w:r>
        <w:t>Slide 5  Live demo</w:t>
      </w:r>
    </w:p>
    <w:p>
      <w:pPr>
        <w:spacing w:after="120"/>
      </w:pPr>
      <w:r>
        <w:rPr>
          <w:b/>
          <w:color w:val="1B6B57"/>
          <w:sz w:val="21"/>
        </w:rPr>
        <w:t>TJ  ·  2 minutes 30 seconds</w:t>
      </w:r>
    </w:p>
    <w:p>
      <w:pPr>
        <w:spacing w:before="40" w:after="140"/>
        <w:ind w:left="259"/>
      </w:pPr>
      <w:r>
        <w:rPr>
          <w:i/>
          <w:color w:val="59636B"/>
          <w:sz w:val="21"/>
        </w:rPr>
        <w:t>ACTION  Take control of the browser. The local app should already be open.</w:t>
      </w:r>
    </w:p>
    <w:p>
      <w:pPr>
        <w:spacing w:after="160"/>
        <w:ind w:left="72"/>
      </w:pPr>
      <w:r>
        <w:rPr>
          <w:b/>
        </w:rPr>
        <w:t xml:space="preserve">TJ: </w:t>
      </w:r>
      <w:r>
        <w:t>“Now I’ll run the sample policy through the app. This is a fictional policy written for the classroom demo, not a real company’s policy.”</w:t>
      </w:r>
    </w:p>
    <w:p>
      <w:pPr>
        <w:spacing w:before="40" w:after="140"/>
        <w:ind w:left="259"/>
      </w:pPr>
      <w:r>
        <w:rPr>
          <w:i/>
          <w:color w:val="59636B"/>
          <w:sz w:val="21"/>
        </w:rPr>
        <w:t>ACTION  Select Try sample policy. Briefly show the input, then select Analyze policy and wait for results.</w:t>
      </w:r>
    </w:p>
    <w:p>
      <w:pPr>
        <w:spacing w:after="160"/>
        <w:ind w:left="72"/>
      </w:pPr>
      <w:r>
        <w:rPr>
          <w:b/>
        </w:rPr>
        <w:t xml:space="preserve">TJ: </w:t>
      </w:r>
      <w:r>
        <w:t>“I’ll start with the summary. The Trust Score combines documented rule signals. The category rows show which parts of the policy gave the analyzer enough evidence. A category marked Needs evidence has no score from this text.”</w:t>
      </w:r>
    </w:p>
    <w:p>
      <w:pPr>
        <w:spacing w:before="40" w:after="140"/>
        <w:ind w:left="259"/>
      </w:pPr>
      <w:r>
        <w:rPr>
          <w:i/>
          <w:color w:val="59636B"/>
          <w:sz w:val="21"/>
        </w:rPr>
        <w:t>ACTION  Point to one or two rule findings and the matching source wording.</w:t>
      </w:r>
    </w:p>
    <w:p>
      <w:pPr>
        <w:spacing w:after="160"/>
        <w:ind w:left="72"/>
      </w:pPr>
      <w:r>
        <w:rPr>
          <w:b/>
        </w:rPr>
        <w:t xml:space="preserve">TJ: </w:t>
      </w:r>
      <w:r>
        <w:t>“Here the rule engine has highlighted language about sharing with advertising partners and open-ended retention. I can compare each finding with the sentence that triggered it, then check the next step against the full policy. The sample also describes access and deletion requests and an advertising opt-out, so I’ll read those signals in context.”</w:t>
      </w:r>
    </w:p>
    <w:p>
      <w:pPr>
        <w:spacing w:before="40" w:after="140"/>
        <w:ind w:left="259"/>
      </w:pPr>
      <w:r>
        <w:rPr>
          <w:i/>
          <w:color w:val="59636B"/>
          <w:sz w:val="21"/>
        </w:rPr>
        <w:t>ACTION  Point to a clause tag if one appears, and read the excerpt beside it.</w:t>
      </w:r>
    </w:p>
    <w:p>
      <w:pPr>
        <w:spacing w:after="160"/>
        <w:ind w:left="72"/>
      </w:pPr>
      <w:r>
        <w:rPr>
          <w:b/>
        </w:rPr>
        <w:t xml:space="preserve">TJ: </w:t>
      </w:r>
      <w:r>
        <w:t>“The tagger adds a topic suggestion for this clause. It is separate from the scoring rules, and its score is a model estimate. I’m checking the original sentence before drawing a conclusion. These signals help me decide where to read more closely. They do not tell me whether the policy complies with a law.”</w:t>
      </w:r>
    </w:p>
    <w:p>
      <w:pPr>
        <w:spacing w:before="40" w:after="140"/>
        <w:ind w:left="259"/>
      </w:pPr>
      <w:r>
        <w:rPr>
          <w:i/>
          <w:color w:val="59636B"/>
          <w:sz w:val="21"/>
        </w:rPr>
        <w:t>ACTION  Keep the browser actions with TJ, then hand back to Anthony for the close.</w:t>
      </w:r>
    </w:p>
    <w:p>
      <w:pPr>
        <w:pStyle w:val="Heading1"/>
        <w:keepNext/>
      </w:pPr>
      <w:r>
        <w:t>Slide 6  Closing</w:t>
      </w:r>
    </w:p>
    <w:p>
      <w:pPr>
        <w:spacing w:after="120"/>
      </w:pPr>
      <w:r>
        <w:rPr>
          <w:b/>
          <w:color w:val="1B6B57"/>
          <w:sz w:val="21"/>
        </w:rPr>
        <w:t>Anthony  ·  20 seconds</w:t>
      </w:r>
    </w:p>
    <w:p>
      <w:pPr>
        <w:spacing w:after="160"/>
        <w:ind w:left="72"/>
      </w:pPr>
      <w:r>
        <w:rPr>
          <w:b/>
        </w:rPr>
        <w:t xml:space="preserve">Anthony: </w:t>
      </w:r>
      <w:r>
        <w:t>“That’s the workflow: the rule engine points to configured language, and the trained model suggests clause topics. Both help us return to the original policy with better questions. The prototype provides educational signals; it does not establish legal compliance. Thanks.”</w:t>
      </w:r>
    </w:p>
    <w:p>
      <w:pPr>
        <w:pStyle w:val="Heading1"/>
      </w:pPr>
      <w:r>
        <w:t>Presenter reference</w:t>
      </w:r>
    </w:p>
    <w:p>
      <w:pPr>
        <w:spacing w:after="0"/>
      </w:pPr>
      <w:r>
        <w:rPr>
          <w:b/>
        </w:rPr>
        <w:t xml:space="preserve">Demo input: </w:t>
      </w:r>
      <w:r>
        <w:t xml:space="preserve">public/sample_privacy_policy.txt    </w:t>
      </w:r>
      <w:r>
        <w:rPr>
          <w:b/>
        </w:rPr>
        <w:t xml:space="preserve">Model details: </w:t>
      </w:r>
      <w:r>
        <w:t>backend/ml/MODEL_CARD.md and backend/ml/training_report_v1.json</w:t>
      </w:r>
    </w:p>
    <w:sectPr w:rsidR="00FC693F" w:rsidRPr="0006063C" w:rsidSect="00034616">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62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Analyzer Demo Script</dc:title>
  <dc:subject>Timed six-slide presentation script for Anthony, Amon, and TJ</dc:subject>
  <dc:creator>python-docx</dc:creator>
  <cp:keywords>COMP 496, privacy policy analyzer, demo script</cp:keywords>
  <dc:description>generated by python-docx</dc:description>
  <cp:lastModifiedBy/>
  <cp:revision>1</cp:revision>
  <dcterms:created xsi:type="dcterms:W3CDTF">2013-12-23T23:15:00Z</dcterms:created>
  <dcterms:modified xsi:type="dcterms:W3CDTF">2013-12-23T23:15:00Z</dcterms:modified>
  <cp:category/>
</cp:coreProperties>
</file>