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 w:after="160"/>
      </w:pPr>
      <w:r>
        <w:rPr>
          <w:rFonts w:ascii="Arial" w:hAnsi="Arial"/>
          <w:b/>
          <w:color w:val="176B57"/>
          <w:sz w:val="18"/>
        </w:rPr>
        <w:t>MODEL BRIEF  /  VERSION 1.0.0</w:t>
      </w:r>
    </w:p>
    <w:p>
      <w:pPr>
        <w:keepNext/>
        <w:spacing w:after="60"/>
      </w:pPr>
      <w:r>
        <w:rPr>
          <w:rFonts w:ascii="Arial" w:hAnsi="Arial"/>
          <w:b/>
          <w:color w:val="22313A"/>
          <w:sz w:val="56"/>
        </w:rPr>
        <w:t>Privacy Policy Analyzer</w:t>
      </w:r>
    </w:p>
    <w:p>
      <w:pPr>
        <w:spacing w:after="260"/>
      </w:pPr>
      <w:r>
        <w:rPr>
          <w:rFonts w:ascii="Arial" w:hAnsi="Arial"/>
          <w:b/>
          <w:color w:val="176B57"/>
          <w:sz w:val="38"/>
        </w:rPr>
        <w:t>AI Model Technical Guide</w:t>
      </w:r>
    </w:p>
    <w:p>
      <w:pPr>
        <w:spacing w:after="200" w:line="269" w:lineRule="auto"/>
      </w:pPr>
      <w:r>
        <w:rPr>
          <w:rFonts w:ascii="Arial" w:hAnsi="Arial"/>
          <w:color w:val="5F6D74"/>
          <w:sz w:val="22"/>
        </w:rPr>
        <w:t>A practical guide to the trained clause tagger, its data, the API handoff, and the limits of the demo build.</w:t>
      </w:r>
    </w:p>
    <w:tbl>
      <w:tblPr>
        <w:tblW w:type="auto" w:w="0"/>
        <w:tblLayout w:type="fixed"/>
        <w:tblLook w:firstColumn="1" w:firstRow="1" w:lastColumn="0" w:lastRow="0" w:noHBand="0" w:noVBand="1" w:val="04A0"/>
      </w:tblPr>
      <w:tblGrid>
        <w:gridCol w:w="10008"/>
      </w:tblGrid>
      <w:tr>
        <w:tc>
          <w:tcPr>
            <w:tcW w:type="dxa" w:w="10080"/>
            <w:shd w:fill="EAF3EF"/>
            <w:tcMar>
              <w:top w:w="150" w:type="dxa"/>
              <w:start w:w="190" w:type="dxa"/>
              <w:bottom w:w="150" w:type="dxa"/>
              <w:end w:w="190" w:type="dxa"/>
            </w:tcMar>
          </w:tcPr>
          <w:p>
            <w:pPr>
              <w:spacing w:after="60"/>
            </w:pPr>
            <w:r>
              <w:rPr>
                <w:rFonts w:ascii="Arial" w:hAnsi="Arial"/>
                <w:b/>
                <w:color w:val="176B57"/>
                <w:sz w:val="21"/>
              </w:rPr>
              <w:t>What is included</w:t>
            </w:r>
          </w:p>
          <w:p>
            <w:pPr>
              <w:spacing w:after="0" w:line="259" w:lineRule="auto"/>
            </w:pPr>
            <w:r>
              <w:rPr>
                <w:rFonts w:ascii="Arial" w:hAnsi="Arial"/>
                <w:color w:val="22313A"/>
                <w:sz w:val="19"/>
              </w:rPr>
              <w:t>A compact OPP-115-trained topic classifier is integrated into the Flask API and React interface. It suggests policy topics for individual clauses. The existing versioned rules engine remains responsible for findings and the weighted Trust Score.</w:t>
            </w:r>
          </w:p>
        </w:tc>
      </w:tr>
    </w:tbl>
    <w:p>
      <w:pPr>
        <w:spacing w:after="20"/>
      </w:pPr>
    </w:p>
    <w:p>
      <w:pPr>
        <w:pStyle w:val="Heading1"/>
        <w:keepNext/>
        <w:spacing w:before="160" w:after="80"/>
      </w:pPr>
      <w:r>
        <w:rPr>
          <w:rFonts w:ascii="Arial" w:hAnsi="Arial"/>
          <w:b/>
          <w:color w:val="176B57"/>
          <w:sz w:val="32"/>
        </w:rPr>
        <w:t>Model at a glance</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448"/>
            <w:shd w:fill="176B57"/>
            <w:tcMar>
              <w:top w:w="100" w:type="dxa"/>
              <w:start w:w="120" w:type="dxa"/>
              <w:bottom w:w="100" w:type="dxa"/>
              <w:end w:w="120" w:type="dxa"/>
            </w:tcMar>
            <w:vAlign w:val="center"/>
          </w:tcPr>
          <w:p>
            <w:pPr>
              <w:spacing w:after="0"/>
            </w:pPr>
            <w:r>
              <w:rPr>
                <w:rFonts w:ascii="Arial" w:hAnsi="Arial"/>
                <w:b/>
                <w:color w:val="FFFFFF"/>
                <w:sz w:val="18"/>
              </w:rPr>
              <w:t>Task</w:t>
            </w:r>
          </w:p>
        </w:tc>
        <w:tc>
          <w:tcPr>
            <w:tcW w:type="dxa" w:w="2448"/>
            <w:shd w:fill="176B57"/>
            <w:tcMar>
              <w:top w:w="100" w:type="dxa"/>
              <w:start w:w="120" w:type="dxa"/>
              <w:bottom w:w="100" w:type="dxa"/>
              <w:end w:w="120" w:type="dxa"/>
            </w:tcMar>
            <w:vAlign w:val="center"/>
          </w:tcPr>
          <w:p>
            <w:pPr>
              <w:spacing w:after="0"/>
            </w:pPr>
            <w:r>
              <w:rPr>
                <w:rFonts w:ascii="Arial" w:hAnsi="Arial"/>
                <w:b/>
                <w:color w:val="FFFFFF"/>
                <w:sz w:val="18"/>
              </w:rPr>
              <w:t>Training</w:t>
            </w:r>
          </w:p>
        </w:tc>
        <w:tc>
          <w:tcPr>
            <w:tcW w:type="dxa" w:w="2376"/>
            <w:shd w:fill="176B57"/>
            <w:tcMar>
              <w:top w:w="100" w:type="dxa"/>
              <w:start w:w="120" w:type="dxa"/>
              <w:bottom w:w="100" w:type="dxa"/>
              <w:end w:w="120" w:type="dxa"/>
            </w:tcMar>
            <w:vAlign w:val="center"/>
          </w:tcPr>
          <w:p>
            <w:pPr>
              <w:spacing w:after="0"/>
            </w:pPr>
            <w:r>
              <w:rPr>
                <w:rFonts w:ascii="Arial" w:hAnsi="Arial"/>
                <w:b/>
                <w:color w:val="FFFFFF"/>
                <w:sz w:val="18"/>
              </w:rPr>
              <w:t>Held-out baseline</w:t>
            </w:r>
          </w:p>
        </w:tc>
        <w:tc>
          <w:tcPr>
            <w:tcW w:type="dxa" w:w="2736"/>
            <w:shd w:fill="176B57"/>
            <w:tcMar>
              <w:top w:w="100" w:type="dxa"/>
              <w:start w:w="120" w:type="dxa"/>
              <w:bottom w:w="100" w:type="dxa"/>
              <w:end w:w="120" w:type="dxa"/>
            </w:tcMar>
            <w:vAlign w:val="center"/>
          </w:tcPr>
          <w:p>
            <w:pPr>
              <w:spacing w:after="0"/>
            </w:pPr>
            <w:r>
              <w:rPr>
                <w:rFonts w:ascii="Arial" w:hAnsi="Arial"/>
                <w:b/>
                <w:color w:val="FFFFFF"/>
                <w:sz w:val="18"/>
              </w:rPr>
              <w:t>Runtime</w:t>
            </w:r>
          </w:p>
        </w:tc>
      </w:tr>
      <w:tr>
        <w:tc>
          <w:tcPr>
            <w:tcW w:type="dxa" w:w="2448"/>
            <w:tcMar>
              <w:top w:w="100" w:type="dxa"/>
              <w:start w:w="120" w:type="dxa"/>
              <w:bottom w:w="100" w:type="dxa"/>
              <w:end w:w="120" w:type="dxa"/>
            </w:tcMar>
            <w:vAlign w:val="center"/>
          </w:tcPr>
          <w:p>
            <w:pPr>
              <w:spacing w:after="0" w:line="252" w:lineRule="auto"/>
            </w:pPr>
            <w:r>
              <w:rPr>
                <w:rFonts w:ascii="Arial" w:hAnsi="Arial"/>
                <w:color w:val="22313A"/>
                <w:sz w:val="18"/>
              </w:rPr>
              <w:t>Multi-label clause topic suggestions</w:t>
            </w:r>
          </w:p>
        </w:tc>
        <w:tc>
          <w:tcPr>
            <w:tcW w:type="dxa" w:w="2448"/>
            <w:tcMar>
              <w:top w:w="100" w:type="dxa"/>
              <w:start w:w="120" w:type="dxa"/>
              <w:bottom w:w="100" w:type="dxa"/>
              <w:end w:w="120" w:type="dxa"/>
            </w:tcMar>
            <w:vAlign w:val="center"/>
          </w:tcPr>
          <w:p>
            <w:pPr>
              <w:spacing w:after="0" w:line="252" w:lineRule="auto"/>
            </w:pPr>
            <w:r>
              <w:rPr>
                <w:rFonts w:ascii="Arial" w:hAnsi="Arial"/>
                <w:color w:val="22313A"/>
                <w:sz w:val="18"/>
              </w:rPr>
              <w:t>3,790 segments / 115 policies</w:t>
            </w:r>
          </w:p>
        </w:tc>
        <w:tc>
          <w:tcPr>
            <w:tcW w:type="dxa" w:w="2376"/>
            <w:tcMar>
              <w:top w:w="100" w:type="dxa"/>
              <w:start w:w="120" w:type="dxa"/>
              <w:bottom w:w="100" w:type="dxa"/>
              <w:end w:w="120" w:type="dxa"/>
            </w:tcMar>
            <w:vAlign w:val="center"/>
          </w:tcPr>
          <w:p>
            <w:pPr>
              <w:spacing w:after="0" w:line="252" w:lineRule="auto"/>
            </w:pPr>
            <w:r>
              <w:rPr>
                <w:rFonts w:ascii="Arial" w:hAnsi="Arial"/>
                <w:color w:val="22313A"/>
                <w:sz w:val="18"/>
              </w:rPr>
              <w:t>Micro F1 0.7119 at 0.5</w:t>
            </w:r>
          </w:p>
        </w:tc>
        <w:tc>
          <w:tcPr>
            <w:tcW w:type="dxa" w:w="2736"/>
            <w:tcMar>
              <w:top w:w="100" w:type="dxa"/>
              <w:start w:w="120" w:type="dxa"/>
              <w:bottom w:w="100" w:type="dxa"/>
              <w:end w:w="120" w:type="dxa"/>
            </w:tcMar>
            <w:vAlign w:val="center"/>
          </w:tcPr>
          <w:p>
            <w:pPr>
              <w:spacing w:after="0" w:line="252" w:lineRule="auto"/>
            </w:pPr>
            <w:r>
              <w:rPr>
                <w:rFonts w:ascii="Arial" w:hAnsi="Arial"/>
                <w:color w:val="22313A"/>
                <w:sz w:val="18"/>
              </w:rPr>
              <w:t>Python standard library; 6.75 MB JSON</w:t>
            </w:r>
          </w:p>
        </w:tc>
      </w:tr>
    </w:tbl>
    <w:p>
      <w:pPr>
        <w:spacing w:after="20"/>
      </w:pPr>
    </w:p>
    <w:p>
      <w:pPr>
        <w:pStyle w:val="Heading1"/>
        <w:keepNext/>
        <w:spacing w:before="160" w:after="80"/>
      </w:pPr>
      <w:r>
        <w:rPr>
          <w:rFonts w:ascii="Arial" w:hAnsi="Arial"/>
          <w:b/>
          <w:color w:val="176B57"/>
          <w:sz w:val="32"/>
        </w:rPr>
        <w:t>Two signals, two jobs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232"/>
            <w:shd w:fill="176B57"/>
            <w:tcMar>
              <w:top w:w="100" w:type="dxa"/>
              <w:start w:w="120" w:type="dxa"/>
              <w:bottom w:w="100" w:type="dxa"/>
              <w:end w:w="120" w:type="dxa"/>
            </w:tcMar>
            <w:vAlign w:val="center"/>
          </w:tcPr>
          <w:p>
            <w:pPr>
              <w:spacing w:after="0"/>
            </w:pPr>
            <w:r>
              <w:rPr>
                <w:rFonts w:ascii="Arial" w:hAnsi="Arial"/>
                <w:b/>
                <w:color w:val="FFFFFF"/>
                <w:sz w:val="18"/>
              </w:rPr>
              <w:t>Component</w:t>
            </w:r>
          </w:p>
        </w:tc>
        <w:tc>
          <w:tcPr>
            <w:tcW w:type="dxa" w:w="4536"/>
            <w:shd w:fill="176B57"/>
            <w:tcMar>
              <w:top w:w="100" w:type="dxa"/>
              <w:start w:w="120" w:type="dxa"/>
              <w:bottom w:w="100" w:type="dxa"/>
              <w:end w:w="120" w:type="dxa"/>
            </w:tcMar>
            <w:vAlign w:val="center"/>
          </w:tcPr>
          <w:p>
            <w:pPr>
              <w:spacing w:after="0"/>
            </w:pPr>
            <w:r>
              <w:rPr>
                <w:rFonts w:ascii="Arial" w:hAnsi="Arial"/>
                <w:b/>
                <w:color w:val="FFFFFF"/>
                <w:sz w:val="18"/>
              </w:rPr>
              <w:t>What it returns</w:t>
            </w:r>
          </w:p>
        </w:tc>
        <w:tc>
          <w:tcPr>
            <w:tcW w:type="dxa" w:w="3240"/>
            <w:shd w:fill="176B57"/>
            <w:tcMar>
              <w:top w:w="100" w:type="dxa"/>
              <w:start w:w="120" w:type="dxa"/>
              <w:bottom w:w="100" w:type="dxa"/>
              <w:end w:w="120" w:type="dxa"/>
            </w:tcMar>
            <w:vAlign w:val="center"/>
          </w:tcPr>
          <w:p>
            <w:pPr>
              <w:spacing w:after="0"/>
            </w:pPr>
            <w:r>
              <w:rPr>
                <w:rFonts w:ascii="Arial" w:hAnsi="Arial"/>
                <w:b/>
                <w:color w:val="FFFFFF"/>
                <w:sz w:val="18"/>
              </w:rPr>
              <w:t>Effect on Trust Score</w:t>
            </w:r>
          </w:p>
        </w:tc>
      </w:tr>
      <w:tr>
        <w:tc>
          <w:tcPr>
            <w:tcW w:type="dxa" w:w="2232"/>
            <w:tcMar>
              <w:top w:w="100" w:type="dxa"/>
              <w:start w:w="120" w:type="dxa"/>
              <w:bottom w:w="100" w:type="dxa"/>
              <w:end w:w="120" w:type="dxa"/>
            </w:tcMar>
            <w:vAlign w:val="center"/>
          </w:tcPr>
          <w:p>
            <w:pPr>
              <w:spacing w:after="0" w:line="252" w:lineRule="auto"/>
            </w:pPr>
            <w:r>
              <w:rPr>
                <w:rFonts w:ascii="Arial" w:hAnsi="Arial"/>
                <w:color w:val="22313A"/>
                <w:sz w:val="18"/>
              </w:rPr>
              <w:t>Clause classifier</w:t>
            </w:r>
          </w:p>
        </w:tc>
        <w:tc>
          <w:tcPr>
            <w:tcW w:type="dxa" w:w="4536"/>
            <w:tcMar>
              <w:top w:w="100" w:type="dxa"/>
              <w:start w:w="120" w:type="dxa"/>
              <w:bottom w:w="100" w:type="dxa"/>
              <w:end w:w="120" w:type="dxa"/>
            </w:tcMar>
            <w:vAlign w:val="center"/>
          </w:tcPr>
          <w:p>
            <w:pPr>
              <w:spacing w:after="0" w:line="252" w:lineRule="auto"/>
            </w:pPr>
            <w:r>
              <w:rPr>
                <w:rFonts w:ascii="Arial" w:hAnsi="Arial"/>
                <w:color w:val="22313A"/>
                <w:sz w:val="18"/>
              </w:rPr>
              <w:t>Experimental topic tag(s) attached to policy text</w:t>
            </w:r>
          </w:p>
        </w:tc>
        <w:tc>
          <w:tcPr>
            <w:tcW w:type="dxa" w:w="3240"/>
            <w:tcMar>
              <w:top w:w="100" w:type="dxa"/>
              <w:start w:w="120" w:type="dxa"/>
              <w:bottom w:w="100" w:type="dxa"/>
              <w:end w:w="120" w:type="dxa"/>
            </w:tcMar>
            <w:vAlign w:val="center"/>
          </w:tcPr>
          <w:p>
            <w:pPr>
              <w:spacing w:after="0" w:line="252" w:lineRule="auto"/>
            </w:pPr>
            <w:r>
              <w:rPr>
                <w:rFonts w:ascii="Arial" w:hAnsi="Arial"/>
                <w:color w:val="22313A"/>
                <w:sz w:val="18"/>
              </w:rPr>
              <w:t>None</w:t>
            </w:r>
          </w:p>
        </w:tc>
      </w:tr>
      <w:tr>
        <w:tc>
          <w:tcPr>
            <w:tcW w:type="dxa" w:w="2232"/>
            <w:tcMar>
              <w:top w:w="100" w:type="dxa"/>
              <w:start w:w="120" w:type="dxa"/>
              <w:bottom w:w="100" w:type="dxa"/>
              <w:end w:w="120" w:type="dxa"/>
            </w:tcMar>
            <w:vAlign w:val="center"/>
            <w:shd w:fill="F5F8F6"/>
          </w:tcPr>
          <w:p>
            <w:pPr>
              <w:spacing w:after="0" w:line="252" w:lineRule="auto"/>
            </w:pPr>
            <w:r>
              <w:rPr>
                <w:rFonts w:ascii="Arial" w:hAnsi="Arial"/>
                <w:color w:val="22313A"/>
                <w:sz w:val="18"/>
              </w:rPr>
              <w:t>Rules and scoring engine</w:t>
            </w:r>
          </w:p>
        </w:tc>
        <w:tc>
          <w:tcPr>
            <w:tcW w:type="dxa" w:w="4536"/>
            <w:tcMar>
              <w:top w:w="100" w:type="dxa"/>
              <w:start w:w="120" w:type="dxa"/>
              <w:bottom w:w="100" w:type="dxa"/>
              <w:end w:w="120" w:type="dxa"/>
            </w:tcMar>
            <w:vAlign w:val="center"/>
            <w:shd w:fill="F5F8F6"/>
          </w:tcPr>
          <w:p>
            <w:pPr>
              <w:spacing w:after="0" w:line="252" w:lineRule="auto"/>
            </w:pPr>
            <w:r>
              <w:rPr>
                <w:rFonts w:ascii="Arial" w:hAnsi="Arial"/>
                <w:color w:val="22313A"/>
                <w:sz w:val="18"/>
              </w:rPr>
              <w:t>Evidence-backed findings, five category assessments, and a weighted score</w:t>
            </w:r>
          </w:p>
        </w:tc>
        <w:tc>
          <w:tcPr>
            <w:tcW w:type="dxa" w:w="3240"/>
            <w:tcMar>
              <w:top w:w="100" w:type="dxa"/>
              <w:start w:w="120" w:type="dxa"/>
              <w:bottom w:w="100" w:type="dxa"/>
              <w:end w:w="120" w:type="dxa"/>
            </w:tcMar>
            <w:vAlign w:val="center"/>
            <w:shd w:fill="F5F8F6"/>
          </w:tcPr>
          <w:p>
            <w:pPr>
              <w:spacing w:after="0" w:line="252" w:lineRule="auto"/>
            </w:pPr>
            <w:r>
              <w:rPr>
                <w:rFonts w:ascii="Arial" w:hAnsi="Arial"/>
                <w:color w:val="22313A"/>
                <w:sz w:val="18"/>
              </w:rPr>
              <w:t>Calculates the score using the documented weights</w:t>
            </w:r>
          </w:p>
        </w:tc>
      </w:tr>
    </w:tbl>
    <w:p>
      <w:pPr>
        <w:spacing w:after="20"/>
      </w:pPr>
    </w:p>
    <w:p>
      <w:pPr>
        <w:spacing w:after="0" w:line="269" w:lineRule="auto"/>
      </w:pPr>
      <w:r>
        <w:rPr>
          <w:rFonts w:ascii="Arial" w:hAnsi="Arial"/>
          <w:color w:val="5F6D74"/>
          <w:sz w:val="19"/>
        </w:rPr>
        <w:t>The model's topic estimate is not a calibrated probability. It does not establish whether a practice is fair, trustworthy, lawful, or compliant.</w:t>
      </w:r>
    </w:p>
    <w:p>
      <w:r>
        <w:br w:type="page"/>
      </w:r>
    </w:p>
    <w:p>
      <w:pPr>
        <w:pStyle w:val="Heading1"/>
        <w:keepNext/>
        <w:spacing w:before="160" w:after="80"/>
      </w:pPr>
      <w:r>
        <w:rPr>
          <w:rFonts w:ascii="Arial" w:hAnsi="Arial"/>
          <w:b/>
          <w:color w:val="176B57"/>
          <w:sz w:val="32"/>
        </w:rPr>
        <w:t>1. Training data and method</w:t>
      </w:r>
    </w:p>
    <w:p>
      <w:pPr>
        <w:spacing w:after="100" w:line="269" w:lineRule="auto"/>
      </w:pPr>
      <w:r>
        <w:rPr>
          <w:rFonts w:ascii="Arial" w:hAnsi="Arial"/>
          <w:color w:val="22313A"/>
          <w:sz w:val="21"/>
        </w:rPr>
        <w:t>The first supervised model uses OPP-115 v1.0, a research corpus of 115 website privacy policies with policy segments annotated by graduate students in law. Consolidated annotations supply the segment labels; policy text and labels are paired by policy ID and segment number. The training pipeline uses 3,790 labeled segments.</w:t>
      </w:r>
    </w:p>
    <w:tbl>
      <w:tblPr>
        <w:tblW w:type="auto" w:w="0"/>
        <w:tblLayout w:type="fixed"/>
        <w:tblLook w:firstColumn="1" w:firstRow="1" w:lastColumn="0" w:lastRow="0" w:noHBand="0" w:noVBand="1" w:val="04A0"/>
      </w:tblPr>
      <w:tblGrid>
        <w:gridCol w:w="10008"/>
      </w:tblGrid>
      <w:tr>
        <w:tc>
          <w:tcPr>
            <w:tcW w:type="dxa" w:w="10080"/>
            <w:shd w:fill="F7F3E9"/>
            <w:tcMar>
              <w:top w:w="150" w:type="dxa"/>
              <w:start w:w="190" w:type="dxa"/>
              <w:bottom w:w="150" w:type="dxa"/>
              <w:end w:w="190" w:type="dxa"/>
            </w:tcMar>
          </w:tcPr>
          <w:p>
            <w:pPr>
              <w:spacing w:after="60"/>
            </w:pPr>
            <w:r>
              <w:rPr>
                <w:rFonts w:ascii="Arial" w:hAnsi="Arial"/>
                <w:b/>
                <w:color w:val="176B57"/>
                <w:sz w:val="21"/>
              </w:rPr>
              <w:t>Why OPP-115 for this build</w:t>
            </w:r>
          </w:p>
          <w:p>
            <w:pPr>
              <w:spacing w:after="0" w:line="259" w:lineRule="auto"/>
            </w:pPr>
            <w:r>
              <w:rPr>
                <w:rFonts w:ascii="Arial" w:hAnsi="Arial"/>
                <w:color w:val="22313A"/>
                <w:sz w:val="19"/>
              </w:rPr>
              <w:t>The project notes also identify PrivaSeer as a large potential source. PrivaSeer offers broad, mostly unlabeled policy text, while OPP-115 has human topic labels suited to supervised clause classification. This model therefore uses OPP-115; PrivaSeer remains a possible, separately licensed future resource.</w:t>
            </w:r>
          </w:p>
        </w:tc>
      </w:tr>
    </w:tbl>
    <w:p>
      <w:pPr>
        <w:spacing w:after="20"/>
      </w:pPr>
    </w:p>
    <w:p>
      <w:pPr>
        <w:pStyle w:val="Heading2"/>
        <w:keepNext/>
        <w:spacing w:before="100" w:after="80"/>
      </w:pPr>
      <w:r>
        <w:rPr>
          <w:rFonts w:ascii="Arial" w:hAnsi="Arial"/>
          <w:b/>
          <w:color w:val="22313A"/>
          <w:sz w:val="23"/>
        </w:rPr>
        <w:t>Training pipeline</w:t>
      </w:r>
    </w:p>
    <w:p>
      <w:pPr>
        <w:spacing w:after="60" w:line="269" w:lineRule="auto"/>
      </w:pPr>
      <w:r>
        <w:rPr>
          <w:rFonts w:ascii="Arial" w:hAnsi="Arial"/>
          <w:color w:val="22313A"/>
          <w:sz w:val="19"/>
        </w:rPr>
        <w:t>1. Read sanitized policy segments and the 0.5-threshold consolidated annotations from the official corpus archive.</w:t>
      </w:r>
    </w:p>
    <w:p>
      <w:pPr>
        <w:spacing w:after="60" w:line="269" w:lineRule="auto"/>
      </w:pPr>
      <w:r>
        <w:rPr>
          <w:rFonts w:ascii="Arial" w:hAnsi="Arial"/>
          <w:color w:val="22313A"/>
          <w:sz w:val="19"/>
        </w:rPr>
        <w:t>2. Combine annotator labels by segment so a segment can carry more than one topic.</w:t>
      </w:r>
    </w:p>
    <w:p>
      <w:pPr>
        <w:spacing w:after="60" w:line="269" w:lineRule="auto"/>
      </w:pPr>
      <w:r>
        <w:rPr>
          <w:rFonts w:ascii="Arial" w:hAnsi="Arial"/>
          <w:color w:val="22313A"/>
          <w:sz w:val="19"/>
        </w:rPr>
        <w:t>3. Split by whole policy with seed 496: 92 policies for training and 23 unseen policies for validation.</w:t>
      </w:r>
    </w:p>
    <w:p>
      <w:pPr>
        <w:spacing w:after="60" w:line="269" w:lineRule="auto"/>
      </w:pPr>
      <w:r>
        <w:rPr>
          <w:rFonts w:ascii="Arial" w:hAnsi="Arial"/>
          <w:color w:val="22313A"/>
          <w:sz w:val="19"/>
        </w:rPr>
        <w:t>4. Learn one-vs-rest multinomial Naive Bayes token counts with binary unigram and adjacent-bigram features.</w:t>
      </w:r>
    </w:p>
    <w:p>
      <w:pPr>
        <w:spacing w:after="60" w:line="269" w:lineRule="auto"/>
      </w:pPr>
      <w:r>
        <w:rPr>
          <w:rFonts w:ascii="Arial" w:hAnsi="Arial"/>
          <w:color w:val="22313A"/>
          <w:sz w:val="19"/>
        </w:rPr>
        <w:t>5. Measure held-out quality at a fixed 0.5 score threshold, then train the final distributable weights on all 115 policies.</w:t>
      </w:r>
    </w:p>
    <w:p>
      <w:pPr>
        <w:pStyle w:val="Heading2"/>
        <w:keepNext/>
        <w:spacing w:before="100" w:after="80"/>
      </w:pPr>
      <w:r>
        <w:rPr>
          <w:rFonts w:ascii="Arial" w:hAnsi="Arial"/>
          <w:b/>
          <w:color w:val="22313A"/>
          <w:sz w:val="23"/>
        </w:rPr>
        <w:t>How the research labels map to the UI</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6336"/>
            <w:shd w:fill="176B57"/>
            <w:tcMar>
              <w:top w:w="100" w:type="dxa"/>
              <w:start w:w="120" w:type="dxa"/>
              <w:bottom w:w="100" w:type="dxa"/>
              <w:end w:w="120" w:type="dxa"/>
            </w:tcMar>
            <w:vAlign w:val="center"/>
          </w:tcPr>
          <w:p>
            <w:pPr>
              <w:spacing w:after="0"/>
            </w:pPr>
            <w:r>
              <w:rPr>
                <w:rFonts w:ascii="Arial" w:hAnsi="Arial"/>
                <w:b/>
                <w:color w:val="FFFFFF"/>
                <w:sz w:val="17"/>
              </w:rPr>
              <w:t>OPP-115 topic label(s)</w:t>
            </w:r>
          </w:p>
        </w:tc>
        <w:tc>
          <w:tcPr>
            <w:tcW w:type="dxa" w:w="3672"/>
            <w:shd w:fill="176B57"/>
            <w:tcMar>
              <w:top w:w="100" w:type="dxa"/>
              <w:start w:w="120" w:type="dxa"/>
              <w:bottom w:w="100" w:type="dxa"/>
              <w:end w:w="120" w:type="dxa"/>
            </w:tcMar>
            <w:vAlign w:val="center"/>
          </w:tcPr>
          <w:p>
            <w:pPr>
              <w:spacing w:after="0"/>
            </w:pPr>
            <w:r>
              <w:rPr>
                <w:rFonts w:ascii="Arial" w:hAnsi="Arial"/>
                <w:b/>
                <w:color w:val="FFFFFF"/>
                <w:sz w:val="17"/>
              </w:rPr>
              <w:t>Product category</w:t>
            </w:r>
          </w:p>
        </w:tc>
      </w:tr>
      <w:tr>
        <w:tc>
          <w:tcPr>
            <w:tcW w:type="dxa" w:w="6336"/>
            <w:tcMar>
              <w:top w:w="100" w:type="dxa"/>
              <w:start w:w="120" w:type="dxa"/>
              <w:bottom w:w="100" w:type="dxa"/>
              <w:end w:w="120" w:type="dxa"/>
            </w:tcMar>
            <w:vAlign w:val="center"/>
          </w:tcPr>
          <w:p>
            <w:pPr>
              <w:spacing w:after="0" w:line="252" w:lineRule="auto"/>
            </w:pPr>
            <w:r>
              <w:rPr>
                <w:rFonts w:ascii="Arial" w:hAnsi="Arial"/>
                <w:color w:val="22313A"/>
                <w:sz w:val="17"/>
              </w:rPr>
              <w:t>First Party Collection/Use</w:t>
            </w:r>
          </w:p>
        </w:tc>
        <w:tc>
          <w:tcPr>
            <w:tcW w:type="dxa" w:w="3672"/>
            <w:tcMar>
              <w:top w:w="100" w:type="dxa"/>
              <w:start w:w="120" w:type="dxa"/>
              <w:bottom w:w="100" w:type="dxa"/>
              <w:end w:w="120" w:type="dxa"/>
            </w:tcMar>
            <w:vAlign w:val="center"/>
          </w:tcPr>
          <w:p>
            <w:pPr>
              <w:spacing w:after="0" w:line="252" w:lineRule="auto"/>
            </w:pPr>
            <w:r>
              <w:rPr>
                <w:rFonts w:ascii="Arial" w:hAnsi="Arial"/>
                <w:color w:val="22313A"/>
                <w:sz w:val="17"/>
              </w:rPr>
              <w:t>Data collection</w:t>
            </w:r>
          </w:p>
        </w:tc>
      </w:tr>
      <w:tr>
        <w:tc>
          <w:tcPr>
            <w:tcW w:type="dxa" w:w="6336"/>
            <w:tcMar>
              <w:top w:w="100" w:type="dxa"/>
              <w:start w:w="120" w:type="dxa"/>
              <w:bottom w:w="100" w:type="dxa"/>
              <w:end w:w="120" w:type="dxa"/>
            </w:tcMar>
            <w:vAlign w:val="center"/>
            <w:shd w:fill="F5F8F6"/>
          </w:tcPr>
          <w:p>
            <w:pPr>
              <w:spacing w:after="0" w:line="252" w:lineRule="auto"/>
            </w:pPr>
            <w:r>
              <w:rPr>
                <w:rFonts w:ascii="Arial" w:hAnsi="Arial"/>
                <w:color w:val="22313A"/>
                <w:sz w:val="17"/>
              </w:rPr>
              <w:t>Third Party Sharing/Collection</w:t>
            </w:r>
          </w:p>
        </w:tc>
        <w:tc>
          <w:tcPr>
            <w:tcW w:type="dxa" w:w="3672"/>
            <w:tcMar>
              <w:top w:w="100" w:type="dxa"/>
              <w:start w:w="120" w:type="dxa"/>
              <w:bottom w:w="100" w:type="dxa"/>
              <w:end w:w="120" w:type="dxa"/>
            </w:tcMar>
            <w:vAlign w:val="center"/>
            <w:shd w:fill="F5F8F6"/>
          </w:tcPr>
          <w:p>
            <w:pPr>
              <w:spacing w:after="0" w:line="252" w:lineRule="auto"/>
            </w:pPr>
            <w:r>
              <w:rPr>
                <w:rFonts w:ascii="Arial" w:hAnsi="Arial"/>
                <w:color w:val="22313A"/>
                <w:sz w:val="17"/>
              </w:rPr>
              <w:t>Data sharing</w:t>
            </w:r>
          </w:p>
        </w:tc>
      </w:tr>
      <w:tr>
        <w:tc>
          <w:tcPr>
            <w:tcW w:type="dxa" w:w="6336"/>
            <w:tcMar>
              <w:top w:w="100" w:type="dxa"/>
              <w:start w:w="120" w:type="dxa"/>
              <w:bottom w:w="100" w:type="dxa"/>
              <w:end w:w="120" w:type="dxa"/>
            </w:tcMar>
            <w:vAlign w:val="center"/>
          </w:tcPr>
          <w:p>
            <w:pPr>
              <w:spacing w:after="0" w:line="252" w:lineRule="auto"/>
            </w:pPr>
            <w:r>
              <w:rPr>
                <w:rFonts w:ascii="Arial" w:hAnsi="Arial"/>
                <w:color w:val="22313A"/>
                <w:sz w:val="17"/>
              </w:rPr>
              <w:t>User Choice/Control; User Access, Edit and Deletion; Do Not Track</w:t>
            </w:r>
          </w:p>
        </w:tc>
        <w:tc>
          <w:tcPr>
            <w:tcW w:type="dxa" w:w="3672"/>
            <w:tcMar>
              <w:top w:w="100" w:type="dxa"/>
              <w:start w:w="120" w:type="dxa"/>
              <w:bottom w:w="100" w:type="dxa"/>
              <w:end w:w="120" w:type="dxa"/>
            </w:tcMar>
            <w:vAlign w:val="center"/>
          </w:tcPr>
          <w:p>
            <w:pPr>
              <w:spacing w:after="0" w:line="252" w:lineRule="auto"/>
            </w:pPr>
            <w:r>
              <w:rPr>
                <w:rFonts w:ascii="Arial" w:hAnsi="Arial"/>
                <w:color w:val="22313A"/>
                <w:sz w:val="17"/>
              </w:rPr>
              <w:t>User agency</w:t>
            </w:r>
          </w:p>
        </w:tc>
      </w:tr>
      <w:tr>
        <w:tc>
          <w:tcPr>
            <w:tcW w:type="dxa" w:w="6336"/>
            <w:tcMar>
              <w:top w:w="100" w:type="dxa"/>
              <w:start w:w="120" w:type="dxa"/>
              <w:bottom w:w="100" w:type="dxa"/>
              <w:end w:w="120" w:type="dxa"/>
            </w:tcMar>
            <w:vAlign w:val="center"/>
            <w:shd w:fill="F5F8F6"/>
          </w:tcPr>
          <w:p>
            <w:pPr>
              <w:spacing w:after="0" w:line="252" w:lineRule="auto"/>
            </w:pPr>
            <w:r>
              <w:rPr>
                <w:rFonts w:ascii="Arial" w:hAnsi="Arial"/>
                <w:color w:val="22313A"/>
                <w:sz w:val="17"/>
              </w:rPr>
              <w:t>Data Retention; Data Security; Policy Change; International and Specific Audiences</w:t>
            </w:r>
          </w:p>
        </w:tc>
        <w:tc>
          <w:tcPr>
            <w:tcW w:type="dxa" w:w="3672"/>
            <w:tcMar>
              <w:top w:w="100" w:type="dxa"/>
              <w:start w:w="120" w:type="dxa"/>
              <w:bottom w:w="100" w:type="dxa"/>
              <w:end w:w="120" w:type="dxa"/>
            </w:tcMar>
            <w:vAlign w:val="center"/>
            <w:shd w:fill="F5F8F6"/>
          </w:tcPr>
          <w:p>
            <w:pPr>
              <w:spacing w:after="0" w:line="252" w:lineRule="auto"/>
            </w:pPr>
            <w:r>
              <w:rPr>
                <w:rFonts w:ascii="Arial" w:hAnsi="Arial"/>
                <w:color w:val="22313A"/>
                <w:sz w:val="17"/>
              </w:rPr>
              <w:t>Legal language</w:t>
            </w:r>
          </w:p>
        </w:tc>
      </w:tr>
      <w:tr>
        <w:tc>
          <w:tcPr>
            <w:tcW w:type="dxa" w:w="6336"/>
            <w:tcMar>
              <w:top w:w="100" w:type="dxa"/>
              <w:start w:w="120" w:type="dxa"/>
              <w:bottom w:w="100" w:type="dxa"/>
              <w:end w:w="120" w:type="dxa"/>
            </w:tcMar>
            <w:vAlign w:val="center"/>
          </w:tcPr>
          <w:p>
            <w:pPr>
              <w:spacing w:after="0" w:line="252" w:lineRule="auto"/>
            </w:pPr>
            <w:r>
              <w:rPr>
                <w:rFonts w:ascii="Arial" w:hAnsi="Arial"/>
                <w:color w:val="22313A"/>
                <w:sz w:val="17"/>
              </w:rPr>
              <w:t>Other</w:t>
            </w:r>
          </w:p>
        </w:tc>
        <w:tc>
          <w:tcPr>
            <w:tcW w:type="dxa" w:w="3672"/>
            <w:tcMar>
              <w:top w:w="100" w:type="dxa"/>
              <w:start w:w="120" w:type="dxa"/>
              <w:bottom w:w="100" w:type="dxa"/>
              <w:end w:w="120" w:type="dxa"/>
            </w:tcMar>
            <w:vAlign w:val="center"/>
          </w:tcPr>
          <w:p>
            <w:pPr>
              <w:spacing w:after="0" w:line="252" w:lineRule="auto"/>
            </w:pPr>
            <w:r>
              <w:rPr>
                <w:rFonts w:ascii="Arial" w:hAnsi="Arial"/>
                <w:color w:val="22313A"/>
                <w:sz w:val="17"/>
              </w:rPr>
              <w:t>No mapped product category</w:t>
            </w:r>
          </w:p>
        </w:tc>
      </w:tr>
      <w:tr>
        <w:tc>
          <w:tcPr>
            <w:tcW w:type="dxa" w:w="6336"/>
            <w:tcMar>
              <w:top w:w="100" w:type="dxa"/>
              <w:start w:w="120" w:type="dxa"/>
              <w:bottom w:w="100" w:type="dxa"/>
              <w:end w:w="120" w:type="dxa"/>
            </w:tcMar>
            <w:vAlign w:val="center"/>
            <w:shd w:fill="F5F8F6"/>
          </w:tcPr>
          <w:p>
            <w:pPr>
              <w:spacing w:after="0" w:line="252" w:lineRule="auto"/>
            </w:pPr>
            <w:r>
              <w:rPr>
                <w:rFonts w:ascii="Arial" w:hAnsi="Arial"/>
                <w:color w:val="22313A"/>
                <w:sz w:val="17"/>
              </w:rPr>
              <w:t>Readability</w:t>
            </w:r>
          </w:p>
        </w:tc>
        <w:tc>
          <w:tcPr>
            <w:tcW w:type="dxa" w:w="3672"/>
            <w:tcMar>
              <w:top w:w="100" w:type="dxa"/>
              <w:start w:w="120" w:type="dxa"/>
              <w:bottom w:w="100" w:type="dxa"/>
              <w:end w:w="120" w:type="dxa"/>
            </w:tcMar>
            <w:vAlign w:val="center"/>
            <w:shd w:fill="F5F8F6"/>
          </w:tcPr>
          <w:p>
            <w:pPr>
              <w:spacing w:after="0" w:line="252" w:lineRule="auto"/>
            </w:pPr>
            <w:r>
              <w:rPr>
                <w:rFonts w:ascii="Arial" w:hAnsi="Arial"/>
                <w:color w:val="22313A"/>
                <w:sz w:val="17"/>
              </w:rPr>
              <w:t>Not learned from OPP-115; remains a separate text-length heuristic</w:t>
            </w:r>
          </w:p>
        </w:tc>
      </w:tr>
    </w:tbl>
    <w:p>
      <w:pPr>
        <w:spacing w:after="20"/>
      </w:pPr>
    </w:p>
    <w:p>
      <w:r>
        <w:br w:type="page"/>
      </w:r>
    </w:p>
    <w:p>
      <w:pPr>
        <w:pStyle w:val="Heading1"/>
        <w:keepNext/>
        <w:spacing w:before="160" w:after="80"/>
      </w:pPr>
      <w:r>
        <w:rPr>
          <w:rFonts w:ascii="Arial" w:hAnsi="Arial"/>
          <w:b/>
          <w:color w:val="176B57"/>
          <w:sz w:val="32"/>
        </w:rPr>
        <w:t>2. Evaluation and limits</w:t>
      </w:r>
    </w:p>
    <w:p>
      <w:pPr>
        <w:spacing w:after="100" w:line="269" w:lineRule="auto"/>
      </w:pPr>
      <w:r>
        <w:rPr>
          <w:rFonts w:ascii="Arial" w:hAnsi="Arial"/>
          <w:color w:val="22313A"/>
          <w:sz w:val="21"/>
        </w:rPr>
        <w:t>The validation set contains 862 segments from 23 policies not used in training. Holding out whole policies reduces leakage from repeated writing within a single policy. Metrics below use the model's fixed 0.5 decision threshold.</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232"/>
            <w:shd w:fill="176B57"/>
            <w:tcMar>
              <w:top w:w="100" w:type="dxa"/>
              <w:start w:w="120" w:type="dxa"/>
              <w:bottom w:w="100" w:type="dxa"/>
              <w:end w:w="120" w:type="dxa"/>
            </w:tcMar>
            <w:vAlign w:val="center"/>
          </w:tcPr>
          <w:p>
            <w:pPr>
              <w:spacing w:after="0"/>
            </w:pPr>
            <w:r>
              <w:rPr>
                <w:rFonts w:ascii="Arial" w:hAnsi="Arial"/>
                <w:b/>
                <w:color w:val="FFFFFF"/>
                <w:sz w:val="17"/>
              </w:rPr>
              <w:t>Metric</w:t>
            </w:r>
          </w:p>
        </w:tc>
        <w:tc>
          <w:tcPr>
            <w:tcW w:type="dxa" w:w="1800"/>
            <w:shd w:fill="176B57"/>
            <w:tcMar>
              <w:top w:w="100" w:type="dxa"/>
              <w:start w:w="120" w:type="dxa"/>
              <w:bottom w:w="100" w:type="dxa"/>
              <w:end w:w="120" w:type="dxa"/>
            </w:tcMar>
            <w:vAlign w:val="center"/>
          </w:tcPr>
          <w:p>
            <w:pPr>
              <w:spacing w:after="0"/>
            </w:pPr>
            <w:r>
              <w:rPr>
                <w:rFonts w:ascii="Arial" w:hAnsi="Arial"/>
                <w:b/>
                <w:color w:val="FFFFFF"/>
                <w:sz w:val="17"/>
              </w:rPr>
              <w:t>Held-out result</w:t>
            </w:r>
          </w:p>
        </w:tc>
        <w:tc>
          <w:tcPr>
            <w:tcW w:type="dxa" w:w="5976"/>
            <w:shd w:fill="176B57"/>
            <w:tcMar>
              <w:top w:w="100" w:type="dxa"/>
              <w:start w:w="120" w:type="dxa"/>
              <w:bottom w:w="100" w:type="dxa"/>
              <w:end w:w="120" w:type="dxa"/>
            </w:tcMar>
            <w:vAlign w:val="center"/>
          </w:tcPr>
          <w:p>
            <w:pPr>
              <w:spacing w:after="0"/>
            </w:pPr>
            <w:r>
              <w:rPr>
                <w:rFonts w:ascii="Arial" w:hAnsi="Arial"/>
                <w:b/>
                <w:color w:val="FFFFFF"/>
                <w:sz w:val="17"/>
              </w:rPr>
              <w:t>How to read it</w:t>
            </w:r>
          </w:p>
        </w:tc>
      </w:tr>
      <w:tr>
        <w:tc>
          <w:tcPr>
            <w:tcW w:type="dxa" w:w="2232"/>
            <w:tcMar>
              <w:top w:w="100" w:type="dxa"/>
              <w:start w:w="120" w:type="dxa"/>
              <w:bottom w:w="100" w:type="dxa"/>
              <w:end w:w="120" w:type="dxa"/>
            </w:tcMar>
            <w:vAlign w:val="center"/>
          </w:tcPr>
          <w:p>
            <w:pPr>
              <w:spacing w:after="0" w:line="252" w:lineRule="auto"/>
            </w:pPr>
            <w:r>
              <w:rPr>
                <w:rFonts w:ascii="Arial" w:hAnsi="Arial"/>
                <w:color w:val="22313A"/>
                <w:sz w:val="17"/>
              </w:rPr>
              <w:t>Micro precision</w:t>
            </w:r>
          </w:p>
        </w:tc>
        <w:tc>
          <w:tcPr>
            <w:tcW w:type="dxa" w:w="1800"/>
            <w:tcMar>
              <w:top w:w="100" w:type="dxa"/>
              <w:start w:w="120" w:type="dxa"/>
              <w:bottom w:w="100" w:type="dxa"/>
              <w:end w:w="120" w:type="dxa"/>
            </w:tcMar>
            <w:vAlign w:val="center"/>
          </w:tcPr>
          <w:p>
            <w:pPr>
              <w:spacing w:after="0" w:line="252" w:lineRule="auto"/>
            </w:pPr>
            <w:r>
              <w:rPr>
                <w:rFonts w:ascii="Arial" w:hAnsi="Arial"/>
                <w:color w:val="22313A"/>
                <w:sz w:val="17"/>
              </w:rPr>
              <w:t>0.7633</w:t>
            </w:r>
          </w:p>
        </w:tc>
        <w:tc>
          <w:tcPr>
            <w:tcW w:type="dxa" w:w="5976"/>
            <w:tcMar>
              <w:top w:w="100" w:type="dxa"/>
              <w:start w:w="120" w:type="dxa"/>
              <w:bottom w:w="100" w:type="dxa"/>
              <w:end w:w="120" w:type="dxa"/>
            </w:tcMar>
            <w:vAlign w:val="center"/>
          </w:tcPr>
          <w:p>
            <w:pPr>
              <w:spacing w:after="0" w:line="252" w:lineRule="auto"/>
            </w:pPr>
            <w:r>
              <w:rPr>
                <w:rFonts w:ascii="Arial" w:hAnsi="Arial"/>
                <w:color w:val="22313A"/>
                <w:sz w:val="17"/>
              </w:rPr>
              <w:t>Of predicted labels, about 76% matched a held-out annotation.</w:t>
            </w:r>
          </w:p>
        </w:tc>
      </w:tr>
      <w:tr>
        <w:tc>
          <w:tcPr>
            <w:tcW w:type="dxa" w:w="2232"/>
            <w:tcMar>
              <w:top w:w="100" w:type="dxa"/>
              <w:start w:w="120" w:type="dxa"/>
              <w:bottom w:w="100" w:type="dxa"/>
              <w:end w:w="120" w:type="dxa"/>
            </w:tcMar>
            <w:vAlign w:val="center"/>
            <w:shd w:fill="F5F8F6"/>
          </w:tcPr>
          <w:p>
            <w:pPr>
              <w:spacing w:after="0" w:line="252" w:lineRule="auto"/>
            </w:pPr>
            <w:r>
              <w:rPr>
                <w:rFonts w:ascii="Arial" w:hAnsi="Arial"/>
                <w:color w:val="22313A"/>
                <w:sz w:val="17"/>
              </w:rPr>
              <w:t>Micro recall</w:t>
            </w:r>
          </w:p>
        </w:tc>
        <w:tc>
          <w:tcPr>
            <w:tcW w:type="dxa" w:w="1800"/>
            <w:tcMar>
              <w:top w:w="100" w:type="dxa"/>
              <w:start w:w="120" w:type="dxa"/>
              <w:bottom w:w="100" w:type="dxa"/>
              <w:end w:w="120" w:type="dxa"/>
            </w:tcMar>
            <w:vAlign w:val="center"/>
            <w:shd w:fill="F5F8F6"/>
          </w:tcPr>
          <w:p>
            <w:pPr>
              <w:spacing w:after="0" w:line="252" w:lineRule="auto"/>
            </w:pPr>
            <w:r>
              <w:rPr>
                <w:rFonts w:ascii="Arial" w:hAnsi="Arial"/>
                <w:color w:val="22313A"/>
                <w:sz w:val="17"/>
              </w:rPr>
              <w:t>0.6669</w:t>
            </w:r>
          </w:p>
        </w:tc>
        <w:tc>
          <w:tcPr>
            <w:tcW w:type="dxa" w:w="5976"/>
            <w:tcMar>
              <w:top w:w="100" w:type="dxa"/>
              <w:start w:w="120" w:type="dxa"/>
              <w:bottom w:w="100" w:type="dxa"/>
              <w:end w:w="120" w:type="dxa"/>
            </w:tcMar>
            <w:vAlign w:val="center"/>
            <w:shd w:fill="F5F8F6"/>
          </w:tcPr>
          <w:p>
            <w:pPr>
              <w:spacing w:after="0" w:line="252" w:lineRule="auto"/>
            </w:pPr>
            <w:r>
              <w:rPr>
                <w:rFonts w:ascii="Arial" w:hAnsi="Arial"/>
                <w:color w:val="22313A"/>
                <w:sz w:val="17"/>
              </w:rPr>
              <w:t>The model found about 67% of held-out annotation labels.</w:t>
            </w:r>
          </w:p>
        </w:tc>
      </w:tr>
      <w:tr>
        <w:tc>
          <w:tcPr>
            <w:tcW w:type="dxa" w:w="2232"/>
            <w:tcMar>
              <w:top w:w="100" w:type="dxa"/>
              <w:start w:w="120" w:type="dxa"/>
              <w:bottom w:w="100" w:type="dxa"/>
              <w:end w:w="120" w:type="dxa"/>
            </w:tcMar>
            <w:vAlign w:val="center"/>
          </w:tcPr>
          <w:p>
            <w:pPr>
              <w:spacing w:after="0" w:line="252" w:lineRule="auto"/>
            </w:pPr>
            <w:r>
              <w:rPr>
                <w:rFonts w:ascii="Arial" w:hAnsi="Arial"/>
                <w:color w:val="22313A"/>
                <w:sz w:val="17"/>
              </w:rPr>
              <w:t>Micro F1</w:t>
            </w:r>
          </w:p>
        </w:tc>
        <w:tc>
          <w:tcPr>
            <w:tcW w:type="dxa" w:w="1800"/>
            <w:tcMar>
              <w:top w:w="100" w:type="dxa"/>
              <w:start w:w="120" w:type="dxa"/>
              <w:bottom w:w="100" w:type="dxa"/>
              <w:end w:w="120" w:type="dxa"/>
            </w:tcMar>
            <w:vAlign w:val="center"/>
          </w:tcPr>
          <w:p>
            <w:pPr>
              <w:spacing w:after="0" w:line="252" w:lineRule="auto"/>
            </w:pPr>
            <w:r>
              <w:rPr>
                <w:rFonts w:ascii="Arial" w:hAnsi="Arial"/>
                <w:color w:val="22313A"/>
                <w:sz w:val="17"/>
              </w:rPr>
              <w:t>0.7119</w:t>
            </w:r>
          </w:p>
        </w:tc>
        <w:tc>
          <w:tcPr>
            <w:tcW w:type="dxa" w:w="5976"/>
            <w:tcMar>
              <w:top w:w="100" w:type="dxa"/>
              <w:start w:w="120" w:type="dxa"/>
              <w:bottom w:w="100" w:type="dxa"/>
              <w:end w:w="120" w:type="dxa"/>
            </w:tcMar>
            <w:vAlign w:val="center"/>
          </w:tcPr>
          <w:p>
            <w:pPr>
              <w:spacing w:after="0" w:line="252" w:lineRule="auto"/>
            </w:pPr>
            <w:r>
              <w:rPr>
                <w:rFonts w:ascii="Arial" w:hAnsi="Arial"/>
                <w:color w:val="22313A"/>
                <w:sz w:val="17"/>
              </w:rPr>
              <w:t>Combined precision and recall across labels.</w:t>
            </w:r>
          </w:p>
        </w:tc>
      </w:tr>
      <w:tr>
        <w:tc>
          <w:tcPr>
            <w:tcW w:type="dxa" w:w="2232"/>
            <w:tcMar>
              <w:top w:w="100" w:type="dxa"/>
              <w:start w:w="120" w:type="dxa"/>
              <w:bottom w:w="100" w:type="dxa"/>
              <w:end w:w="120" w:type="dxa"/>
            </w:tcMar>
            <w:vAlign w:val="center"/>
            <w:shd w:fill="F5F8F6"/>
          </w:tcPr>
          <w:p>
            <w:pPr>
              <w:spacing w:after="0" w:line="252" w:lineRule="auto"/>
            </w:pPr>
            <w:r>
              <w:rPr>
                <w:rFonts w:ascii="Arial" w:hAnsi="Arial"/>
                <w:color w:val="22313A"/>
                <w:sz w:val="17"/>
              </w:rPr>
              <w:t>Macro F1</w:t>
            </w:r>
          </w:p>
        </w:tc>
        <w:tc>
          <w:tcPr>
            <w:tcW w:type="dxa" w:w="1800"/>
            <w:tcMar>
              <w:top w:w="100" w:type="dxa"/>
              <w:start w:w="120" w:type="dxa"/>
              <w:bottom w:w="100" w:type="dxa"/>
              <w:end w:w="120" w:type="dxa"/>
            </w:tcMar>
            <w:vAlign w:val="center"/>
            <w:shd w:fill="F5F8F6"/>
          </w:tcPr>
          <w:p>
            <w:pPr>
              <w:spacing w:after="0" w:line="252" w:lineRule="auto"/>
            </w:pPr>
            <w:r>
              <w:rPr>
                <w:rFonts w:ascii="Arial" w:hAnsi="Arial"/>
                <w:color w:val="22313A"/>
                <w:sz w:val="17"/>
              </w:rPr>
              <w:t>0.6150</w:t>
            </w:r>
          </w:p>
        </w:tc>
        <w:tc>
          <w:tcPr>
            <w:tcW w:type="dxa" w:w="5976"/>
            <w:tcMar>
              <w:top w:w="100" w:type="dxa"/>
              <w:start w:w="120" w:type="dxa"/>
              <w:bottom w:w="100" w:type="dxa"/>
              <w:end w:w="120" w:type="dxa"/>
            </w:tcMar>
            <w:vAlign w:val="center"/>
            <w:shd w:fill="F5F8F6"/>
          </w:tcPr>
          <w:p>
            <w:pPr>
              <w:spacing w:after="0" w:line="252" w:lineRule="auto"/>
            </w:pPr>
            <w:r>
              <w:rPr>
                <w:rFonts w:ascii="Arial" w:hAnsi="Arial"/>
                <w:color w:val="22313A"/>
                <w:sz w:val="17"/>
              </w:rPr>
              <w:t>Average label-level F1; exposes weaker rare categories.</w:t>
            </w:r>
          </w:p>
        </w:tc>
      </w:tr>
      <w:tr>
        <w:tc>
          <w:tcPr>
            <w:tcW w:type="dxa" w:w="2232"/>
            <w:tcMar>
              <w:top w:w="100" w:type="dxa"/>
              <w:start w:w="120" w:type="dxa"/>
              <w:bottom w:w="100" w:type="dxa"/>
              <w:end w:w="120" w:type="dxa"/>
            </w:tcMar>
            <w:vAlign w:val="center"/>
          </w:tcPr>
          <w:p>
            <w:pPr>
              <w:spacing w:after="0" w:line="252" w:lineRule="auto"/>
            </w:pPr>
            <w:r>
              <w:rPr>
                <w:rFonts w:ascii="Arial" w:hAnsi="Arial"/>
                <w:color w:val="22313A"/>
                <w:sz w:val="17"/>
              </w:rPr>
              <w:t>Exact label-set match</w:t>
            </w:r>
          </w:p>
        </w:tc>
        <w:tc>
          <w:tcPr>
            <w:tcW w:type="dxa" w:w="1800"/>
            <w:tcMar>
              <w:top w:w="100" w:type="dxa"/>
              <w:start w:w="120" w:type="dxa"/>
              <w:bottom w:w="100" w:type="dxa"/>
              <w:end w:w="120" w:type="dxa"/>
            </w:tcMar>
            <w:vAlign w:val="center"/>
          </w:tcPr>
          <w:p>
            <w:pPr>
              <w:spacing w:after="0" w:line="252" w:lineRule="auto"/>
            </w:pPr>
            <w:r>
              <w:rPr>
                <w:rFonts w:ascii="Arial" w:hAnsi="Arial"/>
                <w:color w:val="22313A"/>
                <w:sz w:val="17"/>
              </w:rPr>
              <w:t>0.3805</w:t>
            </w:r>
          </w:p>
        </w:tc>
        <w:tc>
          <w:tcPr>
            <w:tcW w:type="dxa" w:w="5976"/>
            <w:tcMar>
              <w:top w:w="100" w:type="dxa"/>
              <w:start w:w="120" w:type="dxa"/>
              <w:bottom w:w="100" w:type="dxa"/>
              <w:end w:w="120" w:type="dxa"/>
            </w:tcMar>
            <w:vAlign w:val="center"/>
          </w:tcPr>
          <w:p>
            <w:pPr>
              <w:spacing w:after="0" w:line="252" w:lineRule="auto"/>
            </w:pPr>
            <w:r>
              <w:rPr>
                <w:rFonts w:ascii="Arial" w:hAnsi="Arial"/>
                <w:color w:val="22313A"/>
                <w:sz w:val="17"/>
              </w:rPr>
              <w:t>All labels for a segment matched in about 38% of examples.</w:t>
            </w:r>
          </w:p>
        </w:tc>
      </w:tr>
    </w:tbl>
    <w:p>
      <w:pPr>
        <w:spacing w:after="20"/>
      </w:pPr>
    </w:p>
    <w:p>
      <w:pPr>
        <w:pStyle w:val="Heading2"/>
        <w:keepNext/>
        <w:spacing w:before="100" w:after="80"/>
      </w:pPr>
      <w:r>
        <w:rPr>
          <w:rFonts w:ascii="Arial" w:hAnsi="Arial"/>
          <w:b/>
          <w:color w:val="22313A"/>
          <w:sz w:val="23"/>
        </w:rPr>
        <w:t>Uneven category performance</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5256"/>
            <w:shd w:fill="176B57"/>
            <w:tcMar>
              <w:top w:w="100" w:type="dxa"/>
              <w:start w:w="120" w:type="dxa"/>
              <w:bottom w:w="100" w:type="dxa"/>
              <w:end w:w="120" w:type="dxa"/>
            </w:tcMar>
            <w:vAlign w:val="center"/>
          </w:tcPr>
          <w:p>
            <w:pPr>
              <w:spacing w:after="0"/>
            </w:pPr>
            <w:r>
              <w:rPr>
                <w:rFonts w:ascii="Arial" w:hAnsi="Arial"/>
                <w:b/>
                <w:color w:val="FFFFFF"/>
                <w:sz w:val="17"/>
              </w:rPr>
              <w:t>Label</w:t>
            </w:r>
          </w:p>
        </w:tc>
        <w:tc>
          <w:tcPr>
            <w:tcW w:type="dxa" w:w="1728"/>
            <w:shd w:fill="176B57"/>
            <w:tcMar>
              <w:top w:w="100" w:type="dxa"/>
              <w:start w:w="120" w:type="dxa"/>
              <w:bottom w:w="100" w:type="dxa"/>
              <w:end w:w="120" w:type="dxa"/>
            </w:tcMar>
            <w:vAlign w:val="center"/>
          </w:tcPr>
          <w:p>
            <w:pPr>
              <w:spacing w:after="0"/>
            </w:pPr>
            <w:r>
              <w:rPr>
                <w:rFonts w:ascii="Arial" w:hAnsi="Arial"/>
                <w:b/>
                <w:color w:val="FFFFFF"/>
                <w:sz w:val="17"/>
              </w:rPr>
              <w:t>F1</w:t>
            </w:r>
          </w:p>
        </w:tc>
        <w:tc>
          <w:tcPr>
            <w:tcW w:type="dxa" w:w="3024"/>
            <w:shd w:fill="176B57"/>
            <w:tcMar>
              <w:top w:w="100" w:type="dxa"/>
              <w:start w:w="120" w:type="dxa"/>
              <w:bottom w:w="100" w:type="dxa"/>
              <w:end w:w="120" w:type="dxa"/>
            </w:tcMar>
            <w:vAlign w:val="center"/>
          </w:tcPr>
          <w:p>
            <w:pPr>
              <w:spacing w:after="0"/>
            </w:pPr>
            <w:r>
              <w:rPr>
                <w:rFonts w:ascii="Arial" w:hAnsi="Arial"/>
                <w:b/>
                <w:color w:val="FFFFFF"/>
                <w:sz w:val="17"/>
              </w:rPr>
              <w:t>Positive holdout segments</w:t>
            </w:r>
          </w:p>
        </w:tc>
      </w:tr>
      <w:tr>
        <w:tc>
          <w:tcPr>
            <w:tcW w:type="dxa" w:w="5256"/>
            <w:tcMar>
              <w:top w:w="100" w:type="dxa"/>
              <w:start w:w="120" w:type="dxa"/>
              <w:bottom w:w="100" w:type="dxa"/>
              <w:end w:w="120" w:type="dxa"/>
            </w:tcMar>
            <w:vAlign w:val="center"/>
          </w:tcPr>
          <w:p>
            <w:pPr>
              <w:spacing w:after="0" w:line="252" w:lineRule="auto"/>
            </w:pPr>
            <w:r>
              <w:rPr>
                <w:rFonts w:ascii="Arial" w:hAnsi="Arial"/>
                <w:color w:val="22313A"/>
                <w:sz w:val="17"/>
              </w:rPr>
              <w:t>First Party Collection/Use</w:t>
            </w:r>
          </w:p>
        </w:tc>
        <w:tc>
          <w:tcPr>
            <w:tcW w:type="dxa" w:w="1728"/>
            <w:tcMar>
              <w:top w:w="100" w:type="dxa"/>
              <w:start w:w="120" w:type="dxa"/>
              <w:bottom w:w="100" w:type="dxa"/>
              <w:end w:w="120" w:type="dxa"/>
            </w:tcMar>
            <w:vAlign w:val="center"/>
          </w:tcPr>
          <w:p>
            <w:pPr>
              <w:spacing w:after="0" w:line="252" w:lineRule="auto"/>
            </w:pPr>
            <w:r>
              <w:rPr>
                <w:rFonts w:ascii="Arial" w:hAnsi="Arial"/>
                <w:color w:val="22313A"/>
                <w:sz w:val="17"/>
              </w:rPr>
              <w:t>0.7671</w:t>
            </w:r>
          </w:p>
        </w:tc>
        <w:tc>
          <w:tcPr>
            <w:tcW w:type="dxa" w:w="3024"/>
            <w:tcMar>
              <w:top w:w="100" w:type="dxa"/>
              <w:start w:w="120" w:type="dxa"/>
              <w:bottom w:w="100" w:type="dxa"/>
              <w:end w:w="120" w:type="dxa"/>
            </w:tcMar>
            <w:vAlign w:val="center"/>
          </w:tcPr>
          <w:p>
            <w:pPr>
              <w:spacing w:after="0" w:line="252" w:lineRule="auto"/>
            </w:pPr>
            <w:r>
              <w:rPr>
                <w:rFonts w:ascii="Arial" w:hAnsi="Arial"/>
                <w:color w:val="22313A"/>
                <w:sz w:val="17"/>
              </w:rPr>
              <w:t>356</w:t>
            </w:r>
          </w:p>
        </w:tc>
      </w:tr>
      <w:tr>
        <w:tc>
          <w:tcPr>
            <w:tcW w:type="dxa" w:w="5256"/>
            <w:tcMar>
              <w:top w:w="100" w:type="dxa"/>
              <w:start w:w="120" w:type="dxa"/>
              <w:bottom w:w="100" w:type="dxa"/>
              <w:end w:w="120" w:type="dxa"/>
            </w:tcMar>
            <w:vAlign w:val="center"/>
            <w:shd w:fill="F5F8F6"/>
          </w:tcPr>
          <w:p>
            <w:pPr>
              <w:spacing w:after="0" w:line="252" w:lineRule="auto"/>
            </w:pPr>
            <w:r>
              <w:rPr>
                <w:rFonts w:ascii="Arial" w:hAnsi="Arial"/>
                <w:color w:val="22313A"/>
                <w:sz w:val="17"/>
              </w:rPr>
              <w:t>Third Party Sharing/Collection</w:t>
            </w:r>
          </w:p>
        </w:tc>
        <w:tc>
          <w:tcPr>
            <w:tcW w:type="dxa" w:w="1728"/>
            <w:tcMar>
              <w:top w:w="100" w:type="dxa"/>
              <w:start w:w="120" w:type="dxa"/>
              <w:bottom w:w="100" w:type="dxa"/>
              <w:end w:w="120" w:type="dxa"/>
            </w:tcMar>
            <w:vAlign w:val="center"/>
            <w:shd w:fill="F5F8F6"/>
          </w:tcPr>
          <w:p>
            <w:pPr>
              <w:spacing w:after="0" w:line="252" w:lineRule="auto"/>
            </w:pPr>
            <w:r>
              <w:rPr>
                <w:rFonts w:ascii="Arial" w:hAnsi="Arial"/>
                <w:color w:val="22313A"/>
                <w:sz w:val="17"/>
              </w:rPr>
              <w:t>0.7654</w:t>
            </w:r>
          </w:p>
        </w:tc>
        <w:tc>
          <w:tcPr>
            <w:tcW w:type="dxa" w:w="3024"/>
            <w:tcMar>
              <w:top w:w="100" w:type="dxa"/>
              <w:start w:w="120" w:type="dxa"/>
              <w:bottom w:w="100" w:type="dxa"/>
              <w:end w:w="120" w:type="dxa"/>
            </w:tcMar>
            <w:vAlign w:val="center"/>
            <w:shd w:fill="F5F8F6"/>
          </w:tcPr>
          <w:p>
            <w:pPr>
              <w:spacing w:after="0" w:line="252" w:lineRule="auto"/>
            </w:pPr>
            <w:r>
              <w:rPr>
                <w:rFonts w:ascii="Arial" w:hAnsi="Arial"/>
                <w:color w:val="22313A"/>
                <w:sz w:val="17"/>
              </w:rPr>
              <w:t>255</w:t>
            </w:r>
          </w:p>
        </w:tc>
      </w:tr>
      <w:tr>
        <w:tc>
          <w:tcPr>
            <w:tcW w:type="dxa" w:w="5256"/>
            <w:tcMar>
              <w:top w:w="100" w:type="dxa"/>
              <w:start w:w="120" w:type="dxa"/>
              <w:bottom w:w="100" w:type="dxa"/>
              <w:end w:w="120" w:type="dxa"/>
            </w:tcMar>
            <w:vAlign w:val="center"/>
          </w:tcPr>
          <w:p>
            <w:pPr>
              <w:spacing w:after="0" w:line="252" w:lineRule="auto"/>
            </w:pPr>
            <w:r>
              <w:rPr>
                <w:rFonts w:ascii="Arial" w:hAnsi="Arial"/>
                <w:color w:val="22313A"/>
                <w:sz w:val="17"/>
              </w:rPr>
              <w:t>Data Retention</w:t>
            </w:r>
          </w:p>
        </w:tc>
        <w:tc>
          <w:tcPr>
            <w:tcW w:type="dxa" w:w="1728"/>
            <w:tcMar>
              <w:top w:w="100" w:type="dxa"/>
              <w:start w:w="120" w:type="dxa"/>
              <w:bottom w:w="100" w:type="dxa"/>
              <w:end w:w="120" w:type="dxa"/>
            </w:tcMar>
            <w:vAlign w:val="center"/>
          </w:tcPr>
          <w:p>
            <w:pPr>
              <w:spacing w:after="0" w:line="252" w:lineRule="auto"/>
            </w:pPr>
            <w:r>
              <w:rPr>
                <w:rFonts w:ascii="Arial" w:hAnsi="Arial"/>
                <w:color w:val="22313A"/>
                <w:sz w:val="17"/>
              </w:rPr>
              <w:t>0.2439</w:t>
            </w:r>
          </w:p>
        </w:tc>
        <w:tc>
          <w:tcPr>
            <w:tcW w:type="dxa" w:w="3024"/>
            <w:tcMar>
              <w:top w:w="100" w:type="dxa"/>
              <w:start w:w="120" w:type="dxa"/>
              <w:bottom w:w="100" w:type="dxa"/>
              <w:end w:w="120" w:type="dxa"/>
            </w:tcMar>
            <w:vAlign w:val="center"/>
          </w:tcPr>
          <w:p>
            <w:pPr>
              <w:spacing w:after="0" w:line="252" w:lineRule="auto"/>
            </w:pPr>
            <w:r>
              <w:rPr>
                <w:rFonts w:ascii="Arial" w:hAnsi="Arial"/>
                <w:color w:val="22313A"/>
                <w:sz w:val="17"/>
              </w:rPr>
              <w:t>34</w:t>
            </w:r>
          </w:p>
        </w:tc>
      </w:tr>
      <w:tr>
        <w:tc>
          <w:tcPr>
            <w:tcW w:type="dxa" w:w="5256"/>
            <w:tcMar>
              <w:top w:w="100" w:type="dxa"/>
              <w:start w:w="120" w:type="dxa"/>
              <w:bottom w:w="100" w:type="dxa"/>
              <w:end w:w="120" w:type="dxa"/>
            </w:tcMar>
            <w:vAlign w:val="center"/>
            <w:shd w:fill="F5F8F6"/>
          </w:tcPr>
          <w:p>
            <w:pPr>
              <w:spacing w:after="0" w:line="252" w:lineRule="auto"/>
            </w:pPr>
            <w:r>
              <w:rPr>
                <w:rFonts w:ascii="Arial" w:hAnsi="Arial"/>
                <w:color w:val="22313A"/>
                <w:sz w:val="17"/>
              </w:rPr>
              <w:t>User Access, Edit and Deletion</w:t>
            </w:r>
          </w:p>
        </w:tc>
        <w:tc>
          <w:tcPr>
            <w:tcW w:type="dxa" w:w="1728"/>
            <w:tcMar>
              <w:top w:w="100" w:type="dxa"/>
              <w:start w:w="120" w:type="dxa"/>
              <w:bottom w:w="100" w:type="dxa"/>
              <w:end w:w="120" w:type="dxa"/>
            </w:tcMar>
            <w:vAlign w:val="center"/>
            <w:shd w:fill="F5F8F6"/>
          </w:tcPr>
          <w:p>
            <w:pPr>
              <w:spacing w:after="0" w:line="252" w:lineRule="auto"/>
            </w:pPr>
            <w:r>
              <w:rPr>
                <w:rFonts w:ascii="Arial" w:hAnsi="Arial"/>
                <w:color w:val="22313A"/>
                <w:sz w:val="17"/>
              </w:rPr>
              <w:t>0.5111</w:t>
            </w:r>
          </w:p>
        </w:tc>
        <w:tc>
          <w:tcPr>
            <w:tcW w:type="dxa" w:w="3024"/>
            <w:tcMar>
              <w:top w:w="100" w:type="dxa"/>
              <w:start w:w="120" w:type="dxa"/>
              <w:bottom w:w="100" w:type="dxa"/>
              <w:end w:w="120" w:type="dxa"/>
            </w:tcMar>
            <w:vAlign w:val="center"/>
            <w:shd w:fill="F5F8F6"/>
          </w:tcPr>
          <w:p>
            <w:pPr>
              <w:spacing w:after="0" w:line="252" w:lineRule="auto"/>
            </w:pPr>
            <w:r>
              <w:rPr>
                <w:rFonts w:ascii="Arial" w:hAnsi="Arial"/>
                <w:color w:val="22313A"/>
                <w:sz w:val="17"/>
              </w:rPr>
              <w:t>63</w:t>
            </w:r>
          </w:p>
        </w:tc>
      </w:tr>
      <w:tr>
        <w:tc>
          <w:tcPr>
            <w:tcW w:type="dxa" w:w="5256"/>
            <w:tcMar>
              <w:top w:w="100" w:type="dxa"/>
              <w:start w:w="120" w:type="dxa"/>
              <w:bottom w:w="100" w:type="dxa"/>
              <w:end w:w="120" w:type="dxa"/>
            </w:tcMar>
            <w:vAlign w:val="center"/>
          </w:tcPr>
          <w:p>
            <w:pPr>
              <w:spacing w:after="0" w:line="252" w:lineRule="auto"/>
            </w:pPr>
            <w:r>
              <w:rPr>
                <w:rFonts w:ascii="Arial" w:hAnsi="Arial"/>
                <w:color w:val="22313A"/>
                <w:sz w:val="17"/>
              </w:rPr>
              <w:t>Do Not Track</w:t>
            </w:r>
          </w:p>
        </w:tc>
        <w:tc>
          <w:tcPr>
            <w:tcW w:type="dxa" w:w="1728"/>
            <w:tcMar>
              <w:top w:w="100" w:type="dxa"/>
              <w:start w:w="120" w:type="dxa"/>
              <w:bottom w:w="100" w:type="dxa"/>
              <w:end w:w="120" w:type="dxa"/>
            </w:tcMar>
            <w:vAlign w:val="center"/>
          </w:tcPr>
          <w:p>
            <w:pPr>
              <w:spacing w:after="0" w:line="252" w:lineRule="auto"/>
            </w:pPr>
            <w:r>
              <w:rPr>
                <w:rFonts w:ascii="Arial" w:hAnsi="Arial"/>
                <w:color w:val="22313A"/>
                <w:sz w:val="17"/>
              </w:rPr>
              <w:t>0.5000</w:t>
            </w:r>
          </w:p>
        </w:tc>
        <w:tc>
          <w:tcPr>
            <w:tcW w:type="dxa" w:w="3024"/>
            <w:tcMar>
              <w:top w:w="100" w:type="dxa"/>
              <w:start w:w="120" w:type="dxa"/>
              <w:bottom w:w="100" w:type="dxa"/>
              <w:end w:w="120" w:type="dxa"/>
            </w:tcMar>
            <w:vAlign w:val="center"/>
          </w:tcPr>
          <w:p>
            <w:pPr>
              <w:spacing w:after="0" w:line="252" w:lineRule="auto"/>
            </w:pPr>
            <w:r>
              <w:rPr>
                <w:rFonts w:ascii="Arial" w:hAnsi="Arial"/>
                <w:color w:val="22313A"/>
                <w:sz w:val="17"/>
              </w:rPr>
              <w:t>6</w:t>
            </w:r>
          </w:p>
        </w:tc>
      </w:tr>
    </w:tbl>
    <w:p>
      <w:pPr>
        <w:spacing w:after="20"/>
      </w:pPr>
    </w:p>
    <w:p>
      <w:pPr>
        <w:spacing w:after="100" w:line="269" w:lineRule="auto"/>
      </w:pPr>
      <w:r>
        <w:rPr>
          <w:rFonts w:ascii="Arial" w:hAnsi="Arial"/>
          <w:color w:val="5F6D74"/>
          <w:sz w:val="19"/>
        </w:rPr>
        <w:t>Some categories are substantially weaker. Do Not Track has only six positive validation examples, making its score especially uncertain. Treat this as a baseline for a class demo, not a guarantee for current policies.</w:t>
      </w:r>
    </w:p>
    <w:p>
      <w:pPr>
        <w:pStyle w:val="Heading2"/>
        <w:keepNext/>
        <w:spacing w:before="100" w:after="80"/>
      </w:pPr>
      <w:r>
        <w:rPr>
          <w:rFonts w:ascii="Arial" w:hAnsi="Arial"/>
          <w:b/>
          <w:color w:val="22313A"/>
          <w:sz w:val="23"/>
        </w:rPr>
        <w:t>Known limitations</w:t>
      </w:r>
    </w:p>
    <w:p>
      <w:pPr>
        <w:pStyle w:val="ListBullet"/>
        <w:spacing w:after="60" w:line="259" w:lineRule="auto"/>
        <w:ind w:left="317" w:hanging="173"/>
      </w:pPr>
      <w:r>
        <w:rPr>
          <w:rFonts w:ascii="Arial" w:hAnsi="Arial"/>
          <w:color w:val="22313A"/>
          <w:sz w:val="20"/>
        </w:rPr>
        <w:t>OPP-115 is a small, historical 2016 corpus of English website policies; modern wording and app notices may differ.</w:t>
      </w:r>
    </w:p>
    <w:p>
      <w:pPr>
        <w:pStyle w:val="ListBullet"/>
        <w:spacing w:after="60" w:line="259" w:lineRule="auto"/>
        <w:ind w:left="317" w:hanging="173"/>
      </w:pPr>
      <w:r>
        <w:rPr>
          <w:rFonts w:ascii="Arial" w:hAnsi="Arial"/>
          <w:color w:val="22313A"/>
          <w:sz w:val="20"/>
        </w:rPr>
        <w:t>The labels describe policy topics, not whether a practice is good, bad, or legally compliant.</w:t>
      </w:r>
    </w:p>
    <w:p>
      <w:pPr>
        <w:pStyle w:val="ListBullet"/>
        <w:spacing w:after="60" w:line="259" w:lineRule="auto"/>
        <w:ind w:left="317" w:hanging="173"/>
      </w:pPr>
      <w:r>
        <w:rPr>
          <w:rFonts w:ascii="Arial" w:hAnsi="Arial"/>
          <w:color w:val="22313A"/>
          <w:sz w:val="20"/>
        </w:rPr>
        <w:t>Class balance is uneven. The model can miss secondary topics or suggest a topic for ambiguous wording.</w:t>
      </w:r>
    </w:p>
    <w:p>
      <w:pPr>
        <w:pStyle w:val="ListBullet"/>
        <w:spacing w:after="60" w:line="259" w:lineRule="auto"/>
        <w:ind w:left="317" w:hanging="173"/>
      </w:pPr>
      <w:r>
        <w:rPr>
          <w:rFonts w:ascii="Arial" w:hAnsi="Arial"/>
          <w:color w:val="22313A"/>
          <w:sz w:val="20"/>
        </w:rPr>
        <w:t>Scores are uncalibrated Naive Bayes estimates. No label above the threshold does not mean a clause is unimportant.</w:t>
      </w:r>
    </w:p>
    <w:p>
      <w:r>
        <w:br w:type="page"/>
      </w:r>
    </w:p>
    <w:p>
      <w:pPr>
        <w:pStyle w:val="Heading1"/>
        <w:keepNext/>
        <w:spacing w:before="160" w:after="80"/>
      </w:pPr>
      <w:r>
        <w:rPr>
          <w:rFonts w:ascii="Arial" w:hAnsi="Arial"/>
          <w:b/>
          <w:color w:val="176B57"/>
          <w:sz w:val="32"/>
        </w:rPr>
        <w:t>3. Integration and demo</w:t>
      </w:r>
    </w:p>
    <w:p>
      <w:pPr>
        <w:pStyle w:val="Heading2"/>
        <w:keepNext/>
        <w:spacing w:before="100" w:after="80"/>
      </w:pPr>
      <w:r>
        <w:rPr>
          <w:rFonts w:ascii="Arial" w:hAnsi="Arial"/>
          <w:b/>
          <w:color w:val="22313A"/>
          <w:sz w:val="23"/>
        </w:rPr>
        <w:t>Request-to-result path</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448"/>
            <w:shd w:fill="176B57"/>
            <w:tcMar>
              <w:top w:w="100" w:type="dxa"/>
              <w:start w:w="120" w:type="dxa"/>
              <w:bottom w:w="100" w:type="dxa"/>
              <w:end w:w="120" w:type="dxa"/>
            </w:tcMar>
            <w:vAlign w:val="center"/>
          </w:tcPr>
          <w:p>
            <w:pPr>
              <w:spacing w:after="0"/>
            </w:pPr>
            <w:r>
              <w:rPr>
                <w:rFonts w:ascii="Arial" w:hAnsi="Arial"/>
                <w:b/>
                <w:color w:val="FFFFFF"/>
                <w:sz w:val="16"/>
              </w:rPr>
              <w:t>1  React UI</w:t>
            </w:r>
          </w:p>
        </w:tc>
        <w:tc>
          <w:tcPr>
            <w:tcW w:type="dxa" w:w="2232"/>
            <w:shd w:fill="176B57"/>
            <w:tcMar>
              <w:top w:w="100" w:type="dxa"/>
              <w:start w:w="120" w:type="dxa"/>
              <w:bottom w:w="100" w:type="dxa"/>
              <w:end w:w="120" w:type="dxa"/>
            </w:tcMar>
            <w:vAlign w:val="center"/>
          </w:tcPr>
          <w:p>
            <w:pPr>
              <w:spacing w:after="0"/>
            </w:pPr>
            <w:r>
              <w:rPr>
                <w:rFonts w:ascii="Arial" w:hAnsi="Arial"/>
                <w:b/>
                <w:color w:val="FFFFFF"/>
                <w:sz w:val="16"/>
              </w:rPr>
              <w:t>2  Flask API</w:t>
            </w:r>
          </w:p>
        </w:tc>
        <w:tc>
          <w:tcPr>
            <w:tcW w:type="dxa" w:w="3024"/>
            <w:shd w:fill="176B57"/>
            <w:tcMar>
              <w:top w:w="100" w:type="dxa"/>
              <w:start w:w="120" w:type="dxa"/>
              <w:bottom w:w="100" w:type="dxa"/>
              <w:end w:w="120" w:type="dxa"/>
            </w:tcMar>
            <w:vAlign w:val="center"/>
          </w:tcPr>
          <w:p>
            <w:pPr>
              <w:spacing w:after="0"/>
            </w:pPr>
            <w:r>
              <w:rPr>
                <w:rFonts w:ascii="Arial" w:hAnsi="Arial"/>
                <w:b/>
                <w:color w:val="FFFFFF"/>
                <w:sz w:val="16"/>
              </w:rPr>
              <w:t>3  Two analyzers</w:t>
            </w:r>
          </w:p>
        </w:tc>
        <w:tc>
          <w:tcPr>
            <w:tcW w:type="dxa" w:w="2304"/>
            <w:shd w:fill="176B57"/>
            <w:tcMar>
              <w:top w:w="100" w:type="dxa"/>
              <w:start w:w="120" w:type="dxa"/>
              <w:bottom w:w="100" w:type="dxa"/>
              <w:end w:w="120" w:type="dxa"/>
            </w:tcMar>
            <w:vAlign w:val="center"/>
          </w:tcPr>
          <w:p>
            <w:pPr>
              <w:spacing w:after="0"/>
            </w:pPr>
            <w:r>
              <w:rPr>
                <w:rFonts w:ascii="Arial" w:hAnsi="Arial"/>
                <w:b/>
                <w:color w:val="FFFFFF"/>
                <w:sz w:val="16"/>
              </w:rPr>
              <w:t>4  UI response</w:t>
            </w:r>
          </w:p>
        </w:tc>
      </w:tr>
      <w:tr>
        <w:tc>
          <w:tcPr>
            <w:tcW w:type="dxa" w:w="2448"/>
            <w:tcMar>
              <w:top w:w="100" w:type="dxa"/>
              <w:start w:w="120" w:type="dxa"/>
              <w:bottom w:w="100" w:type="dxa"/>
              <w:end w:w="120" w:type="dxa"/>
            </w:tcMar>
            <w:vAlign w:val="center"/>
          </w:tcPr>
          <w:p>
            <w:pPr>
              <w:spacing w:after="0" w:line="252" w:lineRule="auto"/>
            </w:pPr>
            <w:r>
              <w:rPr>
                <w:rFonts w:ascii="Arial" w:hAnsi="Arial"/>
                <w:color w:val="22313A"/>
                <w:sz w:val="16"/>
              </w:rPr>
              <w:t>Policy text is split into clauses</w:t>
            </w:r>
          </w:p>
        </w:tc>
        <w:tc>
          <w:tcPr>
            <w:tcW w:type="dxa" w:w="2232"/>
            <w:tcMar>
              <w:top w:w="100" w:type="dxa"/>
              <w:start w:w="120" w:type="dxa"/>
              <w:bottom w:w="100" w:type="dxa"/>
              <w:end w:w="120" w:type="dxa"/>
            </w:tcMar>
            <w:vAlign w:val="center"/>
          </w:tcPr>
          <w:p>
            <w:pPr>
              <w:spacing w:after="0" w:line="252" w:lineRule="auto"/>
            </w:pPr>
            <w:r>
              <w:rPr>
                <w:rFonts w:ascii="Arial" w:hAnsi="Arial"/>
                <w:color w:val="22313A"/>
                <w:sz w:val="16"/>
              </w:rPr>
              <w:t>POST /api/v1/analyses</w:t>
            </w:r>
          </w:p>
        </w:tc>
        <w:tc>
          <w:tcPr>
            <w:tcW w:type="dxa" w:w="3024"/>
            <w:tcMar>
              <w:top w:w="100" w:type="dxa"/>
              <w:start w:w="120" w:type="dxa"/>
              <w:bottom w:w="100" w:type="dxa"/>
              <w:end w:w="120" w:type="dxa"/>
            </w:tcMar>
            <w:vAlign w:val="center"/>
          </w:tcPr>
          <w:p>
            <w:pPr>
              <w:spacing w:after="0" w:line="252" w:lineRule="auto"/>
            </w:pPr>
            <w:r>
              <w:rPr>
                <w:rFonts w:ascii="Arial" w:hAnsi="Arial"/>
                <w:color w:val="22313A"/>
                <w:sz w:val="16"/>
              </w:rPr>
              <w:t>Classifier tags clauses; rules engine scores evidence</w:t>
            </w:r>
          </w:p>
        </w:tc>
        <w:tc>
          <w:tcPr>
            <w:tcW w:type="dxa" w:w="2304"/>
            <w:tcMar>
              <w:top w:w="100" w:type="dxa"/>
              <w:start w:w="120" w:type="dxa"/>
              <w:bottom w:w="100" w:type="dxa"/>
              <w:end w:w="120" w:type="dxa"/>
            </w:tcMar>
            <w:vAlign w:val="center"/>
          </w:tcPr>
          <w:p>
            <w:pPr>
              <w:spacing w:after="0" w:line="252" w:lineRule="auto"/>
            </w:pPr>
            <w:r>
              <w:rPr>
                <w:rFonts w:ascii="Arial" w:hAnsi="Arial"/>
                <w:color w:val="22313A"/>
                <w:sz w:val="16"/>
              </w:rPr>
              <w:t>Categories, findings, and AI tags are displayed</w:t>
            </w:r>
          </w:p>
        </w:tc>
      </w:tr>
    </w:tbl>
    <w:p>
      <w:pPr>
        <w:spacing w:after="20"/>
      </w:pPr>
    </w:p>
    <w:p>
      <w:pPr>
        <w:spacing w:after="100" w:line="269" w:lineRule="auto"/>
      </w:pPr>
      <w:r>
        <w:rPr>
          <w:rFonts w:ascii="Arial" w:hAnsi="Arial"/>
          <w:color w:val="22313A"/>
          <w:sz w:val="21"/>
        </w:rPr>
        <w:t>The API response adds `classifier_version` and `clause_classifications` to the existing contract. Each classification contains a clause ID, short excerpt, and up to three labels whose model score is at least 0.5. The interface displays the highest-scoring mapped label for a clause and shows that tags are experimental.</w:t>
      </w:r>
    </w:p>
    <w:p>
      <w:pPr>
        <w:pStyle w:val="Heading2"/>
        <w:keepNext/>
        <w:spacing w:before="100" w:after="80"/>
      </w:pPr>
      <w:r>
        <w:rPr>
          <w:rFonts w:ascii="Arial" w:hAnsi="Arial"/>
          <w:b/>
          <w:color w:val="22313A"/>
          <w:sz w:val="23"/>
        </w:rPr>
        <w:t>Run the local demo</w:t>
      </w:r>
    </w:p>
    <w:p>
      <w:pPr>
        <w:spacing w:after="80" w:line="269" w:lineRule="auto"/>
      </w:pPr>
      <w:r>
        <w:rPr>
          <w:rFonts w:ascii="Arial" w:hAnsi="Arial"/>
          <w:color w:val="22313A"/>
          <w:sz w:val="19"/>
        </w:rPr>
        <w:t>Terminal 1: python backend/app.py</w:t>
      </w:r>
    </w:p>
    <w:p>
      <w:pPr>
        <w:spacing w:after="80" w:line="269" w:lineRule="auto"/>
      </w:pPr>
      <w:r>
        <w:rPr>
          <w:rFonts w:ascii="Arial" w:hAnsi="Arial"/>
          <w:color w:val="22313A"/>
          <w:sz w:val="19"/>
        </w:rPr>
        <w:t>Terminal 2: pnpm dev</w:t>
      </w:r>
    </w:p>
    <w:p>
      <w:pPr>
        <w:spacing w:after="80" w:line="269" w:lineRule="auto"/>
      </w:pPr>
      <w:r>
        <w:rPr>
          <w:rFonts w:ascii="Arial" w:hAnsi="Arial"/>
          <w:color w:val="22313A"/>
          <w:sz w:val="19"/>
        </w:rPr>
        <w:t>Open the Vite address printed by the UI command. Select Try sample policy or upload public/sample_privacy_policy.txt, then choose Analyze policy.</w:t>
      </w:r>
    </w:p>
    <w:p>
      <w:pPr>
        <w:spacing w:after="80" w:line="269" w:lineRule="auto"/>
      </w:pPr>
      <w:r>
        <w:rPr>
          <w:rFonts w:ascii="Arial" w:hAnsi="Arial"/>
          <w:color w:val="22313A"/>
          <w:sz w:val="19"/>
        </w:rPr>
        <w:t>Point out the Trust Score, rule findings, AI clause tags, and the disclaimer. Explain that topic suggestions do not affect the score.</w:t>
      </w:r>
    </w:p>
    <w:p>
      <w:pPr>
        <w:spacing w:after="100" w:line="269" w:lineRule="auto"/>
      </w:pPr>
      <w:r>
        <w:rPr>
          <w:rFonts w:ascii="Arial" w:hAnsi="Arial"/>
          <w:color w:val="5F6D74"/>
          <w:sz w:val="19"/>
        </w:rPr>
        <w:t>The sample policy is fictional and intentionally mentions collection, advertising sharing, open-ended retention, user requests, and security. The presenter script is in demo/DEMO_SCRIPT.md.</w:t>
      </w:r>
    </w:p>
    <w:p>
      <w:pPr>
        <w:pStyle w:val="Heading2"/>
        <w:keepNext/>
        <w:spacing w:before="100" w:after="80"/>
      </w:pPr>
      <w:r>
        <w:rPr>
          <w:rFonts w:ascii="Arial" w:hAnsi="Arial"/>
          <w:b/>
          <w:color w:val="22313A"/>
          <w:sz w:val="23"/>
        </w:rPr>
        <w:t>Privacy and licensing</w:t>
      </w:r>
    </w:p>
    <w:p>
      <w:pPr>
        <w:spacing w:after="100" w:line="269" w:lineRule="auto"/>
      </w:pPr>
      <w:r>
        <w:rPr>
          <w:rFonts w:ascii="Arial" w:hAnsi="Arial"/>
          <w:color w:val="22313A"/>
          <w:sz w:val="21"/>
        </w:rPr>
        <w:t>The API processes text in memory and does not persist submitted policy text. Logs omit text and excerpts. Keep API authentication and request limits enabled outside local development.</w:t>
      </w:r>
    </w:p>
    <w:p>
      <w:pPr>
        <w:spacing w:after="100" w:line="269" w:lineRule="auto"/>
      </w:pPr>
      <w:r>
        <w:rPr>
          <w:rFonts w:ascii="Arial" w:hAnsi="Arial"/>
          <w:color w:val="22313A"/>
          <w:sz w:val="18"/>
        </w:rPr>
        <w:t>The OPP-115 project limits use to research, teaching, and scholarship, with terms in the spirit of CC BY-NC. This package is for the team's non-commercial academic demo; it does not grant commercial rights. The original policy archive is not included. Ask the dataset rights holders before commercial use or broader redistribution.</w:t>
      </w:r>
    </w:p>
    <w:p>
      <w:pPr>
        <w:spacing w:before="40" w:after="60"/>
      </w:pPr>
      <w:r>
        <w:rPr>
          <w:rFonts w:ascii="Arial" w:hAnsi="Arial"/>
          <w:b/>
          <w:color w:val="22313A"/>
          <w:sz w:val="18"/>
        </w:rPr>
        <w:t xml:space="preserve">Dataset and citation: </w:t>
      </w:r>
      <w:hyperlink r:id="rId11">
        <w:r>
          <w:rPr>
            <w:color w:val="176B57"/>
            <w:u w:val="single"/>
          </w:rPr>
          <w:t>Usable Privacy Policy Project - OPP-115 and terms</w:t>
        </w:r>
      </w:hyperlink>
      <w:r>
        <w:rPr>
          <w:rFonts w:ascii="Arial" w:hAnsi="Arial"/>
          <w:color w:val="22313A"/>
          <w:sz w:val="18"/>
        </w:rPr>
        <w:t xml:space="preserve">  |  Related source: </w:t>
      </w:r>
      <w:hyperlink r:id="rId12">
        <w:r>
          <w:rPr>
            <w:color w:val="176B57"/>
            <w:u w:val="single"/>
          </w:rPr>
          <w:t>PrivaSeer data and code</w:t>
        </w:r>
      </w:hyperlink>
    </w:p>
    <w:p>
      <w:pPr>
        <w:spacing w:after="20" w:line="269" w:lineRule="auto"/>
      </w:pPr>
      <w:r>
        <w:rPr>
          <w:rFonts w:ascii="Arial" w:hAnsi="Arial"/>
          <w:color w:val="22313A"/>
          <w:sz w:val="18"/>
        </w:rPr>
        <w:t>Wilson et al. (2016), “The Creation and Analysis of a Website Privacy Policy Corpus,” ACL 2016, describes the corpus and annotation work.</w:t>
      </w:r>
    </w:p>
    <w:p>
      <w:pPr>
        <w:spacing w:after="0"/>
      </w:pPr>
      <w:hyperlink r:id="rId13">
        <w:r>
          <w:rPr>
            <w:color w:val="176B57"/>
            <w:u w:val="single"/>
          </w:rPr>
          <w:t>ACL Anthology paper P16-1126</w:t>
        </w:r>
      </w:hyperlink>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D74"/>
        <w:sz w:val="16"/>
      </w:rPr>
      <w:t xml:space="preserve">AI MODEL TECHNICAL GUIDE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D74"/>
        <w:sz w:val="16"/>
      </w:rPr>
      <w:t>COMP 496  /  PRIVACY POLICY ANALYZER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sableprivacy.org/data/" TargetMode="External"/><Relationship Id="rId12" Type="http://schemas.openxmlformats.org/officeDocument/2006/relationships/hyperlink" Target="https://privaseer.ist.psu.edu/data" TargetMode="External"/><Relationship Id="rId13" Type="http://schemas.openxmlformats.org/officeDocument/2006/relationships/hyperlink" Target="https://aclanthology.org/P16-1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