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d5a" w:color="auto" w:val="clear"/>
            <w:tcMar>
              <w:top w:type="dxa" w:w="600"/>
              <w:left w:type="dxa" w:w="400"/>
              <w:bottom w:type="dxa" w:w="600"/>
              <w:right w:type="dxa" w:w="400"/>
            </w:tcMar>
          </w:tcPr>
          <w:p>
            <w:pPr>
              <w:spacing w:after="160"/>
              <w:jc w:val="center"/>
            </w:pPr>
            <w:r>
              <w:rPr>
                <w:rFonts w:ascii="Calibri" w:cs="Calibri" w:eastAsia="Calibri" w:hAnsi="Calibri"/>
                <w:b/>
                <w:bCs/>
                <w:color w:val="7ec11f"/>
                <w:sz w:val="52"/>
                <w:szCs w:val="52"/>
              </w:rPr>
              <w:t xml:space="preserve">IRS PILOT</w:t>
            </w:r>
          </w:p>
          <w:p>
            <w:pPr>
              <w:spacing w:after="120"/>
              <w:jc w:val="center"/>
            </w:pPr>
            <w:r>
              <w:rPr>
                <w:rFonts w:ascii="Calibri" w:cs="Calibri" w:eastAsia="Calibri" w:hAnsi="Calibri"/>
                <w:color w:val="FFFFFF"/>
                <w:sz w:val="32"/>
                <w:szCs w:val="32"/>
              </w:rPr>
              <w:t xml:space="preserve">Tax Practitioner Partner Guide</w:t>
            </w:r>
          </w:p>
          <w:p>
            <w:pPr>
              <w:spacing w:after="80"/>
              <w:jc w:val="center"/>
            </w:pPr>
            <w:r>
              <w:rPr>
                <w:rFonts w:ascii="Calibri" w:cs="Calibri" w:eastAsia="Calibri" w:hAnsi="Calibri"/>
                <w:i/>
                <w:iCs/>
                <w:color w:val="7ec11f"/>
                <w:sz w:val="22"/>
                <w:szCs w:val="22"/>
              </w:rPr>
              <w:t xml:space="preserve">Referral Program · White-Label Pro · Foundation</w:t>
            </w:r>
          </w:p>
        </w:tc>
      </w:tr>
    </w:tbl>
    <w:p>
      <w:pPr>
        <w:spacing w:after="8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2200"/>
        <w:gridCol w:w="7880"/>
      </w:tblGrid>
      <w:tr>
        <w:tc>
          <w:tcPr>
            <w:tcW w:type="dxa" w:w="2200"/>
            <w:tcMar>
              <w:top w:type="dxa" w:w="60"/>
              <w:left w:type="dxa" w:w="100"/>
              <w:bottom w:type="dxa" w:w="60"/>
              <w:right w:type="dxa" w:w="100"/>
            </w:tcMar>
          </w:tcPr>
          <w:p>
            <w:r>
              <w:rPr>
                <w:rFonts w:ascii="Calibri" w:cs="Calibri" w:eastAsia="Calibri" w:hAnsi="Calibri"/>
                <w:b/>
                <w:bCs/>
                <w:color w:val="1a2d5a"/>
                <w:sz w:val="18"/>
                <w:szCs w:val="18"/>
              </w:rPr>
              <w:t xml:space="preserve">Firm</w:t>
            </w:r>
          </w:p>
        </w:tc>
        <w:tc>
          <w:tcPr>
            <w:tcW w:type="dxa" w:w="7880"/>
            <w:tcMar>
              <w:top w:type="dxa" w:w="60"/>
              <w:left w:type="dxa" w:w="100"/>
              <w:bottom w:type="dxa" w:w="60"/>
              <w:right w:type="dxa" w:w="100"/>
            </w:tcMar>
          </w:tcPr>
          <w:p>
            <w:r>
              <w:rPr>
                <w:rFonts w:ascii="Calibri" w:cs="Calibri" w:eastAsia="Calibri" w:hAnsi="Calibri"/>
                <w:color w:val="555555"/>
                <w:sz w:val="18"/>
                <w:szCs w:val="18"/>
              </w:rPr>
              <w:t xml:space="preserve">IRS Pilot LLC</w:t>
            </w:r>
          </w:p>
        </w:tc>
      </w:tr>
      <w:tr>
        <w:tc>
          <w:tcPr>
            <w:tcW w:type="dxa" w:w="2200"/>
            <w:tcMar>
              <w:top w:type="dxa" w:w="60"/>
              <w:left w:type="dxa" w:w="100"/>
              <w:bottom w:type="dxa" w:w="60"/>
              <w:right w:type="dxa" w:w="100"/>
            </w:tcMar>
          </w:tcPr>
          <w:p>
            <w:r>
              <w:rPr>
                <w:rFonts w:ascii="Calibri" w:cs="Calibri" w:eastAsia="Calibri" w:hAnsi="Calibri"/>
                <w:b/>
                <w:bCs/>
                <w:color w:val="1a2d5a"/>
                <w:sz w:val="18"/>
                <w:szCs w:val="18"/>
              </w:rPr>
              <w:t xml:space="preserve">Author</w:t>
            </w:r>
          </w:p>
        </w:tc>
        <w:tc>
          <w:tcPr>
            <w:tcW w:type="dxa" w:w="7880"/>
            <w:tcMar>
              <w:top w:type="dxa" w:w="60"/>
              <w:left w:type="dxa" w:w="100"/>
              <w:bottom w:type="dxa" w:w="60"/>
              <w:right w:type="dxa" w:w="100"/>
            </w:tcMar>
          </w:tcPr>
          <w:p>
            <w:r>
              <w:rPr>
                <w:rFonts w:ascii="Calibri" w:cs="Calibri" w:eastAsia="Calibri" w:hAnsi="Calibri"/>
                <w:color w:val="555555"/>
                <w:sz w:val="18"/>
                <w:szCs w:val="18"/>
              </w:rPr>
              <w:t xml:space="preserve">Tyrone J. Taylor, EA · NTPI Fellow · MBA · MSA</w:t>
            </w:r>
          </w:p>
        </w:tc>
      </w:tr>
      <w:tr>
        <w:tc>
          <w:tcPr>
            <w:tcW w:type="dxa" w:w="2200"/>
            <w:tcMar>
              <w:top w:type="dxa" w:w="60"/>
              <w:left w:type="dxa" w:w="100"/>
              <w:bottom w:type="dxa" w:w="60"/>
              <w:right w:type="dxa" w:w="100"/>
            </w:tcMar>
          </w:tcPr>
          <w:p>
            <w:r>
              <w:rPr>
                <w:rFonts w:ascii="Calibri" w:cs="Calibri" w:eastAsia="Calibri" w:hAnsi="Calibri"/>
                <w:b/>
                <w:bCs/>
                <w:color w:val="1a2d5a"/>
                <w:sz w:val="18"/>
                <w:szCs w:val="18"/>
              </w:rPr>
              <w:t xml:space="preserve">Phone</w:t>
            </w:r>
          </w:p>
        </w:tc>
        <w:tc>
          <w:tcPr>
            <w:tcW w:type="dxa" w:w="7880"/>
            <w:tcMar>
              <w:top w:type="dxa" w:w="60"/>
              <w:left w:type="dxa" w:w="100"/>
              <w:bottom w:type="dxa" w:w="60"/>
              <w:right w:type="dxa" w:w="100"/>
            </w:tcMar>
          </w:tcPr>
          <w:p>
            <w:r>
              <w:rPr>
                <w:rFonts w:ascii="Calibri" w:cs="Calibri" w:eastAsia="Calibri" w:hAnsi="Calibri"/>
                <w:color w:val="555555"/>
                <w:sz w:val="18"/>
                <w:szCs w:val="18"/>
              </w:rPr>
              <w:t xml:space="preserve">(615) 953-7124</w:t>
            </w:r>
          </w:p>
        </w:tc>
      </w:tr>
      <w:tr>
        <w:tc>
          <w:tcPr>
            <w:tcW w:type="dxa" w:w="2200"/>
            <w:tcMar>
              <w:top w:type="dxa" w:w="60"/>
              <w:left w:type="dxa" w:w="100"/>
              <w:bottom w:type="dxa" w:w="60"/>
              <w:right w:type="dxa" w:w="100"/>
            </w:tcMar>
          </w:tcPr>
          <w:p>
            <w:r>
              <w:rPr>
                <w:rFonts w:ascii="Calibri" w:cs="Calibri" w:eastAsia="Calibri" w:hAnsi="Calibri"/>
                <w:b/>
                <w:bCs/>
                <w:color w:val="1a2d5a"/>
                <w:sz w:val="18"/>
                <w:szCs w:val="18"/>
              </w:rPr>
              <w:t xml:space="preserve">Email</w:t>
            </w:r>
          </w:p>
        </w:tc>
        <w:tc>
          <w:tcPr>
            <w:tcW w:type="dxa" w:w="7880"/>
            <w:tcMar>
              <w:top w:type="dxa" w:w="60"/>
              <w:left w:type="dxa" w:w="100"/>
              <w:bottom w:type="dxa" w:w="60"/>
              <w:right w:type="dxa" w:w="100"/>
            </w:tcMar>
          </w:tcPr>
          <w:p>
            <w:r>
              <w:rPr>
                <w:rFonts w:ascii="Calibri" w:cs="Calibri" w:eastAsia="Calibri" w:hAnsi="Calibri"/>
                <w:color w:val="555555"/>
                <w:sz w:val="18"/>
                <w:szCs w:val="18"/>
              </w:rPr>
              <w:t xml:space="preserve">info@irspilot.com</w:t>
            </w:r>
          </w:p>
        </w:tc>
      </w:tr>
      <w:tr>
        <w:tc>
          <w:tcPr>
            <w:tcW w:type="dxa" w:w="2200"/>
            <w:tcMar>
              <w:top w:type="dxa" w:w="60"/>
              <w:left w:type="dxa" w:w="100"/>
              <w:bottom w:type="dxa" w:w="60"/>
              <w:right w:type="dxa" w:w="100"/>
            </w:tcMar>
          </w:tcPr>
          <w:p>
            <w:r>
              <w:rPr>
                <w:rFonts w:ascii="Calibri" w:cs="Calibri" w:eastAsia="Calibri" w:hAnsi="Calibri"/>
                <w:b/>
                <w:bCs/>
                <w:color w:val="1a2d5a"/>
                <w:sz w:val="18"/>
                <w:szCs w:val="18"/>
              </w:rPr>
              <w:t xml:space="preserve">Website</w:t>
            </w:r>
          </w:p>
        </w:tc>
        <w:tc>
          <w:tcPr>
            <w:tcW w:type="dxa" w:w="7880"/>
            <w:tcMar>
              <w:top w:type="dxa" w:w="60"/>
              <w:left w:type="dxa" w:w="100"/>
              <w:bottom w:type="dxa" w:w="60"/>
              <w:right w:type="dxa" w:w="100"/>
            </w:tcMar>
          </w:tcPr>
          <w:p>
            <w:r>
              <w:rPr>
                <w:rFonts w:ascii="Calibri" w:cs="Calibri" w:eastAsia="Calibri" w:hAnsi="Calibri"/>
                <w:color w:val="555555"/>
                <w:sz w:val="18"/>
                <w:szCs w:val="18"/>
              </w:rPr>
              <w:t xml:space="preserve">www.irspilot.com</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1. About IRS Pilot</w:t>
      </w:r>
    </w:p>
    <w:p>
      <w:pPr>
        <w:spacing w:after="100"/>
      </w:pPr>
      <w:r>
        <w:rPr>
          <w:rFonts w:ascii="Calibri" w:cs="Calibri" w:eastAsia="Calibri" w:hAnsi="Calibri"/>
          <w:color w:val="555555"/>
          <w:sz w:val="20"/>
          <w:szCs w:val="20"/>
        </w:rPr>
        <w:t xml:space="preserve">IRS Pilot is a web-based self-help platform built by Tyrone J. Taylor, EA — author of Stop IRS Collections: A Step-by-Step Guide to Ending Levies, Breaking Tax Paralysis, and Taking Back Control.</w:t>
      </w:r>
    </w:p>
    <w:p>
      <w:pPr>
        <w:spacing w:after="80"/>
      </w:pPr>
    </w:p>
    <w:p>
      <w:pPr>
        <w:spacing w:after="100"/>
      </w:pPr>
      <w:r>
        <w:rPr>
          <w:rFonts w:ascii="Calibri" w:cs="Calibri" w:eastAsia="Calibri" w:hAnsi="Calibri"/>
          <w:color w:val="555555"/>
          <w:sz w:val="20"/>
          <w:szCs w:val="20"/>
        </w:rPr>
        <w:t xml:space="preserve">The platform gives taxpayers professional-grade IRS resolution guidance without the professional price tag. It includes:</w:t>
      </w:r>
    </w:p>
    <w:p>
      <w:pPr>
        <w:pStyle w:val="ListParagraph"/>
        <w:numPr>
          <w:ilvl w:val="0"/>
          <w:numId w:val="1"/>
        </w:numPr>
        <w:spacing w:after="80"/>
      </w:pPr>
      <w:r>
        <w:rPr>
          <w:rFonts w:ascii="Calibri" w:cs="Calibri" w:eastAsia="Calibri" w:hAnsi="Calibri"/>
          <w:color w:val="555555"/>
          <w:sz w:val="20"/>
          <w:szCs w:val="20"/>
        </w:rPr>
        <w:t xml:space="preserve">Plain-language explanations of every major IRS collection and audit notice</w:t>
      </w:r>
    </w:p>
    <w:p>
      <w:pPr>
        <w:pStyle w:val="ListParagraph"/>
        <w:numPr>
          <w:ilvl w:val="0"/>
          <w:numId w:val="1"/>
        </w:numPr>
        <w:spacing w:after="80"/>
      </w:pPr>
      <w:r>
        <w:rPr>
          <w:rFonts w:ascii="Calibri" w:cs="Calibri" w:eastAsia="Calibri" w:hAnsi="Calibri"/>
          <w:color w:val="555555"/>
          <w:sz w:val="20"/>
          <w:szCs w:val="20"/>
        </w:rPr>
        <w:t xml:space="preserve">Step-by-step guidance for 10+ IRS situations — levies, audits, revenue officers, TFRP, unfiled returns, and more</w:t>
      </w:r>
    </w:p>
    <w:p>
      <w:pPr>
        <w:pStyle w:val="ListParagraph"/>
        <w:numPr>
          <w:ilvl w:val="0"/>
          <w:numId w:val="1"/>
        </w:numPr>
        <w:spacing w:after="80"/>
      </w:pPr>
      <w:r>
        <w:rPr>
          <w:rFonts w:ascii="Calibri" w:cs="Calibri" w:eastAsia="Calibri" w:hAnsi="Calibri"/>
          <w:color w:val="555555"/>
          <w:sz w:val="20"/>
          <w:szCs w:val="20"/>
        </w:rPr>
        <w:t xml:space="preserve">A Financial Intake Wizard that auto-fills IRS Forms 433-F, 433-A, 433-A OIC, 433-B, and Form 656</w:t>
      </w:r>
    </w:p>
    <w:p>
      <w:pPr>
        <w:pStyle w:val="ListParagraph"/>
        <w:numPr>
          <w:ilvl w:val="0"/>
          <w:numId w:val="1"/>
        </w:numPr>
        <w:spacing w:after="80"/>
      </w:pPr>
      <w:r>
        <w:rPr>
          <w:rFonts w:ascii="Calibri" w:cs="Calibri" w:eastAsia="Calibri" w:hAnsi="Calibri"/>
          <w:color w:val="555555"/>
          <w:sz w:val="20"/>
          <w:szCs w:val="20"/>
        </w:rPr>
        <w:t xml:space="preserve">Estimated installment agreement payment calculations with CSED analysis</w:t>
      </w:r>
    </w:p>
    <w:p>
      <w:pPr>
        <w:pStyle w:val="ListParagraph"/>
        <w:numPr>
          <w:ilvl w:val="0"/>
          <w:numId w:val="1"/>
        </w:numPr>
        <w:spacing w:after="80"/>
      </w:pPr>
      <w:r>
        <w:rPr>
          <w:rFonts w:ascii="Calibri" w:cs="Calibri" w:eastAsia="Calibri" w:hAnsi="Calibri"/>
          <w:color w:val="555555"/>
          <w:sz w:val="20"/>
          <w:szCs w:val="20"/>
        </w:rPr>
        <w:t xml:space="preserve">An AI-powered IRS response letter generator — written in the taxpayer's voice, directly to the IRS</w:t>
      </w:r>
    </w:p>
    <w:p>
      <w:pPr>
        <w:pStyle w:val="ListParagraph"/>
        <w:numPr>
          <w:ilvl w:val="0"/>
          <w:numId w:val="1"/>
        </w:numPr>
        <w:spacing w:after="80"/>
      </w:pPr>
      <w:r>
        <w:rPr>
          <w:rFonts w:ascii="Calibri" w:cs="Calibri" w:eastAsia="Calibri" w:hAnsi="Calibri"/>
          <w:color w:val="555555"/>
          <w:sz w:val="20"/>
          <w:szCs w:val="20"/>
        </w:rPr>
        <w:t xml:space="preserve">IRS Account Transcript Analyzer — upload one or more years of transcripts and receive a plain-English report</w:t>
      </w:r>
    </w:p>
    <w:p>
      <w:pPr>
        <w:pStyle w:val="ListParagraph"/>
        <w:numPr>
          <w:ilvl w:val="0"/>
          <w:numId w:val="1"/>
        </w:numPr>
        <w:spacing w:after="80"/>
      </w:pPr>
      <w:r>
        <w:rPr>
          <w:rFonts w:ascii="Calibri" w:cs="Calibri" w:eastAsia="Calibri" w:hAnsi="Calibri"/>
          <w:color w:val="555555"/>
          <w:sz w:val="20"/>
          <w:szCs w:val="20"/>
        </w:rPr>
        <w:t xml:space="preserve">Tax Planning Dashboard — proactive strategies for W-2 earners and business owners to legally reduce taxes</w:t>
      </w:r>
    </w:p>
    <w:p>
      <w:pPr>
        <w:pStyle w:val="ListParagraph"/>
        <w:numPr>
          <w:ilvl w:val="0"/>
          <w:numId w:val="1"/>
        </w:numPr>
        <w:spacing w:after="80"/>
      </w:pPr>
      <w:r>
        <w:rPr>
          <w:rFonts w:ascii="Calibri" w:cs="Calibri" w:eastAsia="Calibri" w:hAnsi="Calibri"/>
          <w:color w:val="555555"/>
          <w:sz w:val="20"/>
          <w:szCs w:val="20"/>
        </w:rPr>
        <w:t xml:space="preserve">ACS call preparation guides</w:t>
      </w:r>
    </w:p>
    <w:p>
      <w:pPr>
        <w:spacing w:after="80"/>
      </w:pPr>
    </w:p>
    <w:p>
      <w:pPr>
        <w:pStyle w:val="Heading2"/>
        <w:spacing w:after="80" w:before="200"/>
      </w:pPr>
      <w:r>
        <w:rPr>
          <w:rFonts w:ascii="Calibri" w:cs="Calibri" w:eastAsia="Calibri" w:hAnsi="Calibri"/>
          <w:b/>
          <w:bCs/>
          <w:color w:val="1a2d5a"/>
          <w:sz w:val="22"/>
          <w:szCs w:val="22"/>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Product</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Details</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Navigator ($59)</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7-day access · Notice lookup, situation guidance, letter generator, transcript analyzer</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Financial Intake Wizard ($99)</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7-day access · 433 form auto-fill, RCP calculator, OIC analysis</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Complete Bundle ($129)</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7-day access · Navigator + Wizard (save $29)</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Tax Planning Dashboard ($99)</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365-day access · Tax planning strategies for W-2 earners and business owners</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2. Partner Program Overview</w:t>
      </w:r>
    </w:p>
    <w:p>
      <w:pPr>
        <w:spacing w:after="100"/>
      </w:pPr>
      <w:r>
        <w:rPr>
          <w:rFonts w:ascii="Calibri" w:cs="Calibri" w:eastAsia="Calibri" w:hAnsi="Calibri"/>
          <w:color w:val="555555"/>
          <w:sz w:val="20"/>
          <w:szCs w:val="20"/>
        </w:rPr>
        <w:t xml:space="preserve">IRS Pilot offers three ways to participate as a tax professional partner. You may participate in any or all of them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Program</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Referral Program</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Free to join. Share your unique link. Earn 20% commission on every sale. Open to any tax professional or advisor.</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White-Label Pro Subscription</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$49/month (intro rate). Your clients see your brand, not IRS Pilot's. Full tool access for your clients. Optional reseller pricing.</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Foundation Program</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$99/month. By invitation only. Recruit other tax pros as referral partners. Earn a 5% override on all sales generated by your recruits, on top of your own 20% referral commission.</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3. Referral Program — How to Get Set Up</w:t>
      </w:r>
    </w:p>
    <w:p>
      <w:pPr>
        <w:spacing w:after="100"/>
      </w:pPr>
      <w:r>
        <w:rPr>
          <w:rFonts w:ascii="Calibri" w:cs="Calibri" w:eastAsia="Calibri" w:hAnsi="Calibri"/>
          <w:color w:val="555555"/>
          <w:sz w:val="20"/>
          <w:szCs w:val="20"/>
        </w:rPr>
        <w:t xml:space="preserve">The Referral Program is free to join and open to any tax professional or advisor. There are no monthly fees, no minimums, and no cap on earnings.</w:t>
      </w:r>
    </w:p>
    <w:p>
      <w:pPr>
        <w:spacing w:after="80"/>
      </w:pPr>
    </w:p>
    <w:p>
      <w:pPr>
        <w:pStyle w:val="Heading2"/>
        <w:spacing w:after="80" w:before="200"/>
      </w:pPr>
      <w:r>
        <w:rPr>
          <w:rFonts w:ascii="Calibri" w:cs="Calibri" w:eastAsia="Calibri" w:hAnsi="Calibri"/>
          <w:b/>
          <w:bCs/>
          <w:color w:val="1a2d5a"/>
          <w:sz w:val="22"/>
          <w:szCs w:val="22"/>
        </w:rPr>
        <w:t xml:space="preserve">Step-by-Step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What to Do</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Step 1 — Create an Account</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Go to irspilot.com and create a free account using your professional email address.</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Step 2 — Complete Your Profile</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After signing in, you will see a prompt to complete your partner profile. Enter your full name, firm name, credential (EA, CPA, etc.), phone number, and website. This is required to activate your referral status and ensure your commissions are paid to the right person.</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Step 3 — Join the Referral Program</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Navigate to irspilot.com/referral. Click "Join the Referral Program." Your unique 8-character referral code is generated instantly.</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Step 4 — Find Your Link</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Your shareable link appears at the top of the referral dashboard: irspilot.com/refer/YOURCODE. Copy and share this link anywhere.</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Step 5 — Start Sharing</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Send your link to clients, colleagues, or anyone who has an IRS issue you are not handling directly. When someone purchases through your link, the commission is credited automatically.</w:t>
            </w:r>
          </w:p>
        </w:tc>
      </w:tr>
    </w:tbl>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Your profile must be complete before commissions can be paid. To update your profile at any time, log in to irspilot.com and visit your referral dashboard.</w:t>
            </w:r>
          </w:p>
        </w:tc>
      </w:tr>
    </w:tbl>
    <w:p>
      <w:pPr>
        <w:spacing w:after="80"/>
      </w:pPr>
    </w:p>
    <w:p>
      <w:pPr>
        <w:pStyle w:val="Heading2"/>
        <w:spacing w:after="80" w:before="200"/>
      </w:pPr>
      <w:r>
        <w:rPr>
          <w:rFonts w:ascii="Calibri" w:cs="Calibri" w:eastAsia="Calibri" w:hAnsi="Calibri"/>
          <w:b/>
          <w:bCs/>
          <w:color w:val="1a2d5a"/>
          <w:sz w:val="22"/>
          <w:szCs w:val="22"/>
        </w:rPr>
        <w:t xml:space="preserve">Best Ways to Share Your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Channel</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How to Use It</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Email signature</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Add: "Have an IRS issue? irspilot.com/refer/YOURCODE"</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Client emails</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When a client has an IRS issue outside your scope, send them your link with a personal recommendation.</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Social media</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Share on LinkedIn, Facebook, or any platform where your clients follow you.</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Newsletter</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Include in your client newsletter or firm updates.</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Consultations</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Mention IRS Pilot to clients who need help organizing their financials for IRS resolution.</w:t>
            </w:r>
          </w:p>
        </w:tc>
      </w:tr>
    </w:tbl>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Suggested language: "If you have an IRS issue, I recommend IRS Pilot — a self-help tool built by an Enrolled Agent that walks you through your options step by step. Use my link for access: irspilot.com/refer/YOURCODE"</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4. Commission Structure and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Product / Term</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Commission Details</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Navigator ($59)</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$11.80 per sale (20%)</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Financial Intake Wizard ($99)</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$19.80 per sale (20%)</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Complete Bundle ($129)</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$25.80 per sale (20%)</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Tax Planning Dashboard ($99)</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$19.80 per sale (20%)</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Tracking window</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30 days from first click of your referral link</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Attribution</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Last-click. If someone clicks multiple referral links, the most recent one gets credit.</w:t>
            </w:r>
          </w:p>
        </w:tc>
      </w:tr>
    </w:tbl>
    <w:p>
      <w:pPr>
        <w:spacing w:after="80"/>
      </w:pPr>
    </w:p>
    <w:p>
      <w:pPr>
        <w:pStyle w:val="Heading2"/>
        <w:spacing w:after="80" w:before="200"/>
      </w:pPr>
      <w:r>
        <w:rPr>
          <w:rFonts w:ascii="Calibri" w:cs="Calibri" w:eastAsia="Calibri" w:hAnsi="Calibri"/>
          <w:b/>
          <w:bCs/>
          <w:color w:val="1a2d5a"/>
          <w:sz w:val="22"/>
          <w:szCs w:val="22"/>
        </w:rPr>
        <w:t xml:space="preserve">Payout Process</w:t>
      </w:r>
    </w:p>
    <w:p>
      <w:pPr>
        <w:pStyle w:val="ListParagraph"/>
        <w:numPr>
          <w:ilvl w:val="0"/>
          <w:numId w:val="1"/>
        </w:numPr>
        <w:spacing w:after="80"/>
      </w:pPr>
      <w:r>
        <w:rPr>
          <w:rFonts w:ascii="Calibri" w:cs="Calibri" w:eastAsia="Calibri" w:hAnsi="Calibri"/>
          <w:color w:val="555555"/>
          <w:sz w:val="20"/>
          <w:szCs w:val="20"/>
        </w:rPr>
        <w:t xml:space="preserve">Commissions are tracked automatically in your referral dashboard</w:t>
      </w:r>
    </w:p>
    <w:p>
      <w:pPr>
        <w:pStyle w:val="ListParagraph"/>
        <w:numPr>
          <w:ilvl w:val="0"/>
          <w:numId w:val="1"/>
        </w:numPr>
        <w:spacing w:after="80"/>
      </w:pPr>
      <w:r>
        <w:rPr>
          <w:rFonts w:ascii="Calibri" w:cs="Calibri" w:eastAsia="Calibri" w:hAnsi="Calibri"/>
          <w:color w:val="555555"/>
          <w:sz w:val="20"/>
          <w:szCs w:val="20"/>
        </w:rPr>
        <w:t xml:space="preserve">Payouts are processed manually on a monthly basis</w:t>
      </w:r>
    </w:p>
    <w:p>
      <w:pPr>
        <w:pStyle w:val="ListParagraph"/>
        <w:numPr>
          <w:ilvl w:val="0"/>
          <w:numId w:val="1"/>
        </w:numPr>
        <w:spacing w:after="80"/>
      </w:pPr>
      <w:r>
        <w:rPr>
          <w:rFonts w:ascii="Calibri" w:cs="Calibri" w:eastAsia="Calibri" w:hAnsi="Calibri"/>
          <w:color w:val="555555"/>
          <w:sz w:val="20"/>
          <w:szCs w:val="20"/>
        </w:rPr>
        <w:t xml:space="preserve">You will be contacted at your account email when a payout is ready</w:t>
      </w:r>
    </w:p>
    <w:p>
      <w:pPr>
        <w:pStyle w:val="ListParagraph"/>
        <w:numPr>
          <w:ilvl w:val="0"/>
          <w:numId w:val="1"/>
        </w:numPr>
        <w:spacing w:after="80"/>
      </w:pPr>
      <w:r>
        <w:rPr>
          <w:rFonts w:ascii="Calibri" w:cs="Calibri" w:eastAsia="Calibri" w:hAnsi="Calibri"/>
          <w:color w:val="555555"/>
          <w:sz w:val="20"/>
          <w:szCs w:val="20"/>
        </w:rPr>
        <w:t xml:space="preserve">Payment is sent via Venmo, PayPal, Zelle, or check — your preference</w:t>
      </w:r>
    </w:p>
    <w:p>
      <w:pPr>
        <w:pStyle w:val="ListParagraph"/>
        <w:numPr>
          <w:ilvl w:val="0"/>
          <w:numId w:val="1"/>
        </w:numPr>
        <w:spacing w:after="80"/>
      </w:pPr>
      <w:r>
        <w:rPr>
          <w:rFonts w:ascii="Calibri" w:cs="Calibri" w:eastAsia="Calibri" w:hAnsi="Calibri"/>
          <w:color w:val="555555"/>
          <w:sz w:val="20"/>
          <w:szCs w:val="20"/>
        </w:rPr>
        <w:t xml:space="preserve">Commissions under $10 roll to the following month</w:t>
      </w:r>
    </w:p>
    <w:p>
      <w:pPr>
        <w:pStyle w:val="ListParagraph"/>
        <w:numPr>
          <w:ilvl w:val="0"/>
          <w:numId w:val="1"/>
        </w:numPr>
        <w:spacing w:after="80"/>
      </w:pPr>
      <w:r>
        <w:rPr>
          <w:rFonts w:ascii="Calibri" w:cs="Calibri" w:eastAsia="Calibri" w:hAnsi="Calibri"/>
          <w:color w:val="555555"/>
          <w:sz w:val="20"/>
          <w:szCs w:val="20"/>
        </w:rPr>
        <w:t xml:space="preserve">If you earn $600 or more in a calendar year, a 1099 may be issued</w:t>
      </w:r>
    </w:p>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To set your payout preference, email info@irspilot.com with your name, referral code, and preferred payment method.</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5. White-Label Pro Subscription</w:t>
      </w:r>
    </w:p>
    <w:p>
      <w:pPr>
        <w:spacing w:after="100"/>
      </w:pPr>
      <w:r>
        <w:rPr>
          <w:rFonts w:ascii="Calibri" w:cs="Calibri" w:eastAsia="Calibri" w:hAnsi="Calibri"/>
          <w:color w:val="555555"/>
          <w:sz w:val="20"/>
          <w:szCs w:val="20"/>
        </w:rPr>
        <w:t xml:space="preserve">The Pro Subscription is designed for tax professionals who want to offer IRS Pilot to their clients under their own firm's brand. Your clients never see the IRS Pilot name or Tyrone Taylor's name — they see yours.</w:t>
      </w:r>
    </w:p>
    <w:p>
      <w:pPr>
        <w:spacing w:after="80"/>
      </w:pPr>
    </w:p>
    <w:p>
      <w:pPr>
        <w:pStyle w:val="Heading2"/>
        <w:spacing w:after="80" w:before="200"/>
      </w:pPr>
      <w:r>
        <w:rPr>
          <w:rFonts w:ascii="Calibri" w:cs="Calibri" w:eastAsia="Calibri" w:hAnsi="Calibri"/>
          <w:b/>
          <w:bCs/>
          <w:color w:val="1a2d5a"/>
          <w:sz w:val="22"/>
          <w:szCs w:val="22"/>
        </w:rPr>
        <w:t xml:space="preserve">What You Get</w:t>
      </w:r>
    </w:p>
    <w:p>
      <w:pPr>
        <w:pStyle w:val="ListParagraph"/>
        <w:numPr>
          <w:ilvl w:val="0"/>
          <w:numId w:val="1"/>
        </w:numPr>
        <w:spacing w:after="80"/>
      </w:pPr>
      <w:r>
        <w:rPr>
          <w:rFonts w:ascii="Calibri" w:cs="Calibri" w:eastAsia="Calibri" w:hAnsi="Calibri"/>
          <w:color w:val="555555"/>
          <w:sz w:val="20"/>
          <w:szCs w:val="20"/>
        </w:rPr>
        <w:t xml:space="preserve">A unique shareable link branded with your firm name, contact info, and Calendly scheduling link</w:t>
      </w:r>
    </w:p>
    <w:p>
      <w:pPr>
        <w:pStyle w:val="ListParagraph"/>
        <w:numPr>
          <w:ilvl w:val="0"/>
          <w:numId w:val="1"/>
        </w:numPr>
        <w:spacing w:after="80"/>
      </w:pPr>
      <w:r>
        <w:rPr>
          <w:rFonts w:ascii="Calibri" w:cs="Calibri" w:eastAsia="Calibri" w:hAnsi="Calibri"/>
          <w:color w:val="555555"/>
          <w:sz w:val="20"/>
          <w:szCs w:val="20"/>
        </w:rPr>
        <w:t xml:space="preserve">Full access to the Navigator, Financial Intake Wizard, and Transcript Analyzer for your clients</w:t>
      </w:r>
    </w:p>
    <w:p>
      <w:pPr>
        <w:pStyle w:val="ListParagraph"/>
        <w:numPr>
          <w:ilvl w:val="0"/>
          <w:numId w:val="1"/>
        </w:numPr>
        <w:spacing w:after="80"/>
      </w:pPr>
      <w:r>
        <w:rPr>
          <w:rFonts w:ascii="Calibri" w:cs="Calibri" w:eastAsia="Calibri" w:hAnsi="Calibri"/>
          <w:color w:val="555555"/>
          <w:sz w:val="20"/>
          <w:szCs w:val="20"/>
        </w:rPr>
        <w:t xml:space="preserve">10 client sessions per month included (additional sessions at $5 each)</w:t>
      </w:r>
    </w:p>
    <w:p>
      <w:pPr>
        <w:pStyle w:val="ListParagraph"/>
        <w:numPr>
          <w:ilvl w:val="0"/>
          <w:numId w:val="1"/>
        </w:numPr>
        <w:spacing w:after="80"/>
      </w:pPr>
      <w:r>
        <w:rPr>
          <w:rFonts w:ascii="Calibri" w:cs="Calibri" w:eastAsia="Calibri" w:hAnsi="Calibri"/>
          <w:color w:val="555555"/>
          <w:sz w:val="20"/>
          <w:szCs w:val="20"/>
        </w:rPr>
        <w:t xml:space="preserve">24-hour client sessions — no client login required, just click the link</w:t>
      </w:r>
    </w:p>
    <w:p>
      <w:pPr>
        <w:pStyle w:val="ListParagraph"/>
        <w:numPr>
          <w:ilvl w:val="0"/>
          <w:numId w:val="1"/>
        </w:numPr>
        <w:spacing w:after="80"/>
      </w:pPr>
      <w:r>
        <w:rPr>
          <w:rFonts w:ascii="Calibri" w:cs="Calibri" w:eastAsia="Calibri" w:hAnsi="Calibri"/>
          <w:color w:val="555555"/>
          <w:sz w:val="20"/>
          <w:szCs w:val="20"/>
        </w:rPr>
        <w:t xml:space="preserve">Optional reseller pricing — charge your own rates to clients above IRS Pilot's minimums</w:t>
      </w:r>
    </w:p>
    <w:p>
      <w:pPr>
        <w:spacing w:after="80"/>
      </w:pPr>
    </w:p>
    <w:p>
      <w:pPr>
        <w:pStyle w:val="Heading2"/>
        <w:spacing w:after="80" w:before="200"/>
      </w:pPr>
      <w:r>
        <w:rPr>
          <w:rFonts w:ascii="Calibri" w:cs="Calibri" w:eastAsia="Calibri" w:hAnsi="Calibri"/>
          <w:b/>
          <w:bCs/>
          <w:color w:val="1a2d5a"/>
          <w:sz w:val="22"/>
          <w:szCs w:val="22"/>
        </w:rPr>
        <w:t xml:space="preserve">Subscription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Details</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Introductory Rate</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$49/month (first 3 months)</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Standard Rate</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$79/month thereafter</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Billing Cycle</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Monthly — no long-term contract</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Cancellation</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Email info@irspilot.com at any time</w:t>
            </w:r>
          </w:p>
        </w:tc>
      </w:tr>
    </w:tbl>
    <w:p>
      <w:pPr>
        <w:spacing w:after="80"/>
      </w:pPr>
    </w:p>
    <w:p>
      <w:pPr>
        <w:pStyle w:val="Heading2"/>
        <w:spacing w:after="80" w:before="200"/>
      </w:pPr>
      <w:r>
        <w:rPr>
          <w:rFonts w:ascii="Calibri" w:cs="Calibri" w:eastAsia="Calibri" w:hAnsi="Calibri"/>
          <w:b/>
          <w:bCs/>
          <w:color w:val="1a2d5a"/>
          <w:sz w:val="22"/>
          <w:szCs w:val="22"/>
        </w:rPr>
        <w:t xml:space="preserve">White-Label Branding</w:t>
      </w:r>
    </w:p>
    <w:p>
      <w:pPr>
        <w:spacing w:after="100"/>
      </w:pPr>
      <w:r>
        <w:rPr>
          <w:rFonts w:ascii="Calibri" w:cs="Calibri" w:eastAsia="Calibri" w:hAnsi="Calibri"/>
          <w:color w:val="555555"/>
          <w:sz w:val="20"/>
          <w:szCs w:val="20"/>
        </w:rPr>
        <w:t xml:space="preserve">When a client accesses IRS Pilot through your branded link, they will see:</w:t>
      </w:r>
    </w:p>
    <w:p>
      <w:pPr>
        <w:pStyle w:val="ListParagraph"/>
        <w:numPr>
          <w:ilvl w:val="0"/>
          <w:numId w:val="1"/>
        </w:numPr>
        <w:spacing w:after="80"/>
      </w:pPr>
      <w:r>
        <w:rPr>
          <w:rFonts w:ascii="Calibri" w:cs="Calibri" w:eastAsia="Calibri" w:hAnsi="Calibri"/>
          <w:color w:val="555555"/>
          <w:sz w:val="20"/>
          <w:szCs w:val="20"/>
        </w:rPr>
        <w:t xml:space="preserve">Your firm name as the header on every screen</w:t>
      </w:r>
    </w:p>
    <w:p>
      <w:pPr>
        <w:pStyle w:val="ListParagraph"/>
        <w:numPr>
          <w:ilvl w:val="0"/>
          <w:numId w:val="1"/>
        </w:numPr>
        <w:spacing w:after="80"/>
      </w:pPr>
      <w:r>
        <w:rPr>
          <w:rFonts w:ascii="Calibri" w:cs="Calibri" w:eastAsia="Calibri" w:hAnsi="Calibri"/>
          <w:color w:val="555555"/>
          <w:sz w:val="20"/>
          <w:szCs w:val="20"/>
        </w:rPr>
        <w:t xml:space="preserve">Your phone number displayed with a tap-to-call link on mobile</w:t>
      </w:r>
    </w:p>
    <w:p>
      <w:pPr>
        <w:pStyle w:val="ListParagraph"/>
        <w:numPr>
          <w:ilvl w:val="0"/>
          <w:numId w:val="1"/>
        </w:numPr>
        <w:spacing w:after="80"/>
      </w:pPr>
      <w:r>
        <w:rPr>
          <w:rFonts w:ascii="Calibri" w:cs="Calibri" w:eastAsia="Calibri" w:hAnsi="Calibri"/>
          <w:color w:val="555555"/>
          <w:sz w:val="20"/>
          <w:szCs w:val="20"/>
        </w:rPr>
        <w:t xml:space="preserve">Your Calendly link on every call-to-action that says "Schedule a Consultation"</w:t>
      </w:r>
    </w:p>
    <w:p>
      <w:pPr>
        <w:pStyle w:val="ListParagraph"/>
        <w:numPr>
          <w:ilvl w:val="0"/>
          <w:numId w:val="1"/>
        </w:numPr>
        <w:spacing w:after="80"/>
      </w:pPr>
      <w:r>
        <w:rPr>
          <w:rFonts w:ascii="Calibri" w:cs="Calibri" w:eastAsia="Calibri" w:hAnsi="Calibri"/>
          <w:color w:val="555555"/>
          <w:sz w:val="20"/>
          <w:szCs w:val="20"/>
        </w:rPr>
        <w:t xml:space="preserve">No mention of IRS Pilot, Tyrone J. Taylor, or Taylor Tax and Financial Consulting</w:t>
      </w:r>
    </w:p>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Your branding is configured within one business day of enrollment. To update it at any time, email info@irspilot.com with your subscriber code and the updated information.</w:t>
            </w:r>
          </w:p>
        </w:tc>
      </w:tr>
    </w:tbl>
    <w:p>
      <w:pPr>
        <w:spacing w:after="80"/>
      </w:pPr>
    </w:p>
    <w:p>
      <w:pPr>
        <w:pStyle w:val="Heading2"/>
        <w:spacing w:after="80" w:before="200"/>
      </w:pPr>
      <w:r>
        <w:rPr>
          <w:rFonts w:ascii="Calibri" w:cs="Calibri" w:eastAsia="Calibri" w:hAnsi="Calibri"/>
          <w:b/>
          <w:bCs/>
          <w:color w:val="1a2d5a"/>
          <w:sz w:val="22"/>
          <w:szCs w:val="22"/>
        </w:rPr>
        <w:t xml:space="preserve">Reseller Pricing — Charging Your Own Rate</w:t>
      </w:r>
    </w:p>
    <w:p>
      <w:pPr>
        <w:spacing w:after="100"/>
      </w:pPr>
      <w:r>
        <w:rPr>
          <w:rFonts w:ascii="Calibri" w:cs="Calibri" w:eastAsia="Calibri" w:hAnsi="Calibri"/>
          <w:color w:val="555555"/>
          <w:sz w:val="20"/>
          <w:szCs w:val="20"/>
        </w:rPr>
        <w:t xml:space="preserve">As a Pro Subscriber, you can charge your clients your own price for IRS Pilot access — above the minimums listed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Product</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Minimum Client Price</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Navigator</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$79.00 minimum (IRS Pilot base: $59.00)</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Financial Intake Wizard</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$139.00 minimum (IRS Pilot base: $99.00)</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Complete Bundle</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$179.00 minimum (IRS Pilot base: $129.00)</w:t>
            </w:r>
          </w:p>
        </w:tc>
      </w:tr>
    </w:tbl>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Example: You set Navigator at $149. Your client pays $149. IRS Pilot's platform cost is covered by your $49/month subscription. You keep the margin built into your client pricing.</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6. Foundation Program</w:t>
      </w:r>
    </w:p>
    <w:p>
      <w:pPr>
        <w:spacing w:after="100"/>
      </w:pPr>
      <w:r>
        <w:rPr>
          <w:rFonts w:ascii="Calibri" w:cs="Calibri" w:eastAsia="Calibri" w:hAnsi="Calibri"/>
          <w:color w:val="555555"/>
          <w:sz w:val="20"/>
          <w:szCs w:val="20"/>
        </w:rPr>
        <w:t xml:space="preserve">The Foundation Program is IRS Pilot's invitation-only tier for tax professionals who want to build an active referral network and earn ongoing income from the partners they recruit.</w:t>
      </w:r>
    </w:p>
    <w:p>
      <w:pPr>
        <w:spacing w:after="80"/>
      </w:pPr>
    </w:p>
    <w:p>
      <w:pPr>
        <w:pStyle w:val="Heading2"/>
        <w:spacing w:after="80" w:before="200"/>
      </w:pPr>
      <w:r>
        <w:rPr>
          <w:rFonts w:ascii="Calibri" w:cs="Calibri" w:eastAsia="Calibri" w:hAnsi="Calibri"/>
          <w:b/>
          <w:bCs/>
          <w:color w:val="1a2d5a"/>
          <w:sz w:val="22"/>
          <w:szCs w:val="22"/>
        </w:rPr>
        <w:t xml:space="preserve">How It Works</w:t>
      </w:r>
    </w:p>
    <w:p>
      <w:pPr>
        <w:spacing w:after="100"/>
      </w:pPr>
      <w:r>
        <w:rPr>
          <w:rFonts w:ascii="Calibri" w:cs="Calibri" w:eastAsia="Calibri" w:hAnsi="Calibri"/>
          <w:color w:val="555555"/>
          <w:sz w:val="20"/>
          <w:szCs w:val="20"/>
        </w:rPr>
        <w:t xml:space="preserve">Foundation members recruit other tax professionals and enroll them as IRS Pilot referral partners. In return, Foundation members earn a 5% sales override on every purchase generated by their recruits — on top of their own 20% referral commission.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Income Stream</w:t>
            </w:r>
          </w:p>
        </w:tc>
        <w:tc>
          <w:tcPr>
            <w:tcW w:type="dxa" w:w="6360"/>
            <w:shd w:fill="1a2d5a" w:color="auto" w:val="clear"/>
            <w:tcMar>
              <w:top w:type="dxa" w:w="80"/>
              <w:left w:type="dxa" w:w="120"/>
              <w:bottom w:type="dxa" w:w="80"/>
              <w:right w:type="dxa" w:w="120"/>
            </w:tcMar>
          </w:tcPr>
          <w:p>
            <w:r>
              <w:rPr>
                <w:rFonts w:ascii="Calibri" w:cs="Calibri" w:eastAsia="Calibri" w:hAnsi="Calibri"/>
                <w:b/>
                <w:bCs/>
                <w:color w:val="FFFFFF"/>
                <w:sz w:val="18"/>
                <w:szCs w:val="18"/>
              </w:rPr>
              <w:t xml:space="preserve">Rate</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Your own referrals</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20% commission on every sale from your referral link</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Override on recruits' sales</w:t>
            </w:r>
          </w:p>
        </w:tc>
        <w:tc>
          <w:tcPr>
            <w:tcW w:type="dxa" w:w="63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5% on every sale generated by tax pros you recruited</w:t>
            </w:r>
          </w:p>
        </w:tc>
      </w:tr>
      <w:tr>
        <w:tc>
          <w:tcPr>
            <w:tcW w:type="dxa" w:w="3000"/>
            <w:shd w:fill="f8f6f1" w:color="auto" w:val="clear"/>
            <w:tcMar>
              <w:top w:type="dxa" w:w="80"/>
              <w:left w:type="dxa" w:w="120"/>
              <w:bottom w:type="dxa" w:w="80"/>
              <w:right w:type="dxa" w:w="120"/>
            </w:tcMar>
          </w:tcPr>
          <w:p>
            <w:r>
              <w:rPr>
                <w:rFonts w:ascii="Calibri" w:cs="Calibri" w:eastAsia="Calibri" w:hAnsi="Calibri"/>
                <w:b w:val="false"/>
                <w:bCs w:val="false"/>
                <w:color w:val="1a2d5a"/>
                <w:sz w:val="18"/>
                <w:szCs w:val="18"/>
              </w:rPr>
              <w:t xml:space="preserve">Combined earning potential</w:t>
            </w:r>
          </w:p>
        </w:tc>
        <w:tc>
          <w:tcPr>
            <w:tcW w:type="dxa" w:w="63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Up to 25% on sales you influence directly or indirectly</w:t>
            </w:r>
          </w:p>
        </w:tc>
      </w:tr>
    </w:tbl>
    <w:p>
      <w:pPr>
        <w:spacing w:after="80"/>
      </w:pPr>
    </w:p>
    <w:p>
      <w:pPr>
        <w:pStyle w:val="Heading2"/>
        <w:spacing w:after="80" w:before="200"/>
      </w:pPr>
      <w:r>
        <w:rPr>
          <w:rFonts w:ascii="Calibri" w:cs="Calibri" w:eastAsia="Calibri" w:hAnsi="Calibri"/>
          <w:b/>
          <w:bCs/>
          <w:color w:val="1a2d5a"/>
          <w:sz w:val="22"/>
          <w:szCs w:val="22"/>
        </w:rPr>
        <w:t xml:space="preserve">Eligibility</w:t>
      </w:r>
    </w:p>
    <w:p>
      <w:pPr>
        <w:pStyle w:val="ListParagraph"/>
        <w:numPr>
          <w:ilvl w:val="0"/>
          <w:numId w:val="1"/>
        </w:numPr>
        <w:spacing w:after="80"/>
      </w:pPr>
      <w:r>
        <w:rPr>
          <w:rFonts w:ascii="Calibri" w:cs="Calibri" w:eastAsia="Calibri" w:hAnsi="Calibri"/>
          <w:color w:val="555555"/>
          <w:sz w:val="20"/>
          <w:szCs w:val="20"/>
        </w:rPr>
        <w:t xml:space="preserve">You must already be an active IRS Pilot referral partner with a completed profile</w:t>
      </w:r>
    </w:p>
    <w:p>
      <w:pPr>
        <w:pStyle w:val="ListParagraph"/>
        <w:numPr>
          <w:ilvl w:val="0"/>
          <w:numId w:val="1"/>
        </w:numPr>
        <w:spacing w:after="80"/>
      </w:pPr>
      <w:r>
        <w:rPr>
          <w:rFonts w:ascii="Calibri" w:cs="Calibri" w:eastAsia="Calibri" w:hAnsi="Calibri"/>
          <w:color w:val="555555"/>
          <w:sz w:val="20"/>
          <w:szCs w:val="20"/>
        </w:rPr>
        <w:t xml:space="preserve">Admission is by Tyrone Taylor's personal review only — there is no automatic enrollment</w:t>
      </w:r>
    </w:p>
    <w:p>
      <w:pPr>
        <w:pStyle w:val="ListParagraph"/>
        <w:numPr>
          <w:ilvl w:val="0"/>
          <w:numId w:val="1"/>
        </w:numPr>
        <w:spacing w:after="80"/>
      </w:pPr>
      <w:r>
        <w:rPr>
          <w:rFonts w:ascii="Calibri" w:cs="Calibri" w:eastAsia="Calibri" w:hAnsi="Calibri"/>
          <w:color w:val="555555"/>
          <w:sz w:val="20"/>
          <w:szCs w:val="20"/>
        </w:rPr>
        <w:t xml:space="preserve">Tyrone will contact you directly to discuss your eligibility and recruiting approach</w:t>
      </w:r>
    </w:p>
    <w:p>
      <w:pPr>
        <w:spacing w:after="80"/>
      </w:pPr>
    </w:p>
    <w:p>
      <w:pPr>
        <w:pStyle w:val="Heading2"/>
        <w:spacing w:after="80" w:before="200"/>
      </w:pPr>
      <w:r>
        <w:rPr>
          <w:rFonts w:ascii="Calibri" w:cs="Calibri" w:eastAsia="Calibri" w:hAnsi="Calibri"/>
          <w:b/>
          <w:bCs/>
          <w:color w:val="1a2d5a"/>
          <w:sz w:val="22"/>
          <w:szCs w:val="22"/>
        </w:rPr>
        <w:t xml:space="preserve">How to Recruit</w:t>
      </w:r>
    </w:p>
    <w:p>
      <w:pPr>
        <w:spacing w:after="100"/>
      </w:pPr>
      <w:r>
        <w:rPr>
          <w:rFonts w:ascii="Calibri" w:cs="Calibri" w:eastAsia="Calibri" w:hAnsi="Calibri"/>
          <w:color w:val="555555"/>
          <w:sz w:val="20"/>
          <w:szCs w:val="20"/>
        </w:rPr>
        <w:t xml:space="preserve">Foundation members recruit other tax professionals by sharing a personalized recruiting link. When a tax pro signs up through your recruiting link and becomes an active referral partner, they are linked to your Foundation account for override tracking.</w:t>
      </w:r>
    </w:p>
    <w:p>
      <w:pPr>
        <w:spacing w:after="80"/>
      </w:pPr>
    </w:p>
    <w:p>
      <w:pPr>
        <w:pStyle w:val="ListParagraph"/>
        <w:numPr>
          <w:ilvl w:val="0"/>
          <w:numId w:val="1"/>
        </w:numPr>
        <w:spacing w:after="80"/>
      </w:pPr>
      <w:r>
        <w:rPr>
          <w:rFonts w:ascii="Calibri" w:cs="Calibri" w:eastAsia="Calibri" w:hAnsi="Calibri"/>
          <w:color w:val="555555"/>
          <w:sz w:val="20"/>
          <w:szCs w:val="20"/>
        </w:rPr>
        <w:t xml:space="preserve">Your recruiting link is separate from your referral link — it is used specifically to bring other tax pros into the program</w:t>
      </w:r>
    </w:p>
    <w:p>
      <w:pPr>
        <w:pStyle w:val="ListParagraph"/>
        <w:numPr>
          <w:ilvl w:val="0"/>
          <w:numId w:val="1"/>
        </w:numPr>
        <w:spacing w:after="80"/>
      </w:pPr>
      <w:r>
        <w:rPr>
          <w:rFonts w:ascii="Calibri" w:cs="Calibri" w:eastAsia="Calibri" w:hAnsi="Calibri"/>
          <w:color w:val="555555"/>
          <w:sz w:val="20"/>
          <w:szCs w:val="20"/>
        </w:rPr>
        <w:t xml:space="preserve">Recruits must complete their own profile and generate at least one referral sale to activate your override</w:t>
      </w:r>
    </w:p>
    <w:p>
      <w:pPr>
        <w:pStyle w:val="ListParagraph"/>
        <w:numPr>
          <w:ilvl w:val="0"/>
          <w:numId w:val="1"/>
        </w:numPr>
        <w:spacing w:after="80"/>
      </w:pPr>
      <w:r>
        <w:rPr>
          <w:rFonts w:ascii="Calibri" w:cs="Calibri" w:eastAsia="Calibri" w:hAnsi="Calibri"/>
          <w:color w:val="555555"/>
          <w:sz w:val="20"/>
          <w:szCs w:val="20"/>
        </w:rPr>
        <w:t xml:space="preserve">You can recruit as many tax professionals as you choose — there is no cap</w:t>
      </w:r>
    </w:p>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Note: Foundation recruiting links are currently being built into the IRS Pilot platform. Foundation members will receive their recruiting link directly from Tyrone Taylor upon enrollment.</w:t>
            </w:r>
          </w:p>
        </w:tc>
      </w:tr>
    </w:tbl>
    <w:p>
      <w:pPr>
        <w:spacing w:after="80"/>
      </w:pPr>
    </w:p>
    <w:p>
      <w:pPr>
        <w:pStyle w:val="Heading2"/>
        <w:spacing w:after="80" w:before="200"/>
      </w:pPr>
      <w:r>
        <w:rPr>
          <w:rFonts w:ascii="Calibri" w:cs="Calibri" w:eastAsia="Calibri" w:hAnsi="Calibri"/>
          <w:b/>
          <w:bCs/>
          <w:color w:val="1a2d5a"/>
          <w:sz w:val="22"/>
          <w:szCs w:val="22"/>
        </w:rPr>
        <w:t xml:space="preserve">Override Payout</w:t>
      </w:r>
    </w:p>
    <w:p>
      <w:pPr>
        <w:pStyle w:val="ListParagraph"/>
        <w:numPr>
          <w:ilvl w:val="0"/>
          <w:numId w:val="1"/>
        </w:numPr>
        <w:spacing w:after="80"/>
      </w:pPr>
      <w:r>
        <w:rPr>
          <w:rFonts w:ascii="Calibri" w:cs="Calibri" w:eastAsia="Calibri" w:hAnsi="Calibri"/>
          <w:color w:val="555555"/>
          <w:sz w:val="20"/>
          <w:szCs w:val="20"/>
        </w:rPr>
        <w:t xml:space="preserve">Override commissions are tracked separately from your referral commissions</w:t>
      </w:r>
    </w:p>
    <w:p>
      <w:pPr>
        <w:pStyle w:val="ListParagraph"/>
        <w:numPr>
          <w:ilvl w:val="0"/>
          <w:numId w:val="1"/>
        </w:numPr>
        <w:spacing w:after="80"/>
      </w:pPr>
      <w:r>
        <w:rPr>
          <w:rFonts w:ascii="Calibri" w:cs="Calibri" w:eastAsia="Calibri" w:hAnsi="Calibri"/>
          <w:color w:val="555555"/>
          <w:sz w:val="20"/>
          <w:szCs w:val="20"/>
        </w:rPr>
        <w:t xml:space="preserve">Payouts are processed on the same monthly schedule as referral commissions</w:t>
      </w:r>
    </w:p>
    <w:p>
      <w:pPr>
        <w:pStyle w:val="ListParagraph"/>
        <w:numPr>
          <w:ilvl w:val="0"/>
          <w:numId w:val="1"/>
        </w:numPr>
        <w:spacing w:after="80"/>
      </w:pPr>
      <w:r>
        <w:rPr>
          <w:rFonts w:ascii="Calibri" w:cs="Calibri" w:eastAsia="Calibri" w:hAnsi="Calibri"/>
          <w:color w:val="555555"/>
          <w:sz w:val="20"/>
          <w:szCs w:val="20"/>
        </w:rPr>
        <w:t xml:space="preserve">Override earnings are included in your annual 1099 if total earnings reach $600</w:t>
      </w:r>
    </w:p>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To inquire about Foundation Program eligibility, email info@irspilot.com with the subject line "Foundation Program Inquiry" and a brief description of your practice and your network of tax professionals.</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7. Transcript Analyzer — Pro Feature</w:t>
      </w:r>
    </w:p>
    <w:p>
      <w:pPr>
        <w:spacing w:after="100"/>
      </w:pPr>
      <w:r>
        <w:rPr>
          <w:rFonts w:ascii="Calibri" w:cs="Calibri" w:eastAsia="Calibri" w:hAnsi="Calibri"/>
          <w:color w:val="555555"/>
          <w:sz w:val="20"/>
          <w:szCs w:val="20"/>
        </w:rPr>
        <w:t xml:space="preserve">The Transcript Analyzer is available to Pro Subscribers and their clients. Upload one or more IRS Account Transcripts (PDF format) and receive a complete plain-English report.</w:t>
      </w:r>
    </w:p>
    <w:p>
      <w:pPr>
        <w:spacing w:after="80"/>
      </w:pPr>
    </w:p>
    <w:p>
      <w:pPr>
        <w:pStyle w:val="Heading2"/>
        <w:spacing w:after="80" w:before="200"/>
      </w:pPr>
      <w:r>
        <w:rPr>
          <w:rFonts w:ascii="Calibri" w:cs="Calibri" w:eastAsia="Calibri" w:hAnsi="Calibri"/>
          <w:b/>
          <w:bCs/>
          <w:color w:val="1a2d5a"/>
          <w:sz w:val="22"/>
          <w:szCs w:val="22"/>
        </w:rPr>
        <w:t xml:space="preserve">What the Report Includes</w:t>
      </w:r>
    </w:p>
    <w:p>
      <w:pPr>
        <w:pStyle w:val="ListParagraph"/>
        <w:numPr>
          <w:ilvl w:val="0"/>
          <w:numId w:val="1"/>
        </w:numPr>
        <w:spacing w:after="80"/>
      </w:pPr>
      <w:r>
        <w:rPr>
          <w:rFonts w:ascii="Calibri" w:cs="Calibri" w:eastAsia="Calibri" w:hAnsi="Calibri"/>
          <w:color w:val="555555"/>
          <w:sz w:val="20"/>
          <w:szCs w:val="20"/>
        </w:rPr>
        <w:t xml:space="preserve">At-a-glance summary: balance owed, accrued interest, and total exposure across all uploaded years</w:t>
      </w:r>
    </w:p>
    <w:p>
      <w:pPr>
        <w:pStyle w:val="ListParagraph"/>
        <w:numPr>
          <w:ilvl w:val="0"/>
          <w:numId w:val="1"/>
        </w:numPr>
        <w:spacing w:after="80"/>
      </w:pPr>
      <w:r>
        <w:rPr>
          <w:rFonts w:ascii="Calibri" w:cs="Calibri" w:eastAsia="Calibri" w:hAnsi="Calibri"/>
          <w:color w:val="555555"/>
          <w:sz w:val="20"/>
          <w:szCs w:val="20"/>
        </w:rPr>
        <w:t xml:space="preserve">Plain-English timeline of every IRS transaction — no code lookup required</w:t>
      </w:r>
    </w:p>
    <w:p>
      <w:pPr>
        <w:pStyle w:val="ListParagraph"/>
        <w:numPr>
          <w:ilvl w:val="0"/>
          <w:numId w:val="1"/>
        </w:numPr>
        <w:spacing w:after="80"/>
      </w:pPr>
      <w:r>
        <w:rPr>
          <w:rFonts w:ascii="Calibri" w:cs="Calibri" w:eastAsia="Calibri" w:hAnsi="Calibri"/>
          <w:color w:val="555555"/>
          <w:sz w:val="20"/>
          <w:szCs w:val="20"/>
        </w:rPr>
        <w:t xml:space="preserve">Answers to common client questions: why is the balance high, can penalties be reduced, is the IRS going to take my money</w:t>
      </w:r>
    </w:p>
    <w:p>
      <w:pPr>
        <w:pStyle w:val="ListParagraph"/>
        <w:numPr>
          <w:ilvl w:val="0"/>
          <w:numId w:val="1"/>
        </w:numPr>
        <w:spacing w:after="80"/>
      </w:pPr>
      <w:r>
        <w:rPr>
          <w:rFonts w:ascii="Calibri" w:cs="Calibri" w:eastAsia="Calibri" w:hAnsi="Calibri"/>
          <w:color w:val="555555"/>
          <w:sz w:val="20"/>
          <w:szCs w:val="20"/>
        </w:rPr>
        <w:t xml:space="preserve">Resolution options identified from the transcript — installment agreement, OIC, penalty abatement, CNC, CDP hearing</w:t>
      </w:r>
    </w:p>
    <w:p>
      <w:pPr>
        <w:pStyle w:val="ListParagraph"/>
        <w:numPr>
          <w:ilvl w:val="0"/>
          <w:numId w:val="1"/>
        </w:numPr>
        <w:spacing w:after="80"/>
      </w:pPr>
      <w:r>
        <w:rPr>
          <w:rFonts w:ascii="Calibri" w:cs="Calibri" w:eastAsia="Calibri" w:hAnsi="Calibri"/>
          <w:color w:val="555555"/>
          <w:sz w:val="20"/>
          <w:szCs w:val="20"/>
        </w:rPr>
        <w:t xml:space="preserve">Prioritized next steps directing clients into specific IRS Pilot tools</w:t>
      </w:r>
    </w:p>
    <w:p>
      <w:pPr>
        <w:pStyle w:val="ListParagraph"/>
        <w:numPr>
          <w:ilvl w:val="0"/>
          <w:numId w:val="1"/>
        </w:numPr>
        <w:spacing w:after="80"/>
      </w:pPr>
      <w:r>
        <w:rPr>
          <w:rFonts w:ascii="Calibri" w:cs="Calibri" w:eastAsia="Calibri" w:hAnsi="Calibri"/>
          <w:color w:val="555555"/>
          <w:sz w:val="20"/>
          <w:szCs w:val="20"/>
        </w:rPr>
        <w:t xml:space="preserve">Downloadable PDF report, professionally formatted and ready to share</w:t>
      </w:r>
    </w:p>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Session usage: Each transcript analyzed deducts one session from your monthly allotment. Uploading three years at once deducts three sessions. Pro subscribers are never charged for sessions they use as admin.</w:t>
            </w:r>
          </w:p>
        </w:tc>
      </w:tr>
    </w:tbl>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8. Frequently Asked Questions</w:t>
      </w:r>
    </w:p>
    <w:p>
      <w:pPr>
        <w:pStyle w:val="Heading2"/>
        <w:spacing w:after="80" w:before="200"/>
      </w:pPr>
      <w:r>
        <w:rPr>
          <w:rFonts w:ascii="Calibri" w:cs="Calibri" w:eastAsia="Calibri" w:hAnsi="Calibri"/>
          <w:b/>
          <w:bCs/>
          <w:color w:val="1a2d5a"/>
          <w:sz w:val="22"/>
          <w:szCs w:val="22"/>
        </w:rPr>
        <w:t xml:space="preserve">Do I need to be a licensed tax professional to join the referral program?</w:t>
      </w:r>
    </w:p>
    <w:p>
      <w:pPr>
        <w:spacing w:after="100"/>
      </w:pPr>
      <w:r>
        <w:rPr>
          <w:rFonts w:ascii="Calibri" w:cs="Calibri" w:eastAsia="Calibri" w:hAnsi="Calibri"/>
          <w:color w:val="555555"/>
          <w:sz w:val="20"/>
          <w:szCs w:val="20"/>
        </w:rPr>
        <w:t xml:space="preserve">No. The referral program is open to any tax professional or advisor. No license required. However, a completed profile — including your name, firm, and credential — is required before commissions can be paid.</w:t>
      </w:r>
    </w:p>
    <w:p>
      <w:pPr>
        <w:spacing w:after="80"/>
      </w:pPr>
    </w:p>
    <w:p>
      <w:pPr>
        <w:pStyle w:val="Heading2"/>
        <w:spacing w:after="80" w:before="200"/>
      </w:pPr>
      <w:r>
        <w:rPr>
          <w:rFonts w:ascii="Calibri" w:cs="Calibri" w:eastAsia="Calibri" w:hAnsi="Calibri"/>
          <w:b/>
          <w:bCs/>
          <w:color w:val="1a2d5a"/>
          <w:sz w:val="22"/>
          <w:szCs w:val="22"/>
        </w:rPr>
        <w:t xml:space="preserve">Do I need to complete my profile before earning commissions?</w:t>
      </w:r>
    </w:p>
    <w:p>
      <w:pPr>
        <w:spacing w:after="100"/>
      </w:pPr>
      <w:r>
        <w:rPr>
          <w:rFonts w:ascii="Calibri" w:cs="Calibri" w:eastAsia="Calibri" w:hAnsi="Calibri"/>
          <w:color w:val="555555"/>
          <w:sz w:val="20"/>
          <w:szCs w:val="20"/>
        </w:rPr>
        <w:t xml:space="preserve">Yes. When you log in to IRS Pilot after joining the referral program, you will see a prompt to complete your profile. This step is required to activate commission payouts. Your referral link works immediately, but payouts are held until your profile is complete.</w:t>
      </w:r>
    </w:p>
    <w:p>
      <w:pPr>
        <w:spacing w:after="80"/>
      </w:pPr>
    </w:p>
    <w:p>
      <w:pPr>
        <w:pStyle w:val="Heading2"/>
        <w:spacing w:after="80" w:before="200"/>
      </w:pPr>
      <w:r>
        <w:rPr>
          <w:rFonts w:ascii="Calibri" w:cs="Calibri" w:eastAsia="Calibri" w:hAnsi="Calibri"/>
          <w:b/>
          <w:bCs/>
          <w:color w:val="1a2d5a"/>
          <w:sz w:val="22"/>
          <w:szCs w:val="22"/>
        </w:rPr>
        <w:t xml:space="preserve">Can I do both the referral program and the pro subscription?</w:t>
      </w:r>
    </w:p>
    <w:p>
      <w:pPr>
        <w:spacing w:after="100"/>
      </w:pPr>
      <w:r>
        <w:rPr>
          <w:rFonts w:ascii="Calibri" w:cs="Calibri" w:eastAsia="Calibri" w:hAnsi="Calibri"/>
          <w:color w:val="555555"/>
          <w:sz w:val="20"/>
          <w:szCs w:val="20"/>
        </w:rPr>
        <w:t xml:space="preserve">Yes. Many partners use both. Your referral link can be shared with anyone, while your pro subscription link is specifically branded for your clients. Commissions are tracked separately.</w:t>
      </w:r>
    </w:p>
    <w:p>
      <w:pPr>
        <w:spacing w:after="80"/>
      </w:pPr>
    </w:p>
    <w:p>
      <w:pPr>
        <w:pStyle w:val="Heading2"/>
        <w:spacing w:after="80" w:before="200"/>
      </w:pPr>
      <w:r>
        <w:rPr>
          <w:rFonts w:ascii="Calibri" w:cs="Calibri" w:eastAsia="Calibri" w:hAnsi="Calibri"/>
          <w:b/>
          <w:bCs/>
          <w:color w:val="1a2d5a"/>
          <w:sz w:val="22"/>
          <w:szCs w:val="22"/>
        </w:rPr>
        <w:t xml:space="preserve">Can I be a Foundation member and a pro subscriber at the same time?</w:t>
      </w:r>
    </w:p>
    <w:p>
      <w:pPr>
        <w:spacing w:after="100"/>
      </w:pPr>
      <w:r>
        <w:rPr>
          <w:rFonts w:ascii="Calibri" w:cs="Calibri" w:eastAsia="Calibri" w:hAnsi="Calibri"/>
          <w:color w:val="555555"/>
          <w:sz w:val="20"/>
          <w:szCs w:val="20"/>
        </w:rPr>
        <w:t xml:space="preserve">Yes. Foundation membership is an additional tier on top of your existing referral status. It does not affect your pro subscription or your own referral commissions.</w:t>
      </w:r>
    </w:p>
    <w:p>
      <w:pPr>
        <w:spacing w:after="80"/>
      </w:pPr>
    </w:p>
    <w:p>
      <w:pPr>
        <w:pStyle w:val="Heading2"/>
        <w:spacing w:after="80" w:before="200"/>
      </w:pPr>
      <w:r>
        <w:rPr>
          <w:rFonts w:ascii="Calibri" w:cs="Calibri" w:eastAsia="Calibri" w:hAnsi="Calibri"/>
          <w:b/>
          <w:bCs/>
          <w:color w:val="1a2d5a"/>
          <w:sz w:val="22"/>
          <w:szCs w:val="22"/>
        </w:rPr>
        <w:t xml:space="preserve">What credentials appear on the white-label version?</w:t>
      </w:r>
    </w:p>
    <w:p>
      <w:pPr>
        <w:spacing w:after="100"/>
      </w:pPr>
      <w:r>
        <w:rPr>
          <w:rFonts w:ascii="Calibri" w:cs="Calibri" w:eastAsia="Calibri" w:hAnsi="Calibri"/>
          <w:color w:val="555555"/>
          <w:sz w:val="20"/>
          <w:szCs w:val="20"/>
        </w:rPr>
        <w:t xml:space="preserve">Your firm name, your name with credentials, your phone number, and your Calendly scheduling link. Your clients will never see IRS Pilot or Tyrone J. Taylor's name anywhere in the interface.</w:t>
      </w:r>
    </w:p>
    <w:p>
      <w:pPr>
        <w:spacing w:after="80"/>
      </w:pPr>
    </w:p>
    <w:p>
      <w:pPr>
        <w:pStyle w:val="Heading2"/>
        <w:spacing w:after="80" w:before="200"/>
      </w:pPr>
      <w:r>
        <w:rPr>
          <w:rFonts w:ascii="Calibri" w:cs="Calibri" w:eastAsia="Calibri" w:hAnsi="Calibri"/>
          <w:b/>
          <w:bCs/>
          <w:color w:val="1a2d5a"/>
          <w:sz w:val="22"/>
          <w:szCs w:val="22"/>
        </w:rPr>
        <w:t xml:space="preserve">Does the Transcript Analyzer store my client's information?</w:t>
      </w:r>
    </w:p>
    <w:p>
      <w:pPr>
        <w:spacing w:after="100"/>
      </w:pPr>
      <w:r>
        <w:rPr>
          <w:rFonts w:ascii="Calibri" w:cs="Calibri" w:eastAsia="Calibri" w:hAnsi="Calibri"/>
          <w:color w:val="555555"/>
          <w:sz w:val="20"/>
          <w:szCs w:val="20"/>
        </w:rPr>
        <w:t xml:space="preserve">No. Transcripts are processed in memory only and are never stored on the server.</w:t>
      </w:r>
    </w:p>
    <w:p>
      <w:pPr>
        <w:spacing w:after="80"/>
      </w:pPr>
    </w:p>
    <w:p>
      <w:pPr>
        <w:pStyle w:val="Heading2"/>
        <w:spacing w:after="80" w:before="200"/>
      </w:pPr>
      <w:r>
        <w:rPr>
          <w:rFonts w:ascii="Calibri" w:cs="Calibri" w:eastAsia="Calibri" w:hAnsi="Calibri"/>
          <w:b/>
          <w:bCs/>
          <w:color w:val="1a2d5a"/>
          <w:sz w:val="22"/>
          <w:szCs w:val="22"/>
        </w:rPr>
        <w:t xml:space="preserve">How quickly are referral commissions paid?</w:t>
      </w:r>
    </w:p>
    <w:p>
      <w:pPr>
        <w:spacing w:after="100"/>
      </w:pPr>
      <w:r>
        <w:rPr>
          <w:rFonts w:ascii="Calibri" w:cs="Calibri" w:eastAsia="Calibri" w:hAnsi="Calibri"/>
          <w:color w:val="555555"/>
          <w:sz w:val="20"/>
          <w:szCs w:val="20"/>
        </w:rPr>
        <w:t xml:space="preserve">Commissions are tracked automatically and paid manually on a monthly basis. Commissions under $10 roll to the following month.</w:t>
      </w:r>
    </w:p>
    <w:p>
      <w:pPr>
        <w:spacing w:after="80"/>
      </w:pPr>
    </w:p>
    <w:p>
      <w:pPr>
        <w:pStyle w:val="Heading2"/>
        <w:spacing w:after="80" w:before="200"/>
      </w:pPr>
      <w:r>
        <w:rPr>
          <w:rFonts w:ascii="Calibri" w:cs="Calibri" w:eastAsia="Calibri" w:hAnsi="Calibri"/>
          <w:b/>
          <w:bCs/>
          <w:color w:val="1a2d5a"/>
          <w:sz w:val="22"/>
          <w:szCs w:val="22"/>
        </w:rPr>
        <w:t xml:space="preserve">How do I cancel my pro subscription?</w:t>
      </w:r>
    </w:p>
    <w:p>
      <w:pPr>
        <w:spacing w:after="100"/>
      </w:pPr>
      <w:r>
        <w:rPr>
          <w:rFonts w:ascii="Calibri" w:cs="Calibri" w:eastAsia="Calibri" w:hAnsi="Calibri"/>
          <w:color w:val="555555"/>
          <w:sz w:val="20"/>
          <w:szCs w:val="20"/>
        </w:rPr>
        <w:t xml:space="preserve">Email info@irspilot.com to cancel. Your subscription will remain active through the end of the current billing period. No long-term contract — month-to-month only.</w:t>
      </w:r>
    </w:p>
    <w:p>
      <w:pPr>
        <w:spacing w:after="80"/>
      </w:pPr>
    </w:p>
    <w:p>
      <w:pPr>
        <w:pStyle w:val="Heading2"/>
        <w:spacing w:after="80" w:before="200"/>
      </w:pPr>
      <w:r>
        <w:rPr>
          <w:rFonts w:ascii="Calibri" w:cs="Calibri" w:eastAsia="Calibri" w:hAnsi="Calibri"/>
          <w:b/>
          <w:bCs/>
          <w:color w:val="1a2d5a"/>
          <w:sz w:val="22"/>
          <w:szCs w:val="22"/>
        </w:rPr>
        <w:t xml:space="preserve">How do I inquire about the Foundation Program?</w:t>
      </w:r>
    </w:p>
    <w:p>
      <w:pPr>
        <w:spacing w:after="100"/>
      </w:pPr>
      <w:r>
        <w:rPr>
          <w:rFonts w:ascii="Calibri" w:cs="Calibri" w:eastAsia="Calibri" w:hAnsi="Calibri"/>
          <w:color w:val="555555"/>
          <w:sz w:val="20"/>
          <w:szCs w:val="20"/>
        </w:rPr>
        <w:t xml:space="preserve">Email info@irspilot.com with the subject line "Foundation Program Inquiry." Include a brief description of your practice and the network of tax professionals you work with. Tyrone Taylor will review your inquiry personally and follow up directly.</w:t>
      </w:r>
    </w:p>
    <w:p>
      <w:pPr>
        <w:spacing w:after="80"/>
      </w:pPr>
    </w:p>
    <w:p>
      <w:r>
        <w:br w:type="page"/>
      </w:r>
    </w:p>
    <w:p>
      <w:pPr>
        <w:pStyle w:val="Heading1"/>
        <w:pBdr>
          <w:bottom w:val="single" w:color="7ec11f" w:sz="12"/>
        </w:pBdr>
        <w:spacing w:after="120" w:before="320"/>
      </w:pPr>
      <w:r>
        <w:rPr>
          <w:rFonts w:ascii="Calibri" w:cs="Calibri" w:eastAsia="Calibri" w:hAnsi="Calibri"/>
          <w:b/>
          <w:bCs/>
          <w:color w:val="1a2d5a"/>
          <w:sz w:val="28"/>
          <w:szCs w:val="28"/>
        </w:rPr>
        <w:t xml:space="preserve">Contact &amp; Support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shd w:fill="f8f6f1" w:color="auto" w:val="clear"/>
            <w:tcMar>
              <w:top w:type="dxa" w:w="80"/>
              <w:left w:type="dxa" w:w="120"/>
              <w:bottom w:type="dxa" w:w="80"/>
              <w:right w:type="dxa" w:w="120"/>
            </w:tcMar>
          </w:tcPr>
          <w:p>
            <w:r>
              <w:rPr>
                <w:rFonts w:ascii="Calibri" w:cs="Calibri" w:eastAsia="Calibri" w:hAnsi="Calibri"/>
                <w:b/>
                <w:bCs/>
                <w:color w:val="1a2d5a"/>
                <w:sz w:val="18"/>
                <w:szCs w:val="18"/>
              </w:rPr>
              <w:t xml:space="preserve">General inquiries</w:t>
            </w:r>
          </w:p>
        </w:tc>
        <w:tc>
          <w:tcPr>
            <w:tcW w:type="dxa" w:w="68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info@irspilot.com</w:t>
            </w:r>
          </w:p>
        </w:tc>
      </w:tr>
      <w:tr>
        <w:tc>
          <w:tcPr>
            <w:tcW w:type="dxa" w:w="2500"/>
            <w:shd w:fill="FFFFFF" w:color="auto" w:val="clear"/>
            <w:tcMar>
              <w:top w:type="dxa" w:w="80"/>
              <w:left w:type="dxa" w:w="120"/>
              <w:bottom w:type="dxa" w:w="80"/>
              <w:right w:type="dxa" w:w="120"/>
            </w:tcMar>
          </w:tcPr>
          <w:p>
            <w:r>
              <w:rPr>
                <w:rFonts w:ascii="Calibri" w:cs="Calibri" w:eastAsia="Calibri" w:hAnsi="Calibri"/>
                <w:b/>
                <w:bCs/>
                <w:color w:val="1a2d5a"/>
                <w:sz w:val="18"/>
                <w:szCs w:val="18"/>
              </w:rPr>
              <w:t xml:space="preserve">Commission &amp; payout questions</w:t>
            </w:r>
          </w:p>
        </w:tc>
        <w:tc>
          <w:tcPr>
            <w:tcW w:type="dxa" w:w="68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info@irspilot.com — subject: Commission Question</w:t>
            </w:r>
          </w:p>
        </w:tc>
      </w:tr>
      <w:tr>
        <w:tc>
          <w:tcPr>
            <w:tcW w:type="dxa" w:w="2500"/>
            <w:shd w:fill="f8f6f1" w:color="auto" w:val="clear"/>
            <w:tcMar>
              <w:top w:type="dxa" w:w="80"/>
              <w:left w:type="dxa" w:w="120"/>
              <w:bottom w:type="dxa" w:w="80"/>
              <w:right w:type="dxa" w:w="120"/>
            </w:tcMar>
          </w:tcPr>
          <w:p>
            <w:r>
              <w:rPr>
                <w:rFonts w:ascii="Calibri" w:cs="Calibri" w:eastAsia="Calibri" w:hAnsi="Calibri"/>
                <w:b/>
                <w:bCs/>
                <w:color w:val="1a2d5a"/>
                <w:sz w:val="18"/>
                <w:szCs w:val="18"/>
              </w:rPr>
              <w:t xml:space="preserve">Foundation Program inquiry</w:t>
            </w:r>
          </w:p>
        </w:tc>
        <w:tc>
          <w:tcPr>
            <w:tcW w:type="dxa" w:w="68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info@irspilot.com — subject: Foundation Program Inquiry</w:t>
            </w:r>
          </w:p>
        </w:tc>
      </w:tr>
      <w:tr>
        <w:tc>
          <w:tcPr>
            <w:tcW w:type="dxa" w:w="2500"/>
            <w:shd w:fill="FFFFFF" w:color="auto" w:val="clear"/>
            <w:tcMar>
              <w:top w:type="dxa" w:w="80"/>
              <w:left w:type="dxa" w:w="120"/>
              <w:bottom w:type="dxa" w:w="80"/>
              <w:right w:type="dxa" w:w="120"/>
            </w:tcMar>
          </w:tcPr>
          <w:p>
            <w:r>
              <w:rPr>
                <w:rFonts w:ascii="Calibri" w:cs="Calibri" w:eastAsia="Calibri" w:hAnsi="Calibri"/>
                <w:b/>
                <w:bCs/>
                <w:color w:val="1a2d5a"/>
                <w:sz w:val="18"/>
                <w:szCs w:val="18"/>
              </w:rPr>
              <w:t xml:space="preserve">Pro subscription support</w:t>
            </w:r>
          </w:p>
        </w:tc>
        <w:tc>
          <w:tcPr>
            <w:tcW w:type="dxa" w:w="68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info@irspilot.com — subject: Pro Subscription</w:t>
            </w:r>
          </w:p>
        </w:tc>
      </w:tr>
      <w:tr>
        <w:tc>
          <w:tcPr>
            <w:tcW w:type="dxa" w:w="2500"/>
            <w:shd w:fill="f8f6f1" w:color="auto" w:val="clear"/>
            <w:tcMar>
              <w:top w:type="dxa" w:w="80"/>
              <w:left w:type="dxa" w:w="120"/>
              <w:bottom w:type="dxa" w:w="80"/>
              <w:right w:type="dxa" w:w="120"/>
            </w:tcMar>
          </w:tcPr>
          <w:p>
            <w:r>
              <w:rPr>
                <w:rFonts w:ascii="Calibri" w:cs="Calibri" w:eastAsia="Calibri" w:hAnsi="Calibri"/>
                <w:b/>
                <w:bCs/>
                <w:color w:val="1a2d5a"/>
                <w:sz w:val="18"/>
                <w:szCs w:val="18"/>
              </w:rPr>
              <w:t xml:space="preserve">Phone</w:t>
            </w:r>
          </w:p>
        </w:tc>
        <w:tc>
          <w:tcPr>
            <w:tcW w:type="dxa" w:w="68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(615) 953-7124</w:t>
            </w:r>
          </w:p>
        </w:tc>
      </w:tr>
      <w:tr>
        <w:tc>
          <w:tcPr>
            <w:tcW w:type="dxa" w:w="2500"/>
            <w:shd w:fill="FFFFFF" w:color="auto" w:val="clear"/>
            <w:tcMar>
              <w:top w:type="dxa" w:w="80"/>
              <w:left w:type="dxa" w:w="120"/>
              <w:bottom w:type="dxa" w:w="80"/>
              <w:right w:type="dxa" w:w="120"/>
            </w:tcMar>
          </w:tcPr>
          <w:p>
            <w:r>
              <w:rPr>
                <w:rFonts w:ascii="Calibri" w:cs="Calibri" w:eastAsia="Calibri" w:hAnsi="Calibri"/>
                <w:b/>
                <w:bCs/>
                <w:color w:val="1a2d5a"/>
                <w:sz w:val="18"/>
                <w:szCs w:val="18"/>
              </w:rPr>
              <w:t xml:space="preserve">Website</w:t>
            </w:r>
          </w:p>
        </w:tc>
        <w:tc>
          <w:tcPr>
            <w:tcW w:type="dxa" w:w="68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www.irspilot.com</w:t>
            </w:r>
          </w:p>
        </w:tc>
      </w:tr>
      <w:tr>
        <w:tc>
          <w:tcPr>
            <w:tcW w:type="dxa" w:w="2500"/>
            <w:shd w:fill="f8f6f1" w:color="auto" w:val="clear"/>
            <w:tcMar>
              <w:top w:type="dxa" w:w="80"/>
              <w:left w:type="dxa" w:w="120"/>
              <w:bottom w:type="dxa" w:w="80"/>
              <w:right w:type="dxa" w:w="120"/>
            </w:tcMar>
          </w:tcPr>
          <w:p>
            <w:r>
              <w:rPr>
                <w:rFonts w:ascii="Calibri" w:cs="Calibri" w:eastAsia="Calibri" w:hAnsi="Calibri"/>
                <w:b/>
                <w:bCs/>
                <w:color w:val="1a2d5a"/>
                <w:sz w:val="18"/>
                <w:szCs w:val="18"/>
              </w:rPr>
              <w:t xml:space="preserve">Referral dashboard</w:t>
            </w:r>
          </w:p>
        </w:tc>
        <w:tc>
          <w:tcPr>
            <w:tcW w:type="dxa" w:w="6860"/>
            <w:shd w:fill="f8f6f1" w:color="auto" w:val="clear"/>
            <w:tcMar>
              <w:top w:type="dxa" w:w="80"/>
              <w:left w:type="dxa" w:w="120"/>
              <w:bottom w:type="dxa" w:w="80"/>
              <w:right w:type="dxa" w:w="120"/>
            </w:tcMar>
          </w:tcPr>
          <w:p>
            <w:r>
              <w:rPr>
                <w:rFonts w:ascii="Calibri" w:cs="Calibri" w:eastAsia="Calibri" w:hAnsi="Calibri"/>
                <w:color w:val="555555"/>
                <w:sz w:val="18"/>
                <w:szCs w:val="18"/>
              </w:rPr>
              <w:t xml:space="preserve">irspilot.com/referral</w:t>
            </w:r>
          </w:p>
        </w:tc>
      </w:tr>
      <w:tr>
        <w:tc>
          <w:tcPr>
            <w:tcW w:type="dxa" w:w="2500"/>
            <w:shd w:fill="FFFFFF" w:color="auto" w:val="clear"/>
            <w:tcMar>
              <w:top w:type="dxa" w:w="80"/>
              <w:left w:type="dxa" w:w="120"/>
              <w:bottom w:type="dxa" w:w="80"/>
              <w:right w:type="dxa" w:w="120"/>
            </w:tcMar>
          </w:tcPr>
          <w:p>
            <w:r>
              <w:rPr>
                <w:rFonts w:ascii="Calibri" w:cs="Calibri" w:eastAsia="Calibri" w:hAnsi="Calibri"/>
                <w:b/>
                <w:bCs/>
                <w:color w:val="1a2d5a"/>
                <w:sz w:val="18"/>
                <w:szCs w:val="18"/>
              </w:rPr>
              <w:t xml:space="preserve">Tax Pro page</w:t>
            </w:r>
          </w:p>
        </w:tc>
        <w:tc>
          <w:tcPr>
            <w:tcW w:type="dxa" w:w="6860"/>
            <w:shd w:fill="FFFFFF" w:color="auto" w:val="clear"/>
            <w:tcMar>
              <w:top w:type="dxa" w:w="80"/>
              <w:left w:type="dxa" w:w="120"/>
              <w:bottom w:type="dxa" w:w="80"/>
              <w:right w:type="dxa" w:w="120"/>
            </w:tcMar>
          </w:tcPr>
          <w:p>
            <w:r>
              <w:rPr>
                <w:rFonts w:ascii="Calibri" w:cs="Calibri" w:eastAsia="Calibri" w:hAnsi="Calibri"/>
                <w:color w:val="555555"/>
                <w:sz w:val="18"/>
                <w:szCs w:val="18"/>
              </w:rPr>
              <w:t xml:space="preserve">irspilot.com/taxpro</w:t>
            </w:r>
          </w:p>
        </w:tc>
      </w:tr>
    </w:tbl>
    <w:p>
      <w:pPr>
        <w:spacing w:after="8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dxa" w:w="9360"/>
            <w:tcBorders>
              <w:top w:val="single" w:color="7ec11f" w:sz="6"/>
              <w:left w:val="single" w:color="7ec11f" w:sz="6"/>
              <w:bottom w:val="single" w:color="7ec11f" w:sz="6"/>
              <w:right w:val="single" w:color="7ec11f" w:sz="6"/>
            </w:tcBorders>
            <w:shd w:fill="f0f7e8" w:color="auto" w:val="clear"/>
            <w:tcMar>
              <w:top w:type="dxa" w:w="120"/>
              <w:left w:type="dxa" w:w="200"/>
              <w:bottom w:type="dxa" w:w="120"/>
              <w:right w:type="dxa" w:w="200"/>
            </w:tcMar>
          </w:tcPr>
          <w:p>
            <w:r>
              <w:rPr>
                <w:rFonts w:ascii="Calibri" w:cs="Calibri" w:eastAsia="Calibri" w:hAnsi="Calibri"/>
                <w:i/>
                <w:iCs/>
                <w:color w:val="1a2d5a"/>
                <w:sz w:val="20"/>
                <w:szCs w:val="20"/>
              </w:rPr>
              <w:t xml:space="preserve">This document is confidential and intended for partner use only. Do not distribute outside your organization without written permission from IRS Pilot LLC.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IRS Pilot LLC  ·  info@irspilot.com  ·  (615) 953-7124  ·  Confidential — Partner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3080"/>
    </w:tblGrid>
    <w:tr>
      <w:tc>
        <w:tcPr>
          <w:tcW w:type="dxa" w:w="7000"/>
          <w:shd w:fill="1a2d5a" w:color="auto" w:val="clear"/>
          <w:tcMar>
            <w:top w:type="dxa" w:w="80"/>
            <w:left w:type="dxa" w:w="200"/>
            <w:bottom w:type="dxa" w:w="80"/>
            <w:right w:type="dxa" w:w="200"/>
          </w:tcMar>
        </w:tcPr>
        <w:p>
          <w:r>
            <w:rPr>
              <w:rFonts w:ascii="Calibri" w:cs="Calibri" w:eastAsia="Calibri" w:hAnsi="Calibri"/>
              <w:b/>
              <w:bCs/>
              <w:color w:val="FFFFFF"/>
              <w:sz w:val="18"/>
              <w:szCs w:val="18"/>
            </w:rPr>
            <w:t xml:space="preserve">IRS Pilot  |  Tax Practitioner Partner Guide</w:t>
          </w:r>
        </w:p>
      </w:tc>
      <w:tc>
        <w:tcPr>
          <w:tcW w:type="dxa" w:w="3080"/>
          <w:shd w:fill="7ec11f" w:color="auto" w:val="clear"/>
          <w:tcMar>
            <w:top w:type="dxa" w:w="80"/>
            <w:left w:type="dxa" w:w="120"/>
            <w:bottom w:type="dxa" w:w="80"/>
            <w:right w:type="dxa" w:w="120"/>
          </w:tcMar>
          <w:vAlign w:val="center"/>
        </w:tcPr>
        <w:p>
          <w:pPr>
            <w:jc w:val="right"/>
          </w:pPr>
          <w:r>
            <w:rPr>
              <w:rFonts w:ascii="Calibri" w:cs="Calibri" w:eastAsia="Calibri" w:hAnsi="Calibri"/>
              <w:b/>
              <w:bCs/>
              <w:color w:val="1a2d5a"/>
              <w:sz w:val="16"/>
              <w:szCs w:val="16"/>
            </w:rPr>
            <w:t xml:space="preserve">www.irspilot.com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2026-08-26T14:17:07.515Z</dcterms:created>
  <dcterms:modified xsi:type="dcterms:W3CDTF">2026-08-26T14:17:07.531Z</dcterms:modified>
</cp:coreProperties>
</file>

<file path=docProps/custom.xml><?xml version="1.0" encoding="utf-8"?>
<Properties xmlns="http://schemas.openxmlformats.org/officeDocument/2006/custom-properties" xmlns:vt="http://schemas.openxmlformats.org/officeDocument/2006/docPropsVTypes"/>
</file>