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D0A09" w14:textId="77777777" w:rsidR="00650C27" w:rsidRDefault="00650C27"/>
    <w:p w14:paraId="3F96D9AE" w14:textId="1CCD5464" w:rsidR="00D537B7" w:rsidRDefault="007F3771">
      <w:r>
        <w:t>Here’s the structure of the P1 and P2 adaptors, taken from Peterson et al 2012</w:t>
      </w:r>
    </w:p>
    <w:p w14:paraId="1929BCF5" w14:textId="77777777" w:rsidR="00D537B7" w:rsidRDefault="00D537B7">
      <w:r>
        <w:t xml:space="preserve"> </w:t>
      </w:r>
    </w:p>
    <w:p w14:paraId="7142C730" w14:textId="3C8CCB50" w:rsidR="00D537B7" w:rsidRDefault="00D537B7">
      <w:pPr>
        <w:rPr>
          <w:rFonts w:ascii="Courier" w:hAnsi="Courier"/>
        </w:rPr>
      </w:pPr>
      <w:r>
        <w:rPr>
          <w:rFonts w:ascii="Courier" w:hAnsi="Courier"/>
        </w:rPr>
        <w:t xml:space="preserve">P1 </w:t>
      </w:r>
      <w:r w:rsidR="004B0E50">
        <w:rPr>
          <w:rFonts w:ascii="Courier" w:hAnsi="Courier"/>
        </w:rPr>
        <w:t xml:space="preserve">flex </w:t>
      </w:r>
      <w:r>
        <w:rPr>
          <w:rFonts w:ascii="Courier" w:hAnsi="Courier"/>
        </w:rPr>
        <w:t>adaptor</w:t>
      </w:r>
      <w:r w:rsidR="007F3B93">
        <w:rPr>
          <w:rFonts w:ascii="Courier" w:hAnsi="Courier"/>
        </w:rPr>
        <w:t xml:space="preserve">, </w:t>
      </w:r>
      <w:r w:rsidR="007F3B93" w:rsidRPr="007F3B93">
        <w:rPr>
          <w:rFonts w:ascii="Courier" w:hAnsi="Courier"/>
          <w:color w:val="0070C0"/>
        </w:rPr>
        <w:t xml:space="preserve">contains sample barcode </w:t>
      </w:r>
      <w:r w:rsidR="007F3B93">
        <w:rPr>
          <w:rFonts w:ascii="Courier" w:hAnsi="Courier"/>
        </w:rPr>
        <w:t>(</w:t>
      </w:r>
      <w:proofErr w:type="spellStart"/>
      <w:r w:rsidR="007F3B93" w:rsidRPr="007F3B93">
        <w:rPr>
          <w:rFonts w:ascii="Courier" w:hAnsi="Courier"/>
          <w:color w:val="FF0000"/>
        </w:rPr>
        <w:t>NlaIII</w:t>
      </w:r>
      <w:proofErr w:type="spellEnd"/>
      <w:r w:rsidR="007F3B93" w:rsidRPr="007F3B93">
        <w:rPr>
          <w:rFonts w:ascii="Courier" w:hAnsi="Courier"/>
          <w:color w:val="FF0000"/>
        </w:rPr>
        <w:t xml:space="preserve"> overhang</w:t>
      </w:r>
      <w:r w:rsidR="007F3B93">
        <w:rPr>
          <w:rFonts w:ascii="Courier" w:hAnsi="Courier"/>
        </w:rPr>
        <w:t>)</w:t>
      </w:r>
    </w:p>
    <w:p w14:paraId="00609083" w14:textId="6B5A1719" w:rsidR="004B0E50" w:rsidRDefault="004B0E50">
      <w:pPr>
        <w:rPr>
          <w:rFonts w:ascii="Courier" w:hAnsi="Courier"/>
        </w:rPr>
      </w:pPr>
      <w:r>
        <w:rPr>
          <w:rFonts w:ascii="Courier" w:hAnsi="Courier"/>
        </w:rPr>
        <w:t>For the flex adaptors, the overhang is on the P1.1 oligo, not the</w:t>
      </w:r>
    </w:p>
    <w:p w14:paraId="48C93DF1" w14:textId="4D185E3C" w:rsidR="004B0E50" w:rsidRDefault="004B0E50">
      <w:pPr>
        <w:rPr>
          <w:rFonts w:ascii="Courier" w:hAnsi="Courier"/>
        </w:rPr>
      </w:pPr>
      <w:r>
        <w:rPr>
          <w:rFonts w:ascii="Courier" w:hAnsi="Courier"/>
        </w:rPr>
        <w:t xml:space="preserve">P1.2 oligo seen in the Peterson sup mat. </w:t>
      </w:r>
    </w:p>
    <w:p w14:paraId="29E06184" w14:textId="77777777" w:rsidR="007F3B93" w:rsidRDefault="007F3B93">
      <w:pPr>
        <w:rPr>
          <w:rFonts w:ascii="Courier" w:hAnsi="Courier"/>
        </w:rPr>
      </w:pPr>
    </w:p>
    <w:p w14:paraId="2009E025" w14:textId="77777777" w:rsidR="00D537B7" w:rsidRDefault="00D537B7">
      <w:pPr>
        <w:rPr>
          <w:rFonts w:ascii="Courier" w:hAnsi="Courier"/>
        </w:rPr>
      </w:pPr>
      <w:r>
        <w:rPr>
          <w:rFonts w:ascii="Courier" w:hAnsi="Courier"/>
        </w:rPr>
        <w:t xml:space="preserve">P1.1 5’ </w:t>
      </w:r>
      <w:proofErr w:type="spellStart"/>
      <w:r w:rsidRPr="007F3B93">
        <w:rPr>
          <w:rFonts w:ascii="Courier" w:hAnsi="Courier"/>
          <w:color w:val="00B050"/>
        </w:rPr>
        <w:t>ACACTCTTTCCCTACACGACG</w:t>
      </w:r>
      <w:r>
        <w:rPr>
          <w:rFonts w:ascii="Courier" w:hAnsi="Courier"/>
        </w:rPr>
        <w:t>CTCTTCCGATCT</w:t>
      </w:r>
      <w:r w:rsidRPr="00D537B7">
        <w:rPr>
          <w:rFonts w:ascii="Courier" w:hAnsi="Courier"/>
          <w:color w:val="0070C0"/>
        </w:rPr>
        <w:t>gcatg</w:t>
      </w:r>
      <w:r w:rsidRPr="00D537B7">
        <w:rPr>
          <w:rFonts w:ascii="Courier" w:hAnsi="Courier"/>
          <w:color w:val="FF0000"/>
        </w:rPr>
        <w:t>CATG</w:t>
      </w:r>
      <w:proofErr w:type="spellEnd"/>
      <w:r>
        <w:rPr>
          <w:rFonts w:ascii="Courier" w:hAnsi="Courier"/>
        </w:rPr>
        <w:t xml:space="preserve"> 3’</w:t>
      </w:r>
    </w:p>
    <w:p w14:paraId="35E8A117" w14:textId="77777777" w:rsidR="007F3B93" w:rsidRDefault="007F3B93">
      <w:pPr>
        <w:rPr>
          <w:rFonts w:ascii="Courier" w:hAnsi="Courier"/>
        </w:rPr>
      </w:pPr>
      <w:r>
        <w:rPr>
          <w:rFonts w:ascii="Courier" w:hAnsi="Courier"/>
        </w:rPr>
        <w:t xml:space="preserve">        ||||||||||||||||||||||||||||||||||||||</w:t>
      </w:r>
    </w:p>
    <w:p w14:paraId="3878CB4B" w14:textId="77777777" w:rsidR="00D537B7" w:rsidRDefault="00D537B7">
      <w:pPr>
        <w:rPr>
          <w:rFonts w:ascii="Courier" w:hAnsi="Courier"/>
        </w:rPr>
      </w:pPr>
      <w:r>
        <w:rPr>
          <w:rFonts w:ascii="Courier" w:hAnsi="Courier"/>
        </w:rPr>
        <w:t xml:space="preserve">P1.2 3’ </w:t>
      </w:r>
      <w:proofErr w:type="spellStart"/>
      <w:r w:rsidR="007F3B93">
        <w:rPr>
          <w:rFonts w:ascii="Courier" w:hAnsi="Courier"/>
        </w:rPr>
        <w:t>TGTGAGAAAGGGATGTGCTGCGAGAAGGCTAGA</w:t>
      </w:r>
      <w:r w:rsidR="007F3B93" w:rsidRPr="007F3B93">
        <w:rPr>
          <w:rFonts w:ascii="Courier" w:hAnsi="Courier"/>
          <w:color w:val="0070C0"/>
        </w:rPr>
        <w:t>cgtac</w:t>
      </w:r>
      <w:proofErr w:type="spellEnd"/>
      <w:r w:rsidR="007F3B93">
        <w:rPr>
          <w:rFonts w:ascii="Courier" w:hAnsi="Courier"/>
        </w:rPr>
        <w:t>-PHOS 5’</w:t>
      </w:r>
    </w:p>
    <w:p w14:paraId="0D1BD138" w14:textId="77777777" w:rsidR="007F3B93" w:rsidRDefault="007F3B93">
      <w:pPr>
        <w:rPr>
          <w:rFonts w:ascii="Courier" w:hAnsi="Courier"/>
        </w:rPr>
      </w:pPr>
    </w:p>
    <w:p w14:paraId="7F360411" w14:textId="77777777" w:rsidR="007F3B93" w:rsidRDefault="007F3B93">
      <w:pPr>
        <w:rPr>
          <w:rFonts w:ascii="Courier" w:hAnsi="Courier"/>
        </w:rPr>
      </w:pPr>
      <w:r>
        <w:rPr>
          <w:rFonts w:ascii="Courier" w:hAnsi="Courier"/>
        </w:rPr>
        <w:t>P2 adaptor, no barcodes (</w:t>
      </w:r>
      <w:proofErr w:type="spellStart"/>
      <w:r w:rsidRPr="007F3B93">
        <w:rPr>
          <w:rFonts w:ascii="Courier" w:hAnsi="Courier"/>
          <w:color w:val="FF0000"/>
        </w:rPr>
        <w:t>MseI</w:t>
      </w:r>
      <w:proofErr w:type="spellEnd"/>
      <w:r w:rsidRPr="007F3B93">
        <w:rPr>
          <w:rFonts w:ascii="Courier" w:hAnsi="Courier"/>
          <w:color w:val="FF0000"/>
        </w:rPr>
        <w:t xml:space="preserve"> overhang</w:t>
      </w:r>
      <w:r>
        <w:rPr>
          <w:rFonts w:ascii="Courier" w:hAnsi="Courier"/>
        </w:rPr>
        <w:t>)</w:t>
      </w:r>
    </w:p>
    <w:p w14:paraId="5646FF41" w14:textId="77777777" w:rsidR="007F3B93" w:rsidRDefault="007F3B93">
      <w:pPr>
        <w:rPr>
          <w:rFonts w:ascii="Courier" w:hAnsi="Courier"/>
        </w:rPr>
      </w:pPr>
    </w:p>
    <w:p w14:paraId="7CBB3CD9" w14:textId="44174354" w:rsidR="007F3B93" w:rsidRDefault="007F3B93">
      <w:pPr>
        <w:rPr>
          <w:rFonts w:ascii="Courier" w:hAnsi="Courier"/>
        </w:rPr>
      </w:pPr>
      <w:r>
        <w:rPr>
          <w:rFonts w:ascii="Courier" w:hAnsi="Courier"/>
        </w:rPr>
        <w:t xml:space="preserve">P2.1 5’     </w:t>
      </w:r>
      <w:r w:rsidRPr="007F3B93">
        <w:rPr>
          <w:rFonts w:ascii="Courier" w:hAnsi="Courier"/>
          <w:color w:val="00B050"/>
        </w:rPr>
        <w:t>GTGACTGGAGTTCAGACGTGTGC</w:t>
      </w:r>
      <w:r w:rsidRPr="007F3B93">
        <w:rPr>
          <w:rFonts w:ascii="Courier" w:hAnsi="Courier"/>
        </w:rPr>
        <w:t>TCTTCCGATCT</w:t>
      </w:r>
      <w:r>
        <w:rPr>
          <w:rFonts w:ascii="Courier" w:hAnsi="Courier"/>
        </w:rPr>
        <w:t xml:space="preserve"> </w:t>
      </w:r>
      <w:r w:rsidR="00AB30E2">
        <w:rPr>
          <w:rFonts w:ascii="Courier" w:hAnsi="Courier"/>
        </w:rPr>
        <w:t xml:space="preserve">     </w:t>
      </w:r>
      <w:r>
        <w:rPr>
          <w:rFonts w:ascii="Courier" w:hAnsi="Courier"/>
        </w:rPr>
        <w:t>3’</w:t>
      </w:r>
    </w:p>
    <w:p w14:paraId="361A41AD" w14:textId="77777777" w:rsidR="007F3B93" w:rsidRDefault="007F3B93">
      <w:pPr>
        <w:rPr>
          <w:rFonts w:ascii="Courier" w:hAnsi="Courier"/>
        </w:rPr>
      </w:pPr>
      <w:r>
        <w:rPr>
          <w:rFonts w:ascii="Courier" w:hAnsi="Courier"/>
        </w:rPr>
        <w:t xml:space="preserve">                                 |||||||||||||             </w:t>
      </w:r>
    </w:p>
    <w:p w14:paraId="12ABC619" w14:textId="3AD24514" w:rsidR="007F3B93" w:rsidRDefault="007F3B93">
      <w:pPr>
        <w:rPr>
          <w:rFonts w:ascii="Courier" w:hAnsi="Courier"/>
          <w:color w:val="FF0000"/>
        </w:rPr>
      </w:pPr>
      <w:r>
        <w:rPr>
          <w:rFonts w:ascii="Courier" w:hAnsi="Courier"/>
        </w:rPr>
        <w:t xml:space="preserve">P2.2 3’              </w:t>
      </w:r>
      <w:r w:rsidR="00A8323E">
        <w:rPr>
          <w:rFonts w:ascii="Courier" w:hAnsi="Courier"/>
        </w:rPr>
        <w:t>BIO</w:t>
      </w:r>
      <w:r>
        <w:rPr>
          <w:rFonts w:ascii="Courier" w:hAnsi="Courier"/>
        </w:rPr>
        <w:t>/AACAAGAGCGAGAAGGCTAGA</w:t>
      </w:r>
      <w:r w:rsidRPr="007F3B93">
        <w:rPr>
          <w:rFonts w:ascii="Courier" w:hAnsi="Courier"/>
          <w:color w:val="FF0000"/>
        </w:rPr>
        <w:t>TTAA</w:t>
      </w:r>
      <w:r w:rsidR="00997537">
        <w:rPr>
          <w:rFonts w:ascii="Courier" w:hAnsi="Courier"/>
          <w:color w:val="FF0000"/>
        </w:rPr>
        <w:t>/5Phos</w:t>
      </w:r>
      <w:bookmarkStart w:id="0" w:name="_GoBack"/>
      <w:bookmarkEnd w:id="0"/>
      <w:r w:rsidR="00AB30E2">
        <w:rPr>
          <w:rFonts w:ascii="Courier" w:hAnsi="Courier"/>
          <w:color w:val="FF0000"/>
        </w:rPr>
        <w:t xml:space="preserve">  </w:t>
      </w:r>
      <w:r w:rsidR="00AB30E2" w:rsidRPr="00AB30E2">
        <w:rPr>
          <w:rFonts w:ascii="Courier" w:hAnsi="Courier"/>
          <w:color w:val="000000" w:themeColor="text1"/>
        </w:rPr>
        <w:t>5’</w:t>
      </w:r>
    </w:p>
    <w:p w14:paraId="62DB72FD" w14:textId="77777777" w:rsidR="007F3B93" w:rsidRDefault="007F3B93">
      <w:pPr>
        <w:rPr>
          <w:rFonts w:ascii="Courier" w:hAnsi="Courier"/>
        </w:rPr>
      </w:pPr>
    </w:p>
    <w:p w14:paraId="17D73FCF" w14:textId="77777777" w:rsidR="007F3B93" w:rsidRDefault="007F3B93">
      <w:pPr>
        <w:rPr>
          <w:rFonts w:ascii="Courier" w:hAnsi="Courier"/>
          <w:color w:val="00B050"/>
        </w:rPr>
      </w:pPr>
      <w:r>
        <w:rPr>
          <w:rFonts w:ascii="Courier" w:hAnsi="Courier"/>
          <w:color w:val="00B050"/>
        </w:rPr>
        <w:t>Green sequences are the recognition sites for the PCR amplification step</w:t>
      </w:r>
    </w:p>
    <w:p w14:paraId="15B15E17" w14:textId="77777777" w:rsidR="00AB30E2" w:rsidRDefault="00AB30E2">
      <w:pPr>
        <w:rPr>
          <w:rFonts w:ascii="Courier" w:hAnsi="Courier"/>
          <w:color w:val="00B050"/>
        </w:rPr>
      </w:pPr>
    </w:p>
    <w:p w14:paraId="50734324" w14:textId="523F4BE8" w:rsidR="00AB30E2" w:rsidRDefault="00AB30E2">
      <w:pPr>
        <w:rPr>
          <w:rFonts w:ascii="Courier" w:hAnsi="Courier"/>
          <w:color w:val="000000" w:themeColor="text1"/>
        </w:rPr>
      </w:pPr>
      <w:r w:rsidRPr="00AB30E2">
        <w:rPr>
          <w:rFonts w:ascii="Courier" w:hAnsi="Courier"/>
          <w:color w:val="000000" w:themeColor="text1"/>
        </w:rPr>
        <w:t>What thi</w:t>
      </w:r>
      <w:r>
        <w:rPr>
          <w:rFonts w:ascii="Courier" w:hAnsi="Courier"/>
          <w:color w:val="000000" w:themeColor="text1"/>
        </w:rPr>
        <w:t xml:space="preserve">s looks like for a full RAD tag containing </w:t>
      </w:r>
      <w:r w:rsidRPr="00AB30E2">
        <w:rPr>
          <w:rFonts w:ascii="Courier" w:hAnsi="Courier"/>
          <w:color w:val="7030A0"/>
        </w:rPr>
        <w:t>genomic DNA</w:t>
      </w:r>
      <w:r w:rsidR="00926A5D">
        <w:rPr>
          <w:rFonts w:ascii="Courier" w:hAnsi="Courier"/>
          <w:color w:val="000000" w:themeColor="text1"/>
        </w:rPr>
        <w:t xml:space="preserve">. The read 1 and read 2 sequencing primer sites are underlined. </w:t>
      </w:r>
    </w:p>
    <w:p w14:paraId="437FADF1" w14:textId="77777777" w:rsidR="00AB30E2" w:rsidRDefault="00AB30E2">
      <w:pPr>
        <w:rPr>
          <w:rFonts w:ascii="Courier" w:hAnsi="Courier"/>
          <w:color w:val="000000" w:themeColor="text1"/>
        </w:rPr>
      </w:pPr>
    </w:p>
    <w:p w14:paraId="1440BE56" w14:textId="0A6B3164" w:rsidR="00AB30E2" w:rsidRPr="001334C8" w:rsidRDefault="00AB30E2">
      <w:pPr>
        <w:rPr>
          <w:rFonts w:ascii="Courier" w:hAnsi="Courier"/>
          <w:color w:val="000000" w:themeColor="text1"/>
        </w:rPr>
      </w:pPr>
      <w:r>
        <w:rPr>
          <w:rFonts w:ascii="Courier" w:hAnsi="Courier"/>
          <w:color w:val="000000" w:themeColor="text1"/>
        </w:rPr>
        <w:t xml:space="preserve">5’ </w:t>
      </w:r>
      <w:r w:rsidRPr="00926A5D">
        <w:rPr>
          <w:rFonts w:ascii="Courier" w:hAnsi="Courier"/>
          <w:color w:val="00B050"/>
          <w:u w:val="single"/>
        </w:rPr>
        <w:t>ACACTCTTTCCCTACACGACG</w:t>
      </w:r>
      <w:r w:rsidRPr="00926A5D">
        <w:rPr>
          <w:rFonts w:ascii="Courier" w:hAnsi="Courier"/>
          <w:u w:val="single"/>
        </w:rPr>
        <w:t>CTCTTCCGATCT</w:t>
      </w:r>
      <w:r w:rsidRPr="00D537B7">
        <w:rPr>
          <w:rFonts w:ascii="Courier" w:hAnsi="Courier"/>
          <w:color w:val="0070C0"/>
        </w:rPr>
        <w:t>gcatg</w:t>
      </w:r>
      <w:r w:rsidRPr="00D537B7">
        <w:rPr>
          <w:rFonts w:ascii="Courier" w:hAnsi="Courier"/>
          <w:color w:val="FF0000"/>
        </w:rPr>
        <w:t>CATG</w:t>
      </w:r>
      <w:r w:rsidRPr="00AB30E2">
        <w:rPr>
          <w:rFonts w:ascii="Courier" w:hAnsi="Courier"/>
          <w:color w:val="7030A0"/>
        </w:rPr>
        <w:t>NNNN</w:t>
      </w:r>
      <w:r w:rsidR="001334C8" w:rsidRPr="001334C8">
        <w:rPr>
          <w:rFonts w:ascii="Courier" w:hAnsi="Courier"/>
          <w:color w:val="FF0000"/>
        </w:rPr>
        <w:t>AATT</w:t>
      </w:r>
      <w:r w:rsidR="001334C8">
        <w:rPr>
          <w:rFonts w:ascii="Courier" w:hAnsi="Courier"/>
          <w:color w:val="000000" w:themeColor="text1"/>
        </w:rPr>
        <w:t>AGATCGGAAGAGCGAGAACAA/BIO 3’</w:t>
      </w:r>
    </w:p>
    <w:p w14:paraId="70E38B0D" w14:textId="257118B8" w:rsidR="00AB30E2" w:rsidRDefault="001334C8">
      <w:pPr>
        <w:rPr>
          <w:rFonts w:ascii="Courier" w:hAnsi="Courier"/>
          <w:color w:val="00B050"/>
        </w:rPr>
      </w:pPr>
      <w:r>
        <w:rPr>
          <w:rFonts w:ascii="Courier" w:hAnsi="Courier"/>
          <w:color w:val="00B050"/>
        </w:rPr>
        <w:t xml:space="preserve">   </w:t>
      </w:r>
      <w:r w:rsidRPr="001334C8">
        <w:rPr>
          <w:rFonts w:ascii="Courier" w:hAnsi="Courier"/>
          <w:color w:val="000000" w:themeColor="text1"/>
        </w:rPr>
        <w:t>|||P1 ADAPTER ||||||||||||||||||||||||</w:t>
      </w:r>
      <w:r>
        <w:rPr>
          <w:rFonts w:ascii="Courier" w:hAnsi="Courier"/>
          <w:color w:val="00B050"/>
        </w:rPr>
        <w:tab/>
        <w:t xml:space="preserve">        ||</w:t>
      </w:r>
      <w:r w:rsidR="0054473F" w:rsidRPr="007F3771">
        <w:rPr>
          <w:rFonts w:ascii="Courier" w:hAnsi="Courier"/>
          <w:color w:val="000000" w:themeColor="text1"/>
        </w:rPr>
        <w:t>P2 ADAPTER</w:t>
      </w:r>
    </w:p>
    <w:p w14:paraId="79A6C750" w14:textId="22BC33C7" w:rsidR="00AB30E2" w:rsidRPr="001334C8" w:rsidRDefault="00AB30E2">
      <w:pPr>
        <w:rPr>
          <w:rFonts w:ascii="Courier" w:hAnsi="Courier"/>
          <w:color w:val="538135" w:themeColor="accent6" w:themeShade="BF"/>
        </w:rPr>
      </w:pPr>
      <w:r w:rsidRPr="00AB30E2">
        <w:rPr>
          <w:rFonts w:ascii="Courier" w:hAnsi="Courier"/>
          <w:color w:val="000000" w:themeColor="text1"/>
        </w:rPr>
        <w:t>3’</w:t>
      </w:r>
      <w:r>
        <w:rPr>
          <w:rFonts w:ascii="Courier" w:hAnsi="Courier"/>
          <w:color w:val="00B050"/>
        </w:rPr>
        <w:t xml:space="preserve"> </w:t>
      </w:r>
      <w:r>
        <w:rPr>
          <w:rFonts w:ascii="Courier" w:hAnsi="Courier"/>
        </w:rPr>
        <w:t>TGTGAGAAAGGGATGTGCTGCGAGAAGGCTAGA</w:t>
      </w:r>
      <w:r w:rsidRPr="007F3B93">
        <w:rPr>
          <w:rFonts w:ascii="Courier" w:hAnsi="Courier"/>
          <w:color w:val="0070C0"/>
        </w:rPr>
        <w:t>cgtac</w:t>
      </w:r>
      <w:r w:rsidRPr="00AB30E2">
        <w:rPr>
          <w:rFonts w:ascii="Courier" w:hAnsi="Courier"/>
          <w:color w:val="7030A0"/>
        </w:rPr>
        <w:t>GTACNNNN</w:t>
      </w:r>
      <w:r w:rsidR="001334C8">
        <w:rPr>
          <w:rFonts w:ascii="Courier" w:hAnsi="Courier"/>
          <w:color w:val="7030A0"/>
        </w:rPr>
        <w:t>TTAA</w:t>
      </w:r>
      <w:r w:rsidR="001334C8" w:rsidRPr="00583EC7">
        <w:rPr>
          <w:rFonts w:ascii="Courier" w:hAnsi="Courier"/>
          <w:color w:val="000000" w:themeColor="text1"/>
          <w:u w:val="single"/>
        </w:rPr>
        <w:t>TCTAGCCTTCT</w:t>
      </w:r>
      <w:r w:rsidR="001334C8" w:rsidRPr="00583EC7">
        <w:rPr>
          <w:rFonts w:ascii="Courier" w:hAnsi="Courier"/>
          <w:color w:val="00B050"/>
          <w:u w:val="single"/>
        </w:rPr>
        <w:t>CGTGTGCAGACTTGAGGTCAGTG</w:t>
      </w:r>
      <w:r w:rsidR="001334C8" w:rsidRPr="001334C8">
        <w:rPr>
          <w:rFonts w:ascii="Courier" w:hAnsi="Courier"/>
          <w:color w:val="00B050"/>
        </w:rPr>
        <w:t xml:space="preserve"> 5’</w:t>
      </w:r>
    </w:p>
    <w:p w14:paraId="0E3933AA" w14:textId="77777777" w:rsidR="00AB30E2" w:rsidRDefault="00AB30E2">
      <w:pPr>
        <w:rPr>
          <w:rFonts w:ascii="Courier" w:hAnsi="Courier"/>
        </w:rPr>
      </w:pPr>
    </w:p>
    <w:p w14:paraId="1082EEC8" w14:textId="77777777" w:rsidR="00A160D5" w:rsidRDefault="00A160D5">
      <w:pPr>
        <w:rPr>
          <w:rFonts w:ascii="Courier" w:hAnsi="Courier"/>
        </w:rPr>
      </w:pPr>
    </w:p>
    <w:p w14:paraId="59210E32" w14:textId="2101508E" w:rsidR="00CC717F" w:rsidRDefault="00AF6BBC">
      <w:r>
        <w:t>In deciding where to insert the degenerate base regions</w:t>
      </w:r>
      <w:r w:rsidR="00583EC7">
        <w:t xml:space="preserve"> (DBR)</w:t>
      </w:r>
      <w:r>
        <w:t xml:space="preserve"> we need to (1) not mess with the overhangs</w:t>
      </w:r>
      <w:r w:rsidR="00583EC7">
        <w:t xml:space="preserve"> (in red)</w:t>
      </w:r>
      <w:r>
        <w:t>, (2) not mess with the barcodes</w:t>
      </w:r>
      <w:r w:rsidR="00583EC7">
        <w:t xml:space="preserve"> (in blue)</w:t>
      </w:r>
      <w:r>
        <w:t>, (3) no</w:t>
      </w:r>
      <w:r w:rsidR="00B832BD">
        <w:t>t mess with the PCR start sites</w:t>
      </w:r>
      <w:r w:rsidR="00583EC7">
        <w:t xml:space="preserve"> (in green)</w:t>
      </w:r>
      <w:r w:rsidR="00B832BD">
        <w:t>, and (4) not mess with the sequencing primer sites</w:t>
      </w:r>
      <w:r w:rsidR="00583EC7">
        <w:t xml:space="preserve"> (underlined)</w:t>
      </w:r>
      <w:r w:rsidR="00B832BD">
        <w:t xml:space="preserve">. </w:t>
      </w:r>
      <w:r w:rsidR="00CC717F">
        <w:t>That basically leaves 3 spots:</w:t>
      </w:r>
    </w:p>
    <w:p w14:paraId="1AEA13AB" w14:textId="77777777" w:rsidR="00CC717F" w:rsidRDefault="00CC717F"/>
    <w:p w14:paraId="4A7C0B5C" w14:textId="53D12418" w:rsidR="00CC717F" w:rsidRDefault="00545AFD" w:rsidP="00CC717F">
      <w:pPr>
        <w:pStyle w:val="ListParagraph"/>
        <w:numPr>
          <w:ilvl w:val="0"/>
          <w:numId w:val="1"/>
        </w:numPr>
      </w:pPr>
      <w:r>
        <w:t xml:space="preserve">In the P1 adaptor, “left” of </w:t>
      </w:r>
      <w:r w:rsidR="00CC717F">
        <w:t>the barcode</w:t>
      </w:r>
    </w:p>
    <w:p w14:paraId="150EC1C0" w14:textId="3B6C41B4" w:rsidR="00CC717F" w:rsidRDefault="00545AFD" w:rsidP="00CC717F">
      <w:pPr>
        <w:pStyle w:val="ListParagraph"/>
        <w:numPr>
          <w:ilvl w:val="0"/>
          <w:numId w:val="1"/>
        </w:numPr>
      </w:pPr>
      <w:r>
        <w:t xml:space="preserve">In the P1 adaptor, “right” of the barcode </w:t>
      </w:r>
      <w:r w:rsidR="00CC717F">
        <w:t>(between the barcode and the overhang).</w:t>
      </w:r>
    </w:p>
    <w:p w14:paraId="30FF7C4B" w14:textId="20F68C02" w:rsidR="00CC717F" w:rsidRDefault="00CC717F" w:rsidP="00CC717F">
      <w:pPr>
        <w:pStyle w:val="ListParagraph"/>
        <w:numPr>
          <w:ilvl w:val="0"/>
          <w:numId w:val="1"/>
        </w:numPr>
      </w:pPr>
      <w:r>
        <w:t xml:space="preserve">In the P2 adaptor, </w:t>
      </w:r>
      <w:r w:rsidR="00545AFD">
        <w:t xml:space="preserve">“left” of the read 2 sequencing site (between the sequencing site and the overhang. </w:t>
      </w:r>
    </w:p>
    <w:p w14:paraId="4B61B175" w14:textId="77777777" w:rsidR="00545AFD" w:rsidRDefault="00545AFD" w:rsidP="00545AFD"/>
    <w:p w14:paraId="4DAD8135" w14:textId="77777777" w:rsidR="00545AFD" w:rsidRPr="001334C8" w:rsidRDefault="00545AFD" w:rsidP="00545AFD">
      <w:pPr>
        <w:rPr>
          <w:rFonts w:ascii="Courier" w:hAnsi="Courier"/>
          <w:color w:val="000000" w:themeColor="text1"/>
        </w:rPr>
      </w:pPr>
      <w:r>
        <w:rPr>
          <w:rFonts w:ascii="Courier" w:hAnsi="Courier"/>
          <w:color w:val="000000" w:themeColor="text1"/>
        </w:rPr>
        <w:t>5’</w:t>
      </w:r>
      <w:r w:rsidRPr="00964570">
        <w:rPr>
          <w:rFonts w:ascii="Courier" w:hAnsi="Courier"/>
          <w:color w:val="00B050"/>
          <w:u w:val="single"/>
        </w:rPr>
        <w:t>ACACTCTTTCCCTACACGACG</w:t>
      </w:r>
      <w:r w:rsidRPr="00964570">
        <w:rPr>
          <w:rFonts w:ascii="Courier" w:hAnsi="Courier"/>
          <w:u w:val="single"/>
        </w:rPr>
        <w:t>CTCTTCCGATCT</w:t>
      </w:r>
      <w:r w:rsidRPr="00236505">
        <w:rPr>
          <w:rFonts w:ascii="Courier" w:hAnsi="Courier"/>
          <w:b/>
        </w:rPr>
        <w:t>1111</w:t>
      </w:r>
      <w:r w:rsidRPr="00236505">
        <w:rPr>
          <w:rFonts w:ascii="Courier" w:hAnsi="Courier"/>
          <w:color w:val="0070C0"/>
        </w:rPr>
        <w:t>gcatg</w:t>
      </w:r>
      <w:r w:rsidRPr="00236505">
        <w:rPr>
          <w:rFonts w:ascii="Courier" w:hAnsi="Courier"/>
          <w:b/>
          <w:color w:val="000000" w:themeColor="text1"/>
        </w:rPr>
        <w:t>2222</w:t>
      </w:r>
      <w:r w:rsidRPr="00236505">
        <w:rPr>
          <w:rFonts w:ascii="Courier" w:hAnsi="Courier"/>
          <w:color w:val="FF0000"/>
        </w:rPr>
        <w:t>CATG</w:t>
      </w:r>
      <w:r w:rsidRPr="00236505">
        <w:rPr>
          <w:rFonts w:ascii="Courier" w:hAnsi="Courier"/>
          <w:color w:val="7030A0"/>
        </w:rPr>
        <w:t>NNNN</w:t>
      </w:r>
      <w:r w:rsidRPr="00236505">
        <w:rPr>
          <w:rFonts w:ascii="Courier" w:hAnsi="Courier"/>
          <w:color w:val="FF0000"/>
        </w:rPr>
        <w:t>AATT</w:t>
      </w:r>
      <w:r w:rsidRPr="00236505">
        <w:rPr>
          <w:rFonts w:ascii="Courier" w:hAnsi="Courier"/>
          <w:b/>
          <w:color w:val="000000" w:themeColor="text1"/>
        </w:rPr>
        <w:t>3333</w:t>
      </w:r>
      <w:r w:rsidRPr="00236505">
        <w:rPr>
          <w:rFonts w:ascii="Courier" w:hAnsi="Courier"/>
          <w:color w:val="000000" w:themeColor="text1"/>
        </w:rPr>
        <w:t>AGATCGGAAGAGCGAGAACAA</w:t>
      </w:r>
      <w:r>
        <w:rPr>
          <w:rFonts w:ascii="Courier" w:hAnsi="Courier"/>
          <w:color w:val="000000" w:themeColor="text1"/>
        </w:rPr>
        <w:t>/BIO 3’</w:t>
      </w:r>
    </w:p>
    <w:p w14:paraId="1442AC38" w14:textId="77777777" w:rsidR="00545AFD" w:rsidRDefault="00545AFD" w:rsidP="00545AFD">
      <w:pPr>
        <w:rPr>
          <w:rFonts w:ascii="Courier" w:hAnsi="Courier"/>
          <w:color w:val="00B050"/>
        </w:rPr>
      </w:pPr>
      <w:r>
        <w:rPr>
          <w:rFonts w:ascii="Courier" w:hAnsi="Courier"/>
          <w:color w:val="00B050"/>
        </w:rPr>
        <w:t xml:space="preserve">  </w:t>
      </w:r>
      <w:r w:rsidRPr="001334C8">
        <w:rPr>
          <w:rFonts w:ascii="Courier" w:hAnsi="Courier"/>
          <w:color w:val="000000" w:themeColor="text1"/>
        </w:rPr>
        <w:t>|||P1 ADAPTER</w:t>
      </w:r>
      <w:r>
        <w:rPr>
          <w:rFonts w:ascii="Courier" w:hAnsi="Courier"/>
          <w:color w:val="000000" w:themeColor="text1"/>
        </w:rPr>
        <w:t xml:space="preserve"> |||||||||||||||||||</w:t>
      </w:r>
      <w:r>
        <w:rPr>
          <w:rFonts w:ascii="Courier" w:hAnsi="Courier"/>
          <w:color w:val="00B050"/>
        </w:rPr>
        <w:tab/>
        <w:t xml:space="preserve">                        ||</w:t>
      </w:r>
      <w:r w:rsidRPr="007F3771">
        <w:rPr>
          <w:rFonts w:ascii="Courier" w:hAnsi="Courier"/>
          <w:color w:val="000000" w:themeColor="text1"/>
        </w:rPr>
        <w:t>P2 ADAPTER</w:t>
      </w:r>
    </w:p>
    <w:p w14:paraId="0A0F34DE" w14:textId="65445DD1" w:rsidR="00A160D5" w:rsidRDefault="00545AFD">
      <w:pPr>
        <w:rPr>
          <w:rFonts w:ascii="Courier" w:hAnsi="Courier"/>
          <w:color w:val="538135" w:themeColor="accent6" w:themeShade="BF"/>
        </w:rPr>
      </w:pPr>
      <w:r w:rsidRPr="00AB30E2">
        <w:rPr>
          <w:rFonts w:ascii="Courier" w:hAnsi="Courier"/>
          <w:color w:val="000000" w:themeColor="text1"/>
        </w:rPr>
        <w:t>3’</w:t>
      </w:r>
      <w:r>
        <w:rPr>
          <w:rFonts w:ascii="Courier" w:hAnsi="Courier"/>
        </w:rPr>
        <w:t>TGTGAGAAAGGGATGTGCTGCGAGAAGGCTAGA</w:t>
      </w:r>
      <w:r w:rsidRPr="00236505">
        <w:rPr>
          <w:rFonts w:ascii="Courier" w:hAnsi="Courier"/>
          <w:b/>
        </w:rPr>
        <w:t>1111</w:t>
      </w:r>
      <w:r w:rsidRPr="007F3B93">
        <w:rPr>
          <w:rFonts w:ascii="Courier" w:hAnsi="Courier"/>
          <w:color w:val="0070C0"/>
        </w:rPr>
        <w:t>cgtac</w:t>
      </w:r>
      <w:r w:rsidRPr="00236505">
        <w:rPr>
          <w:rFonts w:ascii="Courier" w:hAnsi="Courier"/>
          <w:b/>
          <w:color w:val="000000" w:themeColor="text1"/>
        </w:rPr>
        <w:t>2222</w:t>
      </w:r>
      <w:r w:rsidRPr="00AB30E2">
        <w:rPr>
          <w:rFonts w:ascii="Courier" w:hAnsi="Courier"/>
          <w:color w:val="7030A0"/>
        </w:rPr>
        <w:t>GTACNNNN</w:t>
      </w:r>
      <w:r>
        <w:rPr>
          <w:rFonts w:ascii="Courier" w:hAnsi="Courier"/>
          <w:color w:val="7030A0"/>
        </w:rPr>
        <w:t>TTAA</w:t>
      </w:r>
      <w:r w:rsidRPr="00236505">
        <w:rPr>
          <w:rFonts w:ascii="Courier" w:hAnsi="Courier"/>
          <w:b/>
          <w:color w:val="000000" w:themeColor="text1"/>
        </w:rPr>
        <w:t>3333</w:t>
      </w:r>
      <w:r w:rsidRPr="00583EC7">
        <w:rPr>
          <w:rFonts w:ascii="Courier" w:hAnsi="Courier"/>
          <w:color w:val="000000" w:themeColor="text1"/>
          <w:u w:val="single"/>
        </w:rPr>
        <w:t>TCTAGCCTTCT</w:t>
      </w:r>
      <w:r w:rsidRPr="00583EC7">
        <w:rPr>
          <w:rFonts w:ascii="Courier" w:hAnsi="Courier"/>
          <w:color w:val="00B050"/>
          <w:u w:val="single"/>
        </w:rPr>
        <w:t>CGTGTGCAGACTTGAGGTCAGTG</w:t>
      </w:r>
      <w:r w:rsidRPr="001334C8">
        <w:rPr>
          <w:rFonts w:ascii="Courier" w:hAnsi="Courier"/>
          <w:color w:val="00B050"/>
        </w:rPr>
        <w:t xml:space="preserve"> 5’</w:t>
      </w:r>
    </w:p>
    <w:p w14:paraId="2683423D" w14:textId="77777777" w:rsidR="008D3F05" w:rsidRDefault="0027238D">
      <w:r>
        <w:lastRenderedPageBreak/>
        <w:t>To my mind, th</w:t>
      </w:r>
      <w:r w:rsidR="008D3F05">
        <w:t>e main choice is between putting it in the P1 vs the P2.</w:t>
      </w:r>
    </w:p>
    <w:p w14:paraId="150EB1A3" w14:textId="77777777" w:rsidR="008D3F05" w:rsidRDefault="008D3F05"/>
    <w:p w14:paraId="297F7DBB" w14:textId="77777777" w:rsidR="00DF1A01" w:rsidRDefault="008D3F05">
      <w:r>
        <w:t xml:space="preserve">P2 makes more sense to me: we only </w:t>
      </w:r>
      <w:proofErr w:type="gramStart"/>
      <w:r>
        <w:t>have to</w:t>
      </w:r>
      <w:proofErr w:type="gramEnd"/>
      <w:r>
        <w:t xml:space="preserve"> buy one new set of primers (instead of 48). </w:t>
      </w:r>
      <w:proofErr w:type="gramStart"/>
      <w:r>
        <w:t>As long as</w:t>
      </w:r>
      <w:proofErr w:type="gramEnd"/>
      <w:r>
        <w:t xml:space="preserve"> we do paired-end sequencing, we’ll be able to detect PCR duplicates.</w:t>
      </w:r>
      <w:r w:rsidR="00DF1A01">
        <w:t xml:space="preserve"> As far as I understand, the algorithm for detecting PCR duplicates is basically: </w:t>
      </w:r>
    </w:p>
    <w:p w14:paraId="555B0747" w14:textId="0B9184C9" w:rsidR="00DF1A01" w:rsidRDefault="00DF1A01" w:rsidP="00DF1A01">
      <w:pPr>
        <w:pStyle w:val="ListParagraph"/>
        <w:numPr>
          <w:ilvl w:val="0"/>
          <w:numId w:val="2"/>
        </w:numPr>
      </w:pPr>
      <w:proofErr w:type="spellStart"/>
      <w:r>
        <w:t>demultiplex</w:t>
      </w:r>
      <w:proofErr w:type="spellEnd"/>
      <w:r>
        <w:t xml:space="preserve"> the reads from the barcodes. </w:t>
      </w:r>
    </w:p>
    <w:p w14:paraId="7F661DC8" w14:textId="294689A0" w:rsidR="00DF1A01" w:rsidRDefault="00DF1A01" w:rsidP="00DF1A01">
      <w:pPr>
        <w:pStyle w:val="ListParagraph"/>
        <w:numPr>
          <w:ilvl w:val="0"/>
          <w:numId w:val="2"/>
        </w:numPr>
      </w:pPr>
      <w:r>
        <w:t>Within each sample (within each barcode), find reads that are identical. For PE reads, this means finding sets of reads that are identical for R1 and R2</w:t>
      </w:r>
    </w:p>
    <w:p w14:paraId="5408F8FE" w14:textId="2E3E4B90" w:rsidR="00DF1A01" w:rsidRDefault="00DF1A01" w:rsidP="00DF1A01">
      <w:pPr>
        <w:pStyle w:val="ListParagraph"/>
        <w:numPr>
          <w:ilvl w:val="0"/>
          <w:numId w:val="2"/>
        </w:numPr>
      </w:pPr>
      <w:r>
        <w:t xml:space="preserve">For each set of identical reads, look in the DBR region. Reads with different DBR come from different templates. Reads with the same DBR are PCR duplicates, and all but the highest-quality read should be discarded. </w:t>
      </w:r>
    </w:p>
    <w:p w14:paraId="4E010D76" w14:textId="77777777" w:rsidR="00BD1F05" w:rsidRDefault="00BD1F05" w:rsidP="00BD1F05"/>
    <w:p w14:paraId="5E4F8CAA" w14:textId="315BD00F" w:rsidR="00BD1F05" w:rsidRDefault="00BD1F05" w:rsidP="00BD1F05">
      <w:r>
        <w:t>This sort of thing can be implemented in Python or Perl scripts (the published ones I’ve seen are for Python, I believe</w:t>
      </w:r>
      <w:r w:rsidR="0092134D">
        <w:t xml:space="preserve">), and my guess is that it would be </w:t>
      </w:r>
      <w:proofErr w:type="gramStart"/>
      <w:r w:rsidR="0092134D">
        <w:t>fairly simple</w:t>
      </w:r>
      <w:proofErr w:type="gramEnd"/>
      <w:r w:rsidR="0092134D">
        <w:t xml:space="preserve"> to modify</w:t>
      </w:r>
      <w:r w:rsidR="002617CA">
        <w:t xml:space="preserve"> such scripts so that they look</w:t>
      </w:r>
      <w:r w:rsidR="0092134D">
        <w:t xml:space="preserve"> for the DBR in the P2 adaptor. </w:t>
      </w:r>
    </w:p>
    <w:p w14:paraId="40631B3B" w14:textId="77777777" w:rsidR="00BD1F05" w:rsidRDefault="00BD1F05" w:rsidP="00BD1F05"/>
    <w:p w14:paraId="2F839A61" w14:textId="6D4F4453" w:rsidR="00BD1F05" w:rsidRDefault="00BD1F05" w:rsidP="00BD1F05">
      <w:r>
        <w:t xml:space="preserve">I can’t think of any strong reason why have the DBR in the P2 adaptor should make a difference, </w:t>
      </w:r>
      <w:proofErr w:type="gramStart"/>
      <w:r>
        <w:t>as long as</w:t>
      </w:r>
      <w:proofErr w:type="gramEnd"/>
      <w:r>
        <w:t xml:space="preserve"> we do PE sequencing (with single-end sequencing we’d need to have the DBR in the P1). It may mean we can’t check for PCR duplicates when the R1 and R2 reads don’t match up, but that happens </w:t>
      </w:r>
      <w:proofErr w:type="gramStart"/>
      <w:r>
        <w:t>pretty rarely</w:t>
      </w:r>
      <w:proofErr w:type="gramEnd"/>
      <w:r>
        <w:t>, and may be a sign that we want to discard those reads anyway.</w:t>
      </w:r>
    </w:p>
    <w:p w14:paraId="12FCF288" w14:textId="77777777" w:rsidR="00E57469" w:rsidRDefault="00E57469" w:rsidP="00BD1F05"/>
    <w:p w14:paraId="18523C61" w14:textId="6A447E69" w:rsidR="007546EF" w:rsidRDefault="00E57469" w:rsidP="00BD1F05">
      <w:r>
        <w:t xml:space="preserve">This implementation that I’ve described above is slightly different from the one in Tin et al. 2015: </w:t>
      </w:r>
      <w:r w:rsidR="00DD7826">
        <w:t xml:space="preserve">they do a double digest, but not </w:t>
      </w:r>
      <w:r w:rsidR="00AB7988">
        <w:t xml:space="preserve">the </w:t>
      </w:r>
      <w:r w:rsidR="00DD7826">
        <w:t xml:space="preserve">“true” </w:t>
      </w:r>
      <w:proofErr w:type="spellStart"/>
      <w:r w:rsidR="00DD7826">
        <w:t>ddRAD</w:t>
      </w:r>
      <w:proofErr w:type="spellEnd"/>
      <w:r w:rsidR="00DD7826">
        <w:t xml:space="preserve"> protocol from Peterson. </w:t>
      </w:r>
      <w:r>
        <w:t xml:space="preserve"> </w:t>
      </w:r>
      <w:r w:rsidR="002617CA">
        <w:t xml:space="preserve">I wrote up all this, and then </w:t>
      </w:r>
      <w:r w:rsidR="00EB32B6">
        <w:t xml:space="preserve">Marco </w:t>
      </w:r>
      <w:r w:rsidR="002617CA">
        <w:t>showed me this</w:t>
      </w:r>
      <w:r w:rsidR="00EB32B6">
        <w:t xml:space="preserve"> neat paper </w:t>
      </w:r>
      <w:r w:rsidR="002617CA">
        <w:t>(</w:t>
      </w:r>
      <w:proofErr w:type="spellStart"/>
      <w:r w:rsidR="002617CA">
        <w:t>Schweyen</w:t>
      </w:r>
      <w:proofErr w:type="spellEnd"/>
      <w:r w:rsidR="002617CA">
        <w:t xml:space="preserve"> et al. 2014) on using DBR regions to avoid PCR duplicates in </w:t>
      </w:r>
      <w:proofErr w:type="spellStart"/>
      <w:r w:rsidR="002617CA">
        <w:t>ddRAD</w:t>
      </w:r>
      <w:proofErr w:type="spellEnd"/>
      <w:r w:rsidR="002617CA">
        <w:t xml:space="preserve">. </w:t>
      </w:r>
      <w:r w:rsidR="00AB7988">
        <w:t xml:space="preserve">It’s hidden away in a small journal (The Biological Bulletin) and has only been cited once (and not in empirical usage). But, they detect PCR duplicates using DBR in the true </w:t>
      </w:r>
      <w:proofErr w:type="spellStart"/>
      <w:r w:rsidR="00AB7988">
        <w:t>ddRAD</w:t>
      </w:r>
      <w:proofErr w:type="spellEnd"/>
      <w:r w:rsidR="00AB7988">
        <w:t xml:space="preserve"> framework, and they put their DBR in the P2 adaptor (location 3). Their DBR design is a bit more complicated than in Tin et al.: instead of 4 random bases, they a</w:t>
      </w:r>
      <w:r w:rsidR="00640871">
        <w:t>dd 10 base pairs to the adaptor. On the strand with the overhang, they add (5’ to 3</w:t>
      </w:r>
      <w:proofErr w:type="gramStart"/>
      <w:r w:rsidR="00640871">
        <w:t xml:space="preserve">’) </w:t>
      </w:r>
      <w:r w:rsidR="00AB7988">
        <w:t xml:space="preserve"> </w:t>
      </w:r>
      <w:r w:rsidR="007546EF">
        <w:t>2</w:t>
      </w:r>
      <w:proofErr w:type="gramEnd"/>
      <w:r w:rsidR="007546EF">
        <w:t xml:space="preserve"> Cs, 3 “I”s, and 5 Ns</w:t>
      </w:r>
      <w:r w:rsidR="009846D0">
        <w:t xml:space="preserve">. “I” </w:t>
      </w:r>
      <w:r w:rsidR="00215B71">
        <w:t xml:space="preserve">stands for 2’-deoxyinosine, a base that binds with all 4 bases, preferring in decreasing order C, A, and T. </w:t>
      </w:r>
      <w:r w:rsidR="00640871">
        <w:t xml:space="preserve">On the other strand, they have two </w:t>
      </w:r>
      <w:proofErr w:type="spellStart"/>
      <w:r w:rsidR="00640871">
        <w:t>Gs</w:t>
      </w:r>
      <w:proofErr w:type="spellEnd"/>
      <w:r w:rsidR="00640871">
        <w:t xml:space="preserve">, two M, one H, and 5 Ns (where </w:t>
      </w:r>
      <w:r w:rsidR="00655189">
        <w:t xml:space="preserve">M is A or C and H is A, C, or T). </w:t>
      </w:r>
      <w:r w:rsidR="007546EF">
        <w:t>This design is</w:t>
      </w:r>
      <w:r w:rsidR="009426A8">
        <w:t xml:space="preserve">, </w:t>
      </w:r>
      <w:proofErr w:type="gramStart"/>
      <w:r w:rsidR="009426A8">
        <w:t>according to</w:t>
      </w:r>
      <w:proofErr w:type="gramEnd"/>
      <w:r w:rsidR="009426A8">
        <w:t xml:space="preserve"> them,</w:t>
      </w:r>
      <w:r w:rsidR="007546EF">
        <w:t xml:space="preserve"> meant to reduce </w:t>
      </w:r>
      <w:r w:rsidR="009426A8">
        <w:t xml:space="preserve">mispairing of the top and bottom strands </w:t>
      </w:r>
      <w:r w:rsidR="007546EF">
        <w:t>during annealing.</w:t>
      </w:r>
      <w:r w:rsidR="009426A8">
        <w:t xml:space="preserve"> </w:t>
      </w:r>
      <w:r w:rsidR="007546EF">
        <w:t xml:space="preserve"> </w:t>
      </w:r>
      <w:r w:rsidR="009426A8">
        <w:t xml:space="preserve">I sort of get why it would do that, but </w:t>
      </w:r>
      <w:r w:rsidR="0094729E">
        <w:t xml:space="preserve">I wonder why you wouldn’t just use I for </w:t>
      </w:r>
      <w:proofErr w:type="gramStart"/>
      <w:r w:rsidR="0094729E">
        <w:t>all of</w:t>
      </w:r>
      <w:proofErr w:type="gramEnd"/>
      <w:r w:rsidR="0094729E">
        <w:t xml:space="preserve"> the bases in the DBR, not just 3 of them. </w:t>
      </w:r>
      <w:r w:rsidR="007546EF">
        <w:t xml:space="preserve">They also use a slightly different </w:t>
      </w:r>
      <w:r w:rsidR="00561E45">
        <w:t>annealing procedure</w:t>
      </w:r>
      <w:r w:rsidR="007546EF">
        <w:t xml:space="preserve"> than Peterson et al. But, they incorporate their library index into the P2 as well, instead of adding it during PCR, s</w:t>
      </w:r>
      <w:r w:rsidR="00561E45">
        <w:t xml:space="preserve">o that might be why. We could maybe get advice from IDT about the best practice for annealing. </w:t>
      </w:r>
      <w:r w:rsidR="007546EF">
        <w:t xml:space="preserve"> </w:t>
      </w:r>
    </w:p>
    <w:p w14:paraId="11E64540" w14:textId="77777777" w:rsidR="007546EF" w:rsidRDefault="007546EF" w:rsidP="00BD1F05"/>
    <w:p w14:paraId="7B52526C" w14:textId="417F0ED3" w:rsidR="00EB32B6" w:rsidRDefault="00655189" w:rsidP="00BD1F05">
      <w:r>
        <w:t>In our scheme, the P2 adaptor would loo</w:t>
      </w:r>
      <w:r w:rsidR="00561E45">
        <w:t>k like this on the fragment:</w:t>
      </w:r>
    </w:p>
    <w:p w14:paraId="0EE2B2F2" w14:textId="77777777" w:rsidR="00AB7988" w:rsidRDefault="00AB7988" w:rsidP="00BD1F05"/>
    <w:p w14:paraId="4269BC82" w14:textId="203F8DED" w:rsidR="00655189" w:rsidRPr="001334C8" w:rsidRDefault="00655189" w:rsidP="00655189">
      <w:pPr>
        <w:rPr>
          <w:rFonts w:ascii="Courier" w:hAnsi="Courier"/>
          <w:color w:val="000000" w:themeColor="text1"/>
        </w:rPr>
      </w:pPr>
      <w:r>
        <w:rPr>
          <w:rFonts w:ascii="Courier" w:hAnsi="Courier"/>
          <w:color w:val="7030A0"/>
        </w:rPr>
        <w:t>5’</w:t>
      </w:r>
      <w:r w:rsidR="007546EF">
        <w:rPr>
          <w:rFonts w:ascii="Courier" w:hAnsi="Courier"/>
          <w:color w:val="7030A0"/>
        </w:rPr>
        <w:t xml:space="preserve"> GENOMIC</w:t>
      </w:r>
      <w:r>
        <w:rPr>
          <w:rFonts w:ascii="Courier" w:hAnsi="Courier"/>
          <w:color w:val="7030A0"/>
        </w:rPr>
        <w:t>_</w:t>
      </w:r>
      <w:r w:rsidR="007546EF" w:rsidRPr="007546EF">
        <w:rPr>
          <w:rFonts w:ascii="Courier" w:hAnsi="Courier"/>
          <w:color w:val="7030A0"/>
        </w:rPr>
        <w:t>NN</w:t>
      </w:r>
      <w:r w:rsidRPr="007546EF">
        <w:rPr>
          <w:rFonts w:ascii="Courier" w:hAnsi="Courier"/>
          <w:color w:val="FF0000"/>
        </w:rPr>
        <w:t>AATT</w:t>
      </w:r>
      <w:r w:rsidR="007546EF" w:rsidRPr="007546EF">
        <w:rPr>
          <w:rFonts w:ascii="Courier" w:hAnsi="Courier"/>
          <w:b/>
          <w:color w:val="000000" w:themeColor="text1"/>
        </w:rPr>
        <w:t>CCIIINNNNN</w:t>
      </w:r>
      <w:r w:rsidRPr="007546EF">
        <w:rPr>
          <w:rFonts w:ascii="Courier" w:hAnsi="Courier"/>
          <w:color w:val="000000" w:themeColor="text1"/>
        </w:rPr>
        <w:t>AGATCGGAAGAGCGAGAACAA</w:t>
      </w:r>
      <w:r>
        <w:rPr>
          <w:rFonts w:ascii="Courier" w:hAnsi="Courier"/>
          <w:color w:val="000000" w:themeColor="text1"/>
        </w:rPr>
        <w:t>/BIO 3’ Strand with overhang</w:t>
      </w:r>
      <w:r w:rsidR="007546EF">
        <w:rPr>
          <w:rFonts w:ascii="Courier" w:hAnsi="Courier"/>
          <w:color w:val="000000" w:themeColor="text1"/>
        </w:rPr>
        <w:t xml:space="preserve"> on adaptor</w:t>
      </w:r>
    </w:p>
    <w:p w14:paraId="6D719BBE" w14:textId="1005D081" w:rsidR="00655189" w:rsidRDefault="00655189" w:rsidP="00655189">
      <w:pPr>
        <w:rPr>
          <w:rFonts w:ascii="Courier" w:hAnsi="Courier"/>
          <w:color w:val="00B050"/>
        </w:rPr>
      </w:pPr>
      <w:r>
        <w:rPr>
          <w:rFonts w:ascii="Courier" w:hAnsi="Courier"/>
          <w:color w:val="00B050"/>
        </w:rPr>
        <w:t xml:space="preserve">                      </w:t>
      </w:r>
    </w:p>
    <w:p w14:paraId="1E24F1EA" w14:textId="1BF3A405" w:rsidR="00AB7988" w:rsidRDefault="00655189" w:rsidP="00655189">
      <w:pPr>
        <w:rPr>
          <w:rFonts w:ascii="Courier" w:hAnsi="Courier"/>
          <w:color w:val="000000" w:themeColor="text1"/>
        </w:rPr>
      </w:pPr>
      <w:r w:rsidRPr="00AB30E2">
        <w:rPr>
          <w:rFonts w:ascii="Courier" w:hAnsi="Courier"/>
          <w:color w:val="000000" w:themeColor="text1"/>
        </w:rPr>
        <w:t>3’</w:t>
      </w:r>
      <w:r>
        <w:rPr>
          <w:rFonts w:ascii="Courier" w:hAnsi="Courier"/>
          <w:color w:val="0070C0"/>
        </w:rPr>
        <w:t xml:space="preserve"> </w:t>
      </w:r>
      <w:r w:rsidRPr="00AB30E2">
        <w:rPr>
          <w:rFonts w:ascii="Courier" w:hAnsi="Courier"/>
          <w:color w:val="7030A0"/>
        </w:rPr>
        <w:t>G</w:t>
      </w:r>
      <w:r w:rsidR="007546EF">
        <w:rPr>
          <w:rFonts w:ascii="Courier" w:hAnsi="Courier"/>
          <w:color w:val="7030A0"/>
        </w:rPr>
        <w:t>ENOMIC</w:t>
      </w:r>
      <w:r>
        <w:rPr>
          <w:rFonts w:ascii="Courier" w:hAnsi="Courier"/>
          <w:color w:val="7030A0"/>
        </w:rPr>
        <w:t>_</w:t>
      </w:r>
      <w:r w:rsidRPr="00AB30E2">
        <w:rPr>
          <w:rFonts w:ascii="Courier" w:hAnsi="Courier"/>
          <w:color w:val="7030A0"/>
        </w:rPr>
        <w:t>NN</w:t>
      </w:r>
      <w:r>
        <w:rPr>
          <w:rFonts w:ascii="Courier" w:hAnsi="Courier"/>
          <w:color w:val="7030A0"/>
        </w:rPr>
        <w:t>TTAA</w:t>
      </w:r>
      <w:r w:rsidR="007546EF">
        <w:rPr>
          <w:rFonts w:ascii="Courier" w:hAnsi="Courier"/>
          <w:b/>
          <w:color w:val="000000" w:themeColor="text1"/>
        </w:rPr>
        <w:t>GGMMHNNNNN</w:t>
      </w:r>
      <w:r w:rsidRPr="00583EC7">
        <w:rPr>
          <w:rFonts w:ascii="Courier" w:hAnsi="Courier"/>
          <w:color w:val="000000" w:themeColor="text1"/>
          <w:u w:val="single"/>
        </w:rPr>
        <w:t>TCTAGCCTTCT</w:t>
      </w:r>
      <w:r w:rsidRPr="00583EC7">
        <w:rPr>
          <w:rFonts w:ascii="Courier" w:hAnsi="Courier"/>
          <w:color w:val="00B050"/>
          <w:u w:val="single"/>
        </w:rPr>
        <w:t>CGTGTGCAGACTTGAGGTCAGTG</w:t>
      </w:r>
      <w:r w:rsidRPr="00655189">
        <w:rPr>
          <w:rFonts w:ascii="Courier" w:hAnsi="Courier"/>
          <w:color w:val="000000" w:themeColor="text1"/>
        </w:rPr>
        <w:t xml:space="preserve"> Strand with PCR site and read site</w:t>
      </w:r>
    </w:p>
    <w:p w14:paraId="4268898C" w14:textId="77777777" w:rsidR="00561E45" w:rsidRDefault="00561E45" w:rsidP="00655189">
      <w:pPr>
        <w:rPr>
          <w:rFonts w:ascii="Courier" w:hAnsi="Courier"/>
          <w:color w:val="000000" w:themeColor="text1"/>
        </w:rPr>
      </w:pPr>
    </w:p>
    <w:p w14:paraId="3F7191FB" w14:textId="0527E482" w:rsidR="00561E45" w:rsidRDefault="00646FE7" w:rsidP="00655189">
      <w:pPr>
        <w:rPr>
          <w:color w:val="000000" w:themeColor="text1"/>
        </w:rPr>
      </w:pPr>
      <w:r w:rsidRPr="00646FE7">
        <w:rPr>
          <w:color w:val="000000" w:themeColor="text1"/>
        </w:rPr>
        <w:t xml:space="preserve">Interestingly, their primer design is </w:t>
      </w:r>
      <w:proofErr w:type="gramStart"/>
      <w:r w:rsidRPr="00646FE7">
        <w:rPr>
          <w:color w:val="000000" w:themeColor="text1"/>
        </w:rPr>
        <w:t>actually a</w:t>
      </w:r>
      <w:proofErr w:type="gramEnd"/>
      <w:r w:rsidRPr="00646FE7">
        <w:rPr>
          <w:color w:val="000000" w:themeColor="text1"/>
        </w:rPr>
        <w:t xml:space="preserve"> little more complicated than that: on both their P1 and P2 </w:t>
      </w:r>
      <w:r>
        <w:rPr>
          <w:color w:val="000000" w:themeColor="text1"/>
        </w:rPr>
        <w:t>they add a little insert of 1-3 bases between the PCR overhang and the start of the DBR to prevent “</w:t>
      </w:r>
      <w:r w:rsidR="007A38CA">
        <w:rPr>
          <w:color w:val="000000" w:themeColor="text1"/>
        </w:rPr>
        <w:t>blinding” of the sequencing lasers when they read the cut sites, which are the</w:t>
      </w:r>
      <w:r w:rsidR="00B20582">
        <w:rPr>
          <w:color w:val="000000" w:themeColor="text1"/>
        </w:rPr>
        <w:t xml:space="preserve"> same across sequence fragments</w:t>
      </w:r>
      <w:r w:rsidR="007A38CA">
        <w:rPr>
          <w:color w:val="000000" w:themeColor="text1"/>
        </w:rPr>
        <w:t>. No idea if that’s something we should be worried about, I’ve never heard it mentioned before</w:t>
      </w:r>
      <w:r w:rsidR="00880E6C">
        <w:rPr>
          <w:color w:val="000000" w:themeColor="text1"/>
        </w:rPr>
        <w:t xml:space="preserve"> in any publication on RAD</w:t>
      </w:r>
      <w:r w:rsidR="00C0795C">
        <w:rPr>
          <w:color w:val="000000" w:themeColor="text1"/>
        </w:rPr>
        <w:t xml:space="preserve"> (</w:t>
      </w:r>
      <w:proofErr w:type="gramStart"/>
      <w:r w:rsidR="00C0795C">
        <w:rPr>
          <w:color w:val="000000" w:themeColor="text1"/>
        </w:rPr>
        <w:t xml:space="preserve">or </w:t>
      </w:r>
      <w:r w:rsidR="007A38CA">
        <w:rPr>
          <w:color w:val="000000" w:themeColor="text1"/>
        </w:rPr>
        <w:t>.</w:t>
      </w:r>
      <w:proofErr w:type="gramEnd"/>
      <w:r w:rsidR="00880E6C">
        <w:rPr>
          <w:color w:val="000000" w:themeColor="text1"/>
        </w:rPr>
        <w:t xml:space="preserve"> We could</w:t>
      </w:r>
      <w:r w:rsidR="006C0FE7">
        <w:rPr>
          <w:color w:val="000000" w:themeColor="text1"/>
        </w:rPr>
        <w:t xml:space="preserve"> possibly</w:t>
      </w:r>
      <w:r w:rsidR="00880E6C">
        <w:rPr>
          <w:color w:val="000000" w:themeColor="text1"/>
        </w:rPr>
        <w:t xml:space="preserve"> implement something s</w:t>
      </w:r>
      <w:r w:rsidR="006C0FE7">
        <w:rPr>
          <w:color w:val="000000" w:themeColor="text1"/>
        </w:rPr>
        <w:t>imilar by ordering 4 differ</w:t>
      </w:r>
      <w:r w:rsidR="009426A8">
        <w:rPr>
          <w:color w:val="000000" w:themeColor="text1"/>
        </w:rPr>
        <w:t>ent P2s with either 0-3 bases in</w:t>
      </w:r>
      <w:r w:rsidR="006C0FE7">
        <w:rPr>
          <w:color w:val="000000" w:themeColor="text1"/>
        </w:rPr>
        <w:t xml:space="preserve"> the inse</w:t>
      </w:r>
      <w:r w:rsidR="009426A8">
        <w:rPr>
          <w:color w:val="000000" w:themeColor="text1"/>
        </w:rPr>
        <w:t>rt, such that ¼ of reads are offset by a base and maybe there is less “blinding,” but not sure if that is worth it.</w:t>
      </w:r>
    </w:p>
    <w:p w14:paraId="532C7AA7" w14:textId="77777777" w:rsidR="009426A8" w:rsidRDefault="009426A8" w:rsidP="00655189">
      <w:pPr>
        <w:rPr>
          <w:color w:val="000000" w:themeColor="text1"/>
        </w:rPr>
      </w:pPr>
    </w:p>
    <w:p w14:paraId="6437665F" w14:textId="284F22D2" w:rsidR="00EA6451" w:rsidRDefault="00EA6451" w:rsidP="00072A12">
      <w:pPr>
        <w:rPr>
          <w:color w:val="000000" w:themeColor="text1"/>
        </w:rPr>
      </w:pPr>
      <w:r>
        <w:rPr>
          <w:color w:val="000000" w:themeColor="text1"/>
        </w:rPr>
        <w:t>In summary, I think we should</w:t>
      </w:r>
      <w:r w:rsidR="00072A12">
        <w:rPr>
          <w:color w:val="000000" w:themeColor="text1"/>
        </w:rPr>
        <w:t xml:space="preserve"> </w:t>
      </w:r>
      <w:proofErr w:type="spellStart"/>
      <w:r w:rsidRPr="00072A12">
        <w:rPr>
          <w:color w:val="000000" w:themeColor="text1"/>
        </w:rPr>
        <w:t>asically</w:t>
      </w:r>
      <w:proofErr w:type="spellEnd"/>
      <w:r w:rsidRPr="00072A12">
        <w:rPr>
          <w:color w:val="000000" w:themeColor="text1"/>
        </w:rPr>
        <w:t xml:space="preserve"> copy the </w:t>
      </w:r>
      <w:proofErr w:type="spellStart"/>
      <w:r w:rsidRPr="00072A12">
        <w:rPr>
          <w:color w:val="000000" w:themeColor="text1"/>
        </w:rPr>
        <w:t>Schweyen</w:t>
      </w:r>
      <w:proofErr w:type="spellEnd"/>
      <w:r w:rsidRPr="00072A12">
        <w:rPr>
          <w:color w:val="000000" w:themeColor="text1"/>
        </w:rPr>
        <w:t xml:space="preserve"> et al. DBR design, by putting the DBR in the P2 adaptor</w:t>
      </w:r>
      <w:r w:rsidR="00072A12" w:rsidRPr="00072A12">
        <w:rPr>
          <w:color w:val="000000" w:themeColor="text1"/>
        </w:rPr>
        <w:t xml:space="preserve"> and using their scheme of degenerate bases and alternative nuc</w:t>
      </w:r>
      <w:r w:rsidR="00072A12">
        <w:rPr>
          <w:color w:val="000000" w:themeColor="text1"/>
        </w:rPr>
        <w:t xml:space="preserve">leotides, but not bother with the inert thing. </w:t>
      </w:r>
      <w:proofErr w:type="spellStart"/>
      <w:r w:rsidR="00072A12">
        <w:rPr>
          <w:color w:val="000000" w:themeColor="text1"/>
        </w:rPr>
        <w:t>Bioinformatically</w:t>
      </w:r>
      <w:proofErr w:type="spellEnd"/>
      <w:r w:rsidR="00072A12">
        <w:rPr>
          <w:color w:val="000000" w:themeColor="text1"/>
        </w:rPr>
        <w:t xml:space="preserve">, there are a few options we can use to remove PCR duplicates, but all of them would likely require some customization. </w:t>
      </w:r>
    </w:p>
    <w:p w14:paraId="28A2A23D" w14:textId="77777777" w:rsidR="00990EBD" w:rsidRDefault="00990EBD" w:rsidP="00072A12">
      <w:pPr>
        <w:rPr>
          <w:color w:val="000000" w:themeColor="text1"/>
        </w:rPr>
      </w:pPr>
    </w:p>
    <w:p w14:paraId="0236C951" w14:textId="270DA543" w:rsidR="00990EBD" w:rsidRDefault="00990EBD" w:rsidP="00072A12">
      <w:pPr>
        <w:rPr>
          <w:color w:val="000000" w:themeColor="text1"/>
        </w:rPr>
      </w:pPr>
      <w:r>
        <w:rPr>
          <w:color w:val="000000" w:themeColor="text1"/>
        </w:rPr>
        <w:t xml:space="preserve">Would be great to get some input from you all. Would also </w:t>
      </w:r>
      <w:r w:rsidR="00F946DB">
        <w:rPr>
          <w:color w:val="000000" w:themeColor="text1"/>
        </w:rPr>
        <w:t>be good to run some of this b</w:t>
      </w:r>
      <w:r>
        <w:rPr>
          <w:color w:val="000000" w:themeColor="text1"/>
        </w:rPr>
        <w:t xml:space="preserve">y people with a bit more </w:t>
      </w:r>
      <w:proofErr w:type="spellStart"/>
      <w:r>
        <w:rPr>
          <w:color w:val="000000" w:themeColor="text1"/>
        </w:rPr>
        <w:t>ddRAD</w:t>
      </w:r>
      <w:proofErr w:type="spellEnd"/>
      <w:r>
        <w:rPr>
          <w:color w:val="000000" w:themeColor="text1"/>
        </w:rPr>
        <w:t xml:space="preserve">/adaptor design knowledge. </w:t>
      </w:r>
      <w:r w:rsidR="00EB7F07">
        <w:rPr>
          <w:color w:val="000000" w:themeColor="text1"/>
        </w:rPr>
        <w:t>Specifically:</w:t>
      </w:r>
    </w:p>
    <w:p w14:paraId="79830E01" w14:textId="77777777" w:rsidR="00EB7F07" w:rsidRDefault="00EB7F07" w:rsidP="00072A12">
      <w:pPr>
        <w:rPr>
          <w:color w:val="000000" w:themeColor="text1"/>
        </w:rPr>
      </w:pPr>
    </w:p>
    <w:p w14:paraId="7CEEE23F" w14:textId="7569DCB2" w:rsidR="00EB7F07" w:rsidRDefault="00EB7F07" w:rsidP="00EB7F07">
      <w:pPr>
        <w:pStyle w:val="ListParagraph"/>
        <w:numPr>
          <w:ilvl w:val="0"/>
          <w:numId w:val="4"/>
        </w:numPr>
        <w:rPr>
          <w:color w:val="000000" w:themeColor="text1"/>
        </w:rPr>
      </w:pPr>
      <w:r>
        <w:rPr>
          <w:color w:val="000000" w:themeColor="text1"/>
        </w:rPr>
        <w:t>Does this scheme make sense?</w:t>
      </w:r>
    </w:p>
    <w:p w14:paraId="6442E576" w14:textId="64301A37" w:rsidR="00EB7F07" w:rsidRDefault="00BA142E" w:rsidP="00EB7F07">
      <w:pPr>
        <w:pStyle w:val="ListParagraph"/>
        <w:numPr>
          <w:ilvl w:val="0"/>
          <w:numId w:val="4"/>
        </w:numPr>
        <w:rPr>
          <w:color w:val="000000" w:themeColor="text1"/>
        </w:rPr>
      </w:pPr>
      <w:r>
        <w:rPr>
          <w:color w:val="000000" w:themeColor="text1"/>
        </w:rPr>
        <w:t>I want to confirm that the strand with the “</w:t>
      </w:r>
      <w:proofErr w:type="gramStart"/>
      <w:r>
        <w:rPr>
          <w:color w:val="000000" w:themeColor="text1"/>
        </w:rPr>
        <w:t>I”s</w:t>
      </w:r>
      <w:proofErr w:type="gramEnd"/>
      <w:r>
        <w:rPr>
          <w:color w:val="000000" w:themeColor="text1"/>
        </w:rPr>
        <w:t xml:space="preserve"> should be opposite of the PCR start site. Because of the forked adaptor design, initial PCR should only start from the P1,</w:t>
      </w:r>
      <w:r w:rsidR="00F946DB">
        <w:rPr>
          <w:color w:val="000000" w:themeColor="text1"/>
        </w:rPr>
        <w:t xml:space="preserve"> so the I’s won’t be read in the initial PCR site. Marco and I went over this and he was a bit unconvinced, so I want to make sure I put it on the right side (I did the same thing as </w:t>
      </w:r>
      <w:proofErr w:type="spellStart"/>
      <w:r w:rsidR="00F946DB">
        <w:rPr>
          <w:color w:val="000000" w:themeColor="text1"/>
        </w:rPr>
        <w:t>Schweyen</w:t>
      </w:r>
      <w:proofErr w:type="spellEnd"/>
      <w:r w:rsidR="00F946DB">
        <w:rPr>
          <w:color w:val="000000" w:themeColor="text1"/>
        </w:rPr>
        <w:t xml:space="preserve"> et al). </w:t>
      </w:r>
    </w:p>
    <w:p w14:paraId="1382FCB2" w14:textId="07E77751" w:rsidR="00BA142E" w:rsidRDefault="00BA142E" w:rsidP="00EB7F07">
      <w:pPr>
        <w:pStyle w:val="ListParagraph"/>
        <w:numPr>
          <w:ilvl w:val="0"/>
          <w:numId w:val="4"/>
        </w:numPr>
        <w:rPr>
          <w:color w:val="000000" w:themeColor="text1"/>
        </w:rPr>
      </w:pPr>
      <w:r>
        <w:rPr>
          <w:color w:val="000000" w:themeColor="text1"/>
        </w:rPr>
        <w:t>Why not use the “universal base” I of all the DBR sites in the non-PCR P2 strand? Just because it binds preferentially to C, A, and T?</w:t>
      </w:r>
      <w:r w:rsidR="00F54ED1">
        <w:rPr>
          <w:color w:val="000000" w:themeColor="text1"/>
        </w:rPr>
        <w:t xml:space="preserve"> I’m getting some advice from IDT, our oligo supplier, about this, annealing temps, and the best way to order the primers. </w:t>
      </w:r>
    </w:p>
    <w:p w14:paraId="5189D28E" w14:textId="745EF4B5" w:rsidR="00F946DB" w:rsidRPr="00EB7F07" w:rsidRDefault="00F946DB" w:rsidP="00EB7F07">
      <w:pPr>
        <w:pStyle w:val="ListParagraph"/>
        <w:numPr>
          <w:ilvl w:val="0"/>
          <w:numId w:val="4"/>
        </w:numPr>
        <w:rPr>
          <w:color w:val="000000" w:themeColor="text1"/>
        </w:rPr>
      </w:pPr>
      <w:r>
        <w:rPr>
          <w:color w:val="000000" w:themeColor="text1"/>
        </w:rPr>
        <w:t>Has anyone else heard of “blinding” the laser on an Illumina sequencer (I’m emailing genome Quebec to ask as well)?</w:t>
      </w:r>
    </w:p>
    <w:p w14:paraId="2E13789F" w14:textId="77777777" w:rsidR="008449C7" w:rsidRDefault="008449C7" w:rsidP="00655189">
      <w:pPr>
        <w:rPr>
          <w:color w:val="000000" w:themeColor="text1"/>
        </w:rPr>
      </w:pPr>
    </w:p>
    <w:p w14:paraId="3C073AF6" w14:textId="77777777" w:rsidR="008449C7" w:rsidRDefault="008449C7" w:rsidP="00655189">
      <w:pPr>
        <w:rPr>
          <w:color w:val="000000" w:themeColor="text1"/>
        </w:rPr>
      </w:pPr>
    </w:p>
    <w:p w14:paraId="6BDF2C18" w14:textId="77777777" w:rsidR="005E66C9" w:rsidRDefault="005E66C9" w:rsidP="00655189">
      <w:pPr>
        <w:rPr>
          <w:color w:val="000000" w:themeColor="text1"/>
        </w:rPr>
      </w:pPr>
    </w:p>
    <w:p w14:paraId="6BAB918C" w14:textId="77777777" w:rsidR="005E66C9" w:rsidRPr="00646FE7" w:rsidRDefault="005E66C9" w:rsidP="00655189">
      <w:pPr>
        <w:rPr>
          <w:color w:val="000000" w:themeColor="text1"/>
        </w:rPr>
      </w:pPr>
    </w:p>
    <w:p w14:paraId="355086C7" w14:textId="77777777" w:rsidR="00BD1F05" w:rsidRDefault="00BD1F05" w:rsidP="00BD1F05"/>
    <w:p w14:paraId="14FD21A9" w14:textId="77777777" w:rsidR="00BD1F05" w:rsidRPr="0027238D" w:rsidRDefault="00BD1F05" w:rsidP="00BD1F05">
      <w:pPr>
        <w:rPr>
          <w:rFonts w:ascii="Courier" w:hAnsi="Courier"/>
          <w:color w:val="000000" w:themeColor="text1"/>
        </w:rPr>
      </w:pPr>
    </w:p>
    <w:p w14:paraId="69383A7E" w14:textId="0DE00399" w:rsidR="0027238D" w:rsidRPr="0027238D" w:rsidRDefault="0027238D">
      <w:pPr>
        <w:rPr>
          <w:rFonts w:ascii="Courier" w:hAnsi="Courier"/>
          <w:color w:val="000000" w:themeColor="text1"/>
        </w:rPr>
      </w:pPr>
    </w:p>
    <w:sectPr w:rsidR="0027238D" w:rsidRPr="0027238D" w:rsidSect="00A0136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923B8"/>
    <w:multiLevelType w:val="hybridMultilevel"/>
    <w:tmpl w:val="C2641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A268F"/>
    <w:multiLevelType w:val="hybridMultilevel"/>
    <w:tmpl w:val="7F22D936"/>
    <w:lvl w:ilvl="0" w:tplc="30C08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E53D6"/>
    <w:multiLevelType w:val="hybridMultilevel"/>
    <w:tmpl w:val="8702FC4C"/>
    <w:lvl w:ilvl="0" w:tplc="459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621C69"/>
    <w:multiLevelType w:val="hybridMultilevel"/>
    <w:tmpl w:val="880CA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B7"/>
    <w:rsid w:val="00072A12"/>
    <w:rsid w:val="001334C8"/>
    <w:rsid w:val="00215B71"/>
    <w:rsid w:val="00236505"/>
    <w:rsid w:val="002617CA"/>
    <w:rsid w:val="0027238D"/>
    <w:rsid w:val="00284D61"/>
    <w:rsid w:val="00466D10"/>
    <w:rsid w:val="004B0E50"/>
    <w:rsid w:val="004D4E12"/>
    <w:rsid w:val="004F25CB"/>
    <w:rsid w:val="00517273"/>
    <w:rsid w:val="005341E9"/>
    <w:rsid w:val="0054473F"/>
    <w:rsid w:val="00545AFD"/>
    <w:rsid w:val="00561E45"/>
    <w:rsid w:val="00571A5A"/>
    <w:rsid w:val="00583EC7"/>
    <w:rsid w:val="005E66C9"/>
    <w:rsid w:val="00640871"/>
    <w:rsid w:val="00646FE7"/>
    <w:rsid w:val="00650C27"/>
    <w:rsid w:val="00655189"/>
    <w:rsid w:val="006C0FE7"/>
    <w:rsid w:val="007546EF"/>
    <w:rsid w:val="007A38CA"/>
    <w:rsid w:val="007F3771"/>
    <w:rsid w:val="007F3B93"/>
    <w:rsid w:val="008449C7"/>
    <w:rsid w:val="00880E6C"/>
    <w:rsid w:val="008D3F05"/>
    <w:rsid w:val="0092134D"/>
    <w:rsid w:val="00926A5D"/>
    <w:rsid w:val="009426A8"/>
    <w:rsid w:val="0094729E"/>
    <w:rsid w:val="00964570"/>
    <w:rsid w:val="009846D0"/>
    <w:rsid w:val="00990EBD"/>
    <w:rsid w:val="00997537"/>
    <w:rsid w:val="009F51A9"/>
    <w:rsid w:val="00A01364"/>
    <w:rsid w:val="00A160D5"/>
    <w:rsid w:val="00A8323E"/>
    <w:rsid w:val="00AB30E2"/>
    <w:rsid w:val="00AB7988"/>
    <w:rsid w:val="00AF6BBC"/>
    <w:rsid w:val="00B20582"/>
    <w:rsid w:val="00B832BD"/>
    <w:rsid w:val="00BA142E"/>
    <w:rsid w:val="00BB7FA2"/>
    <w:rsid w:val="00BD1F05"/>
    <w:rsid w:val="00C0795C"/>
    <w:rsid w:val="00CC717F"/>
    <w:rsid w:val="00D00B28"/>
    <w:rsid w:val="00D537B7"/>
    <w:rsid w:val="00DD7826"/>
    <w:rsid w:val="00DF1A01"/>
    <w:rsid w:val="00E57469"/>
    <w:rsid w:val="00EA6451"/>
    <w:rsid w:val="00EB32B6"/>
    <w:rsid w:val="00EB7F07"/>
    <w:rsid w:val="00F54ED1"/>
    <w:rsid w:val="00F946DB"/>
    <w:rsid w:val="00FA1F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DF8A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763666">
      <w:bodyDiv w:val="1"/>
      <w:marLeft w:val="0"/>
      <w:marRight w:val="0"/>
      <w:marTop w:val="0"/>
      <w:marBottom w:val="0"/>
      <w:divBdr>
        <w:top w:val="none" w:sz="0" w:space="0" w:color="auto"/>
        <w:left w:val="none" w:sz="0" w:space="0" w:color="auto"/>
        <w:bottom w:val="none" w:sz="0" w:space="0" w:color="auto"/>
        <w:right w:val="none" w:sz="0" w:space="0" w:color="auto"/>
      </w:divBdr>
    </w:div>
    <w:div w:id="1920826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1038</Words>
  <Characters>5921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2017-09-05T19:28:00Z</dcterms:created>
  <dcterms:modified xsi:type="dcterms:W3CDTF">2017-10-04T20:57:00Z</dcterms:modified>
</cp:coreProperties>
</file>